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1961" w14:textId="65706A00" w:rsidR="00EE2D7F" w:rsidRDefault="3CD3A45A" w:rsidP="008526BB">
      <w:pPr>
        <w:pStyle w:val="Heading1"/>
      </w:pPr>
      <w:bookmarkStart w:id="0" w:name="_Toc211365513"/>
      <w:r>
        <w:t>Centrepay reform</w:t>
      </w:r>
      <w:r w:rsidR="00EE2D7F">
        <w:t xml:space="preserve"> </w:t>
      </w:r>
      <w:r w:rsidR="00071F76">
        <w:t xml:space="preserve">frequently asked questions </w:t>
      </w:r>
      <w:r w:rsidR="00EE2D7F">
        <w:t xml:space="preserve">for </w:t>
      </w:r>
      <w:r w:rsidR="16BDF783">
        <w:t>Advocates</w:t>
      </w:r>
      <w:bookmarkEnd w:id="0"/>
    </w:p>
    <w:p w14:paraId="023EF833" w14:textId="2F4C4068" w:rsidR="00530D49" w:rsidRPr="00334E6F" w:rsidRDefault="00530D49" w:rsidP="00516809">
      <w:pPr>
        <w:pStyle w:val="Heading2"/>
      </w:pPr>
      <w:bookmarkStart w:id="1" w:name="_Toc211364782"/>
      <w:bookmarkStart w:id="2" w:name="_Toc211365200"/>
      <w:bookmarkStart w:id="3" w:name="_Toc211365350"/>
      <w:bookmarkStart w:id="4" w:name="_Toc211365389"/>
      <w:bookmarkStart w:id="5" w:name="_Toc211365474"/>
      <w:bookmarkStart w:id="6" w:name="_Toc211365514"/>
      <w:bookmarkStart w:id="7" w:name="_Toc211364783"/>
      <w:bookmarkStart w:id="8" w:name="_Toc211365201"/>
      <w:bookmarkStart w:id="9" w:name="_Toc211365351"/>
      <w:bookmarkStart w:id="10" w:name="_Toc211365390"/>
      <w:bookmarkStart w:id="11" w:name="_Toc211365475"/>
      <w:bookmarkStart w:id="12" w:name="_Toc211365515"/>
      <w:bookmarkStart w:id="13" w:name="_Toc211364784"/>
      <w:bookmarkStart w:id="14" w:name="_Toc211365202"/>
      <w:bookmarkStart w:id="15" w:name="_Toc211365352"/>
      <w:bookmarkStart w:id="16" w:name="_Toc211365391"/>
      <w:bookmarkStart w:id="17" w:name="_Toc211365476"/>
      <w:bookmarkStart w:id="18" w:name="_Toc211365516"/>
      <w:bookmarkStart w:id="19" w:name="_Toc211364785"/>
      <w:bookmarkStart w:id="20" w:name="_Toc211365203"/>
      <w:bookmarkStart w:id="21" w:name="_Toc211365353"/>
      <w:bookmarkStart w:id="22" w:name="_Toc211365392"/>
      <w:bookmarkStart w:id="23" w:name="_Toc211365477"/>
      <w:bookmarkStart w:id="24" w:name="_Toc211365517"/>
      <w:bookmarkStart w:id="25" w:name="_Toc211364786"/>
      <w:bookmarkStart w:id="26" w:name="_Toc211365204"/>
      <w:bookmarkStart w:id="27" w:name="_Toc211365354"/>
      <w:bookmarkStart w:id="28" w:name="_Toc211365393"/>
      <w:bookmarkStart w:id="29" w:name="_Toc211365478"/>
      <w:bookmarkStart w:id="30" w:name="_Toc211365518"/>
      <w:bookmarkStart w:id="31" w:name="_Toc211364787"/>
      <w:bookmarkStart w:id="32" w:name="_Toc211365205"/>
      <w:bookmarkStart w:id="33" w:name="_Toc211365355"/>
      <w:bookmarkStart w:id="34" w:name="_Toc211365394"/>
      <w:bookmarkStart w:id="35" w:name="_Toc211365479"/>
      <w:bookmarkStart w:id="36" w:name="_Toc211365519"/>
      <w:bookmarkStart w:id="37" w:name="_Toc211364788"/>
      <w:bookmarkStart w:id="38" w:name="_Toc211365206"/>
      <w:bookmarkStart w:id="39" w:name="_Toc211365356"/>
      <w:bookmarkStart w:id="40" w:name="_Toc211365395"/>
      <w:bookmarkStart w:id="41" w:name="_Toc211365480"/>
      <w:bookmarkStart w:id="42" w:name="_Toc211365520"/>
      <w:bookmarkStart w:id="43" w:name="_Toc211364789"/>
      <w:bookmarkStart w:id="44" w:name="_Toc211365207"/>
      <w:bookmarkStart w:id="45" w:name="_Toc211365357"/>
      <w:bookmarkStart w:id="46" w:name="_Toc211365396"/>
      <w:bookmarkStart w:id="47" w:name="_Toc211365481"/>
      <w:bookmarkStart w:id="48" w:name="_Toc211365521"/>
      <w:bookmarkStart w:id="49" w:name="_Toc211364790"/>
      <w:bookmarkStart w:id="50" w:name="_Toc211365208"/>
      <w:bookmarkStart w:id="51" w:name="_Toc211365358"/>
      <w:bookmarkStart w:id="52" w:name="_Toc211365397"/>
      <w:bookmarkStart w:id="53" w:name="_Toc211365482"/>
      <w:bookmarkStart w:id="54" w:name="_Toc211365522"/>
      <w:bookmarkStart w:id="55" w:name="_Toc211364791"/>
      <w:bookmarkStart w:id="56" w:name="_Toc211365209"/>
      <w:bookmarkStart w:id="57" w:name="_Toc211365359"/>
      <w:bookmarkStart w:id="58" w:name="_Toc211365398"/>
      <w:bookmarkStart w:id="59" w:name="_Toc211365483"/>
      <w:bookmarkStart w:id="60" w:name="_Toc211365523"/>
      <w:bookmarkStart w:id="61" w:name="_Toc2113655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334E6F">
        <w:t xml:space="preserve">When is Services Australia </w:t>
      </w:r>
      <w:r w:rsidR="00071F76" w:rsidRPr="00334E6F">
        <w:t>starting</w:t>
      </w:r>
      <w:r w:rsidRPr="00334E6F">
        <w:t xml:space="preserve"> the </w:t>
      </w:r>
      <w:r w:rsidR="00071F76" w:rsidRPr="00334E6F">
        <w:t xml:space="preserve">Centrepay reform </w:t>
      </w:r>
      <w:r w:rsidRPr="00334E6F">
        <w:t>changes?</w:t>
      </w:r>
      <w:bookmarkEnd w:id="61"/>
    </w:p>
    <w:p w14:paraId="44C46D02" w14:textId="30A82797" w:rsidR="00530D49" w:rsidRDefault="00063CCA" w:rsidP="00530D49">
      <w:r w:rsidRPr="00063CCA">
        <w:t xml:space="preserve">Services Australia </w:t>
      </w:r>
      <w:r w:rsidR="007B2905">
        <w:t xml:space="preserve">will apply the changes gradually </w:t>
      </w:r>
      <w:r w:rsidR="00530D49" w:rsidRPr="00530D49">
        <w:t xml:space="preserve">from </w:t>
      </w:r>
      <w:r w:rsidR="00530D49" w:rsidRPr="000F1E53">
        <w:t>3 November 2025</w:t>
      </w:r>
      <w:r w:rsidR="00530D49" w:rsidRPr="00074985">
        <w:t xml:space="preserve"> with a transition period </w:t>
      </w:r>
      <w:r w:rsidR="00530D49">
        <w:t>until</w:t>
      </w:r>
      <w:r w:rsidR="00530D49" w:rsidRPr="00074985">
        <w:t xml:space="preserve"> </w:t>
      </w:r>
      <w:r w:rsidR="00530D49">
        <w:t xml:space="preserve">1 November </w:t>
      </w:r>
      <w:r w:rsidR="00530D49" w:rsidRPr="00074985">
        <w:t>2026.</w:t>
      </w:r>
    </w:p>
    <w:p w14:paraId="6E07A1D7" w14:textId="77777777" w:rsidR="00530D49" w:rsidRPr="00074985" w:rsidRDefault="00530D49" w:rsidP="00516809">
      <w:pPr>
        <w:pStyle w:val="Heading2"/>
      </w:pPr>
      <w:bookmarkStart w:id="62" w:name="_Toc211365525"/>
      <w:r w:rsidRPr="00074985">
        <w:t>How will customers know if their deductions are</w:t>
      </w:r>
      <w:r>
        <w:t xml:space="preserve"> impacted</w:t>
      </w:r>
      <w:r w:rsidRPr="00074985">
        <w:t>?</w:t>
      </w:r>
      <w:bookmarkEnd w:id="62"/>
    </w:p>
    <w:p w14:paraId="613BC3D9" w14:textId="77777777" w:rsidR="00CF7EA7" w:rsidRDefault="00CF7EA7" w:rsidP="00CF7EA7">
      <w:r>
        <w:t>Services Australia will contact customers to tell them if they need to take any action.</w:t>
      </w:r>
    </w:p>
    <w:p w14:paraId="0717BB7B" w14:textId="209EE500" w:rsidR="00CF7EA7" w:rsidRDefault="00CF7EA7" w:rsidP="00CF7EA7">
      <w:r>
        <w:t>F</w:t>
      </w:r>
      <w:r w:rsidR="00530D49">
        <w:t xml:space="preserve">or many customers </w:t>
      </w:r>
      <w:r>
        <w:t xml:space="preserve">deductions </w:t>
      </w:r>
      <w:r w:rsidR="00530D49">
        <w:t>won’t change</w:t>
      </w:r>
      <w:r w:rsidR="00E018E2">
        <w:t xml:space="preserve"> and m</w:t>
      </w:r>
      <w:r>
        <w:t>ost customers don</w:t>
      </w:r>
      <w:r w:rsidR="005D178D">
        <w:t>’</w:t>
      </w:r>
      <w:r>
        <w:t>t need to do anything.</w:t>
      </w:r>
    </w:p>
    <w:p w14:paraId="53EFFD9F" w14:textId="1D56B1FD" w:rsidR="00530D49" w:rsidRDefault="00530D49" w:rsidP="00530D49">
      <w:r>
        <w:t>We</w:t>
      </w:r>
      <w:r w:rsidR="005D178D">
        <w:t>’</w:t>
      </w:r>
      <w:r>
        <w:t xml:space="preserve">re sending either an SMS or a letter to customers who will be impacted by the changes </w:t>
      </w:r>
      <w:r w:rsidR="00CF7EA7">
        <w:t>telling</w:t>
      </w:r>
      <w:r>
        <w:t xml:space="preserve"> them </w:t>
      </w:r>
      <w:r w:rsidR="00CF7EA7">
        <w:t xml:space="preserve">about </w:t>
      </w:r>
      <w:r>
        <w:t>the changes.</w:t>
      </w:r>
    </w:p>
    <w:p w14:paraId="38E193D4" w14:textId="22AB518D" w:rsidR="00530D49" w:rsidRDefault="00530D49" w:rsidP="00530D49">
      <w:r>
        <w:t xml:space="preserve">Customers who are subscribed to electronic messaging will </w:t>
      </w:r>
      <w:r w:rsidR="00CF7EA7">
        <w:t>get</w:t>
      </w:r>
      <w:r>
        <w:t xml:space="preserve"> an SMS </w:t>
      </w:r>
      <w:r w:rsidR="00CF7EA7">
        <w:t>telling</w:t>
      </w:r>
      <w:r>
        <w:t xml:space="preserve"> them of the changes and directing them to the Services Australia website for further information.</w:t>
      </w:r>
    </w:p>
    <w:p w14:paraId="75E04E18" w14:textId="21F6EFEF" w:rsidR="007A6C05" w:rsidRDefault="007A6C05" w:rsidP="00516809">
      <w:pPr>
        <w:pStyle w:val="Heading2"/>
      </w:pPr>
      <w:bookmarkStart w:id="63" w:name="_Toc211364794"/>
      <w:bookmarkStart w:id="64" w:name="_Toc211365212"/>
      <w:bookmarkStart w:id="65" w:name="_Toc211365362"/>
      <w:bookmarkStart w:id="66" w:name="_Toc211365401"/>
      <w:bookmarkStart w:id="67" w:name="_Toc211365486"/>
      <w:bookmarkStart w:id="68" w:name="_Toc211365526"/>
      <w:bookmarkStart w:id="69" w:name="_Toc211365527"/>
      <w:bookmarkEnd w:id="63"/>
      <w:bookmarkEnd w:id="64"/>
      <w:bookmarkEnd w:id="65"/>
      <w:bookmarkEnd w:id="66"/>
      <w:bookmarkEnd w:id="67"/>
      <w:bookmarkEnd w:id="68"/>
      <w:r>
        <w:t xml:space="preserve">What </w:t>
      </w:r>
      <w:r w:rsidR="00524423">
        <w:t xml:space="preserve">are the </w:t>
      </w:r>
      <w:r>
        <w:t>changes to Centrepay?</w:t>
      </w:r>
      <w:bookmarkEnd w:id="69"/>
    </w:p>
    <w:p w14:paraId="66CD8920" w14:textId="6227334D" w:rsidR="00C61380" w:rsidRPr="001F7217" w:rsidRDefault="00C61380" w:rsidP="00B13D76">
      <w:r w:rsidRPr="001F7217">
        <w:t>Some of the changes are:</w:t>
      </w:r>
    </w:p>
    <w:p w14:paraId="356EBBAC" w14:textId="77777777" w:rsidR="00530D49" w:rsidRDefault="00530D49" w:rsidP="0062095B">
      <w:pPr>
        <w:pStyle w:val="ListParagraph"/>
      </w:pPr>
      <w:r>
        <w:t>new deduction authority form</w:t>
      </w:r>
    </w:p>
    <w:p w14:paraId="7F784DBC" w14:textId="1DC28C68" w:rsidR="007A6C05" w:rsidRDefault="007A6C05" w:rsidP="0062095B">
      <w:pPr>
        <w:pStyle w:val="ListParagraph"/>
      </w:pPr>
      <w:r>
        <w:t>strengthened compliance and complaints processes</w:t>
      </w:r>
    </w:p>
    <w:p w14:paraId="797557A0" w14:textId="189F59B6" w:rsidR="00530D49" w:rsidRDefault="00530D49" w:rsidP="0062095B">
      <w:pPr>
        <w:pStyle w:val="ListParagraph"/>
      </w:pPr>
      <w:r>
        <w:t xml:space="preserve">new mandatory conditions </w:t>
      </w:r>
      <w:r w:rsidR="00EE0ACD">
        <w:t xml:space="preserve">such as </w:t>
      </w:r>
      <w:r>
        <w:t>mandatory end dates and target amounts for some deductions</w:t>
      </w:r>
    </w:p>
    <w:p w14:paraId="64181344" w14:textId="0123515B" w:rsidR="00530D49" w:rsidRDefault="0073136C" w:rsidP="0062095B">
      <w:pPr>
        <w:pStyle w:val="ListParagraph"/>
      </w:pPr>
      <w:r>
        <w:t>expanded list of excluded items</w:t>
      </w:r>
      <w:r w:rsidR="00530D49">
        <w:t xml:space="preserve">, </w:t>
      </w:r>
      <w:r>
        <w:t xml:space="preserve">including </w:t>
      </w:r>
      <w:r w:rsidR="00530D49">
        <w:t>mobile phones</w:t>
      </w:r>
      <w:r>
        <w:t xml:space="preserve">, laptops and tablets unless purchased through </w:t>
      </w:r>
      <w:r w:rsidR="001C1AE2">
        <w:t>the No Interest Loans Scheme (NILS)</w:t>
      </w:r>
    </w:p>
    <w:p w14:paraId="0E606AD8" w14:textId="77777777" w:rsidR="00530D49" w:rsidRDefault="00530D49" w:rsidP="0062095B">
      <w:pPr>
        <w:pStyle w:val="ListParagraph"/>
      </w:pPr>
      <w:r w:rsidRPr="001F7217">
        <w:t>new Centrepay Terms of Use and Centrepay Policy</w:t>
      </w:r>
      <w:r>
        <w:t xml:space="preserve"> for Business</w:t>
      </w:r>
    </w:p>
    <w:p w14:paraId="23EFA208" w14:textId="7EBE8B64" w:rsidR="00530D49" w:rsidRDefault="00530D49" w:rsidP="0062095B">
      <w:pPr>
        <w:pStyle w:val="ListParagraph"/>
      </w:pPr>
      <w:r>
        <w:t>new application and onboarding process</w:t>
      </w:r>
      <w:r w:rsidR="00EE0ACD">
        <w:t>.</w:t>
      </w:r>
    </w:p>
    <w:p w14:paraId="54C34AE3" w14:textId="70D22424" w:rsidR="00530D49" w:rsidRDefault="007A0928" w:rsidP="008D6987">
      <w:r>
        <w:t>Services Australia is</w:t>
      </w:r>
      <w:r w:rsidR="00530D49">
        <w:t xml:space="preserve"> also</w:t>
      </w:r>
      <w:r w:rsidR="00530D49" w:rsidRPr="00530D49">
        <w:t xml:space="preserve"> </w:t>
      </w:r>
      <w:r w:rsidR="00530D49">
        <w:t>removing:</w:t>
      </w:r>
    </w:p>
    <w:p w14:paraId="454B1EC1" w14:textId="0F9E5DA3" w:rsidR="007A6C05" w:rsidRDefault="007A6C05" w:rsidP="0062095B">
      <w:pPr>
        <w:pStyle w:val="ListParagraph"/>
      </w:pPr>
      <w:r>
        <w:t>7 higher risk and les</w:t>
      </w:r>
      <w:r w:rsidR="00F019C2">
        <w:t>s-</w:t>
      </w:r>
      <w:r>
        <w:t>us</w:t>
      </w:r>
      <w:r w:rsidR="00F019C2">
        <w:t>ed</w:t>
      </w:r>
      <w:r>
        <w:t xml:space="preserve"> service reasons</w:t>
      </w:r>
    </w:p>
    <w:p w14:paraId="5919B928" w14:textId="1025F3BA" w:rsidR="003F3485" w:rsidRDefault="007A6C05" w:rsidP="0062095B">
      <w:pPr>
        <w:pStyle w:val="ListParagraph"/>
      </w:pPr>
      <w:r>
        <w:t xml:space="preserve">some goods and services </w:t>
      </w:r>
      <w:r w:rsidR="001D1AFF">
        <w:t>such as</w:t>
      </w:r>
      <w:r>
        <w:t xml:space="preserve"> self-storage, fuel, </w:t>
      </w:r>
      <w:r w:rsidR="001D1AFF">
        <w:t xml:space="preserve">and </w:t>
      </w:r>
      <w:r>
        <w:t>items from butchers</w:t>
      </w:r>
      <w:r w:rsidR="001D1AFF">
        <w:t>.</w:t>
      </w:r>
    </w:p>
    <w:p w14:paraId="543C9879" w14:textId="77777777" w:rsidR="00DD4957" w:rsidRPr="005F6DF4" w:rsidRDefault="00DD4957" w:rsidP="00516809">
      <w:pPr>
        <w:pStyle w:val="Heading2"/>
      </w:pPr>
      <w:bookmarkStart w:id="70" w:name="_Toc211365528"/>
      <w:r w:rsidRPr="005F6DF4">
        <w:t>Why is Services Australia making changes to Centrepay?</w:t>
      </w:r>
      <w:bookmarkEnd w:id="70"/>
    </w:p>
    <w:p w14:paraId="33B22BC8" w14:textId="77777777" w:rsidR="00DD4957" w:rsidRDefault="00DD4957" w:rsidP="00DD4957">
      <w:r w:rsidRPr="00B8249C">
        <w:t>We're updating Centrepay to make it better for both customers and businesses.</w:t>
      </w:r>
    </w:p>
    <w:p w14:paraId="5546589E" w14:textId="77777777" w:rsidR="00DD4957" w:rsidRDefault="00DD4957" w:rsidP="00DD4957">
      <w:r>
        <w:t>We got clear feedback from the community that we needed to improve Centrepay so it could continue operating as an effective budgeting tool for customers. This includes the need for stronger safeguards to reduce the risk of financial harm.</w:t>
      </w:r>
    </w:p>
    <w:p w14:paraId="06C291C0" w14:textId="05E54AA3" w:rsidR="00DD4957" w:rsidRPr="00B13D76" w:rsidRDefault="00DD4957" w:rsidP="00DD4957">
      <w:r>
        <w:t xml:space="preserve">We’re acting on this feedback </w:t>
      </w:r>
      <w:r w:rsidRPr="00B8249C">
        <w:t>by improving customer protections</w:t>
      </w:r>
      <w:r>
        <w:t xml:space="preserve"> and </w:t>
      </w:r>
      <w:r w:rsidR="005A487F">
        <w:t>making</w:t>
      </w:r>
      <w:r>
        <w:t xml:space="preserve"> </w:t>
      </w:r>
      <w:r w:rsidRPr="00B8249C">
        <w:t>sur</w:t>
      </w:r>
      <w:r>
        <w:t>e</w:t>
      </w:r>
      <w:r w:rsidRPr="00B8249C">
        <w:t xml:space="preserve"> Centrepay businesses understand their obligations when using Centrepay.</w:t>
      </w:r>
    </w:p>
    <w:p w14:paraId="715E18E3" w14:textId="77777777" w:rsidR="00DD4957" w:rsidRDefault="00DD4957" w:rsidP="00DD4957">
      <w:r w:rsidRPr="229F3478">
        <w:rPr>
          <w:rFonts w:eastAsiaTheme="minorEastAsia"/>
          <w:kern w:val="0"/>
          <w14:ligatures w14:val="none"/>
        </w:rPr>
        <w:t xml:space="preserve">For more information learn about </w:t>
      </w:r>
      <w:hyperlink r:id="rId11" w:history="1">
        <w:r w:rsidRPr="229F3478">
          <w:rPr>
            <w:rStyle w:val="Hyperlink"/>
            <w:rFonts w:ascii="Roboto" w:eastAsiaTheme="minorEastAsia" w:hAnsi="Roboto"/>
            <w:kern w:val="0"/>
            <w:sz w:val="20"/>
            <w:szCs w:val="20"/>
            <w14:ligatures w14:val="none"/>
          </w:rPr>
          <w:t>Centrepay reform</w:t>
        </w:r>
      </w:hyperlink>
    </w:p>
    <w:p w14:paraId="0FD129EE" w14:textId="77777777" w:rsidR="00D701BA" w:rsidRPr="009F094D" w:rsidRDefault="00D701BA" w:rsidP="00DD4957">
      <w:pPr>
        <w:rPr>
          <w:rFonts w:eastAsiaTheme="minorEastAsia"/>
          <w:kern w:val="0"/>
          <w14:ligatures w14:val="none"/>
        </w:rPr>
      </w:pPr>
    </w:p>
    <w:p w14:paraId="1D16CAF5" w14:textId="6BED630F" w:rsidR="00410ADD" w:rsidRDefault="00410ADD">
      <w:pPr>
        <w:spacing w:before="0" w:after="160" w:line="259" w:lineRule="auto"/>
      </w:pPr>
    </w:p>
    <w:p w14:paraId="5BF5D78B" w14:textId="77777777" w:rsidR="005C0618" w:rsidRDefault="005C0618">
      <w:pPr>
        <w:spacing w:before="0" w:after="160" w:line="259" w:lineRule="auto"/>
        <w:sectPr w:rsidR="005C0618" w:rsidSect="005C0618">
          <w:headerReference w:type="even" r:id="rId12"/>
          <w:headerReference w:type="default" r:id="rId13"/>
          <w:footerReference w:type="even" r:id="rId14"/>
          <w:footerReference w:type="default" r:id="rId15"/>
          <w:headerReference w:type="first" r:id="rId16"/>
          <w:footerReference w:type="first" r:id="rId17"/>
          <w:pgSz w:w="11906" w:h="16838"/>
          <w:pgMar w:top="1418" w:right="1080" w:bottom="851" w:left="1080" w:header="284" w:footer="403" w:gutter="0"/>
          <w:cols w:space="708"/>
          <w:titlePg/>
          <w:docGrid w:linePitch="360"/>
        </w:sectPr>
      </w:pPr>
    </w:p>
    <w:p w14:paraId="2749E98A" w14:textId="003D5F3E" w:rsidR="00874826" w:rsidRPr="00B8249C" w:rsidRDefault="00874826" w:rsidP="00516809">
      <w:pPr>
        <w:pStyle w:val="Heading2"/>
      </w:pPr>
      <w:bookmarkStart w:id="71" w:name="_Toc211365529"/>
      <w:r>
        <w:lastRenderedPageBreak/>
        <w:t xml:space="preserve">What do customers </w:t>
      </w:r>
      <w:r w:rsidRPr="68FE5848">
        <w:t>need to do</w:t>
      </w:r>
      <w:r>
        <w:t xml:space="preserve"> if their </w:t>
      </w:r>
      <w:r w:rsidR="007B2905">
        <w:t xml:space="preserve">goods or services have </w:t>
      </w:r>
      <w:r>
        <w:t>new rules</w:t>
      </w:r>
      <w:r w:rsidR="007B2905">
        <w:t xml:space="preserve"> or</w:t>
      </w:r>
      <w:r>
        <w:t xml:space="preserve"> conditions</w:t>
      </w:r>
      <w:r w:rsidRPr="68FE5848">
        <w:t>?</w:t>
      </w:r>
      <w:bookmarkEnd w:id="71"/>
    </w:p>
    <w:p w14:paraId="783E538B" w14:textId="77777777" w:rsidR="00FD1C45" w:rsidRPr="004C47D8" w:rsidRDefault="00FD1C45" w:rsidP="00FD1C45">
      <w:pPr>
        <w:rPr>
          <w:b/>
          <w:bCs/>
          <w:sz w:val="24"/>
          <w:szCs w:val="24"/>
        </w:rPr>
      </w:pPr>
      <w:r w:rsidRPr="004C47D8">
        <w:rPr>
          <w:b/>
          <w:bCs/>
          <w:sz w:val="24"/>
          <w:szCs w:val="24"/>
        </w:rPr>
        <w:t>Businesses will contact customers</w:t>
      </w:r>
    </w:p>
    <w:p w14:paraId="0A17EBE4" w14:textId="08B96588" w:rsidR="00FD1C45" w:rsidRDefault="00FD1C45" w:rsidP="00FD1C45">
      <w:r>
        <w:t>Businesses should contact their customers to discuss the changes to their deductions.</w:t>
      </w:r>
    </w:p>
    <w:p w14:paraId="52C14EFC" w14:textId="77777777" w:rsidR="00FD1C45" w:rsidRDefault="00FD1C45" w:rsidP="00FD1C45">
      <w:r>
        <w:t>The business must make sure all deductions meet their Centrepay obligations including adding any mandatory conditions.</w:t>
      </w:r>
    </w:p>
    <w:p w14:paraId="28E7F5A2" w14:textId="3BAC1BAE" w:rsidR="007F2625" w:rsidRPr="008D6987" w:rsidRDefault="001D1AFF" w:rsidP="008B3E93">
      <w:pPr>
        <w:rPr>
          <w:b/>
          <w:bCs/>
          <w:sz w:val="24"/>
          <w:szCs w:val="24"/>
        </w:rPr>
      </w:pPr>
      <w:r w:rsidRPr="008D6987">
        <w:rPr>
          <w:b/>
          <w:bCs/>
          <w:sz w:val="24"/>
          <w:szCs w:val="24"/>
        </w:rPr>
        <w:t>Self-managing deductions</w:t>
      </w:r>
    </w:p>
    <w:p w14:paraId="7841135E" w14:textId="41016755" w:rsidR="007F2625" w:rsidRDefault="001D1AFF" w:rsidP="007F2625">
      <w:pPr>
        <w:rPr>
          <w:lang w:val="en"/>
        </w:rPr>
      </w:pPr>
      <w:r>
        <w:t>E</w:t>
      </w:r>
      <w:r w:rsidRPr="00FF7692">
        <w:t xml:space="preserve">ncourage </w:t>
      </w:r>
      <w:r>
        <w:t>c</w:t>
      </w:r>
      <w:r w:rsidR="007F2625" w:rsidRPr="008D6987">
        <w:t xml:space="preserve">ustomers </w:t>
      </w:r>
      <w:r w:rsidR="007F2625">
        <w:t xml:space="preserve">to </w:t>
      </w:r>
      <w:r>
        <w:t>self-manage</w:t>
      </w:r>
      <w:r w:rsidR="007F2625">
        <w:t xml:space="preserve"> </w:t>
      </w:r>
      <w:r w:rsidR="007F2625" w:rsidRPr="008D6987">
        <w:t xml:space="preserve">their deductions </w:t>
      </w:r>
      <w:r w:rsidR="007F2625">
        <w:t>to make sure they</w:t>
      </w:r>
      <w:r w:rsidR="005D178D">
        <w:t>’</w:t>
      </w:r>
      <w:r w:rsidR="007F2625" w:rsidRPr="008D6987">
        <w:t>re up to date.</w:t>
      </w:r>
      <w:r w:rsidR="007F2625">
        <w:t xml:space="preserve"> </w:t>
      </w:r>
      <w:r w:rsidR="007F2625">
        <w:rPr>
          <w:lang w:val="en"/>
        </w:rPr>
        <w:t>Customers can check and manage their deductions by:</w:t>
      </w:r>
    </w:p>
    <w:p w14:paraId="7390F628" w14:textId="77777777" w:rsidR="007F2625" w:rsidRDefault="007F2625" w:rsidP="0062095B">
      <w:pPr>
        <w:pStyle w:val="ListParagraph"/>
        <w:rPr>
          <w:lang w:val="en"/>
        </w:rPr>
      </w:pPr>
      <w:r>
        <w:rPr>
          <w:lang w:val="en"/>
        </w:rPr>
        <w:t>signing into their Centrelink online account</w:t>
      </w:r>
    </w:p>
    <w:p w14:paraId="367976BC" w14:textId="3235004C" w:rsidR="00FD1C45" w:rsidRDefault="007F2625" w:rsidP="3939E91F">
      <w:pPr>
        <w:pStyle w:val="ListParagraph"/>
        <w:rPr>
          <w:lang w:val="en-US"/>
        </w:rPr>
      </w:pPr>
      <w:r w:rsidRPr="3939E91F">
        <w:rPr>
          <w:lang w:val="en-US"/>
        </w:rPr>
        <w:t>using the Express Plus Centrelink mobile or myGov app</w:t>
      </w:r>
      <w:r w:rsidR="005D178D" w:rsidRPr="3939E91F">
        <w:rPr>
          <w:lang w:val="en-US"/>
        </w:rPr>
        <w:t>.</w:t>
      </w:r>
    </w:p>
    <w:p w14:paraId="4B5098D3" w14:textId="6DED93D0" w:rsidR="00FD1C45" w:rsidRPr="00FD1C45" w:rsidRDefault="00FD1C45" w:rsidP="7ECFAE18">
      <w:pPr>
        <w:rPr>
          <w:lang w:val="en-US"/>
        </w:rPr>
      </w:pPr>
      <w:r w:rsidRPr="7ECFAE18">
        <w:rPr>
          <w:lang w:val="en-US"/>
        </w:rPr>
        <w:t>If customers need assistance they can:</w:t>
      </w:r>
    </w:p>
    <w:p w14:paraId="2689AADB" w14:textId="75986D3B" w:rsidR="00FD1C45" w:rsidRPr="00FD1C45" w:rsidRDefault="007F2625" w:rsidP="0062095B">
      <w:pPr>
        <w:pStyle w:val="ListParagraph"/>
        <w:rPr>
          <w:lang w:val="en"/>
        </w:rPr>
      </w:pPr>
      <w:r w:rsidRPr="00FD1C45">
        <w:rPr>
          <w:lang w:val="en"/>
        </w:rPr>
        <w:t xml:space="preserve">call </w:t>
      </w:r>
      <w:r w:rsidR="005633AE" w:rsidRPr="00FD1C45">
        <w:rPr>
          <w:lang w:val="en"/>
        </w:rPr>
        <w:t>Services Australia</w:t>
      </w:r>
      <w:r w:rsidRPr="00FD1C45">
        <w:rPr>
          <w:lang w:val="en"/>
        </w:rPr>
        <w:t xml:space="preserve"> on their regular payment line</w:t>
      </w:r>
      <w:r w:rsidR="00FD1C45">
        <w:rPr>
          <w:lang w:val="en"/>
        </w:rPr>
        <w:t xml:space="preserve"> </w:t>
      </w:r>
    </w:p>
    <w:p w14:paraId="18C9B4A8" w14:textId="1BA0516E" w:rsidR="007F2625" w:rsidRPr="00FD1C45" w:rsidRDefault="007F2625" w:rsidP="3939E91F">
      <w:pPr>
        <w:pStyle w:val="ListParagraph"/>
        <w:rPr>
          <w:lang w:val="en-US"/>
        </w:rPr>
      </w:pPr>
      <w:r w:rsidRPr="3939E91F">
        <w:rPr>
          <w:lang w:val="en-US"/>
        </w:rPr>
        <w:t xml:space="preserve">visit </w:t>
      </w:r>
      <w:r w:rsidR="001D1AFF" w:rsidRPr="3939E91F">
        <w:rPr>
          <w:lang w:val="en-US"/>
        </w:rPr>
        <w:t xml:space="preserve">Services Australia at </w:t>
      </w:r>
      <w:r w:rsidRPr="3939E91F">
        <w:rPr>
          <w:lang w:val="en-US"/>
        </w:rPr>
        <w:t>their nearest service centre</w:t>
      </w:r>
      <w:r w:rsidR="005D178D" w:rsidRPr="3939E91F">
        <w:rPr>
          <w:lang w:val="en-US"/>
        </w:rPr>
        <w:t>.</w:t>
      </w:r>
    </w:p>
    <w:p w14:paraId="5DC19170" w14:textId="2686CD75" w:rsidR="00DD4957" w:rsidRPr="00B8249C" w:rsidRDefault="00DD4957" w:rsidP="00516809">
      <w:pPr>
        <w:pStyle w:val="Heading2"/>
      </w:pPr>
      <w:bookmarkStart w:id="72" w:name="_Toc211365530"/>
      <w:r>
        <w:t>What are the new mandatory rules or conditions</w:t>
      </w:r>
      <w:r w:rsidRPr="68FE5848">
        <w:t>?</w:t>
      </w:r>
      <w:bookmarkEnd w:id="72"/>
    </w:p>
    <w:p w14:paraId="028E0193" w14:textId="47B99451" w:rsidR="00874826" w:rsidRPr="008D6987" w:rsidRDefault="00874826" w:rsidP="008B3E93">
      <w:pPr>
        <w:rPr>
          <w:b/>
          <w:bCs/>
          <w:sz w:val="24"/>
          <w:szCs w:val="24"/>
        </w:rPr>
      </w:pPr>
      <w:r w:rsidRPr="008D6987">
        <w:rPr>
          <w:b/>
          <w:bCs/>
          <w:sz w:val="24"/>
          <w:szCs w:val="24"/>
        </w:rPr>
        <w:t xml:space="preserve">The new mandatory conditions </w:t>
      </w:r>
      <w:r w:rsidR="00334E6F" w:rsidRPr="008D6987">
        <w:rPr>
          <w:b/>
          <w:bCs/>
          <w:sz w:val="24"/>
          <w:szCs w:val="24"/>
        </w:rPr>
        <w:t>are</w:t>
      </w:r>
      <w:r w:rsidRPr="008D6987">
        <w:rPr>
          <w:b/>
          <w:bCs/>
          <w:sz w:val="24"/>
          <w:szCs w:val="24"/>
        </w:rPr>
        <w:t>:</w:t>
      </w:r>
    </w:p>
    <w:p w14:paraId="1CDF0B5E" w14:textId="2D976D9A" w:rsidR="00874826" w:rsidRPr="00B13D76" w:rsidRDefault="00874826" w:rsidP="0062095B">
      <w:pPr>
        <w:pStyle w:val="ListParagraph"/>
      </w:pPr>
      <w:r w:rsidRPr="00B13D76">
        <w:t>mandatory end date</w:t>
      </w:r>
      <w:r w:rsidR="00524423">
        <w:t xml:space="preserve"> - t</w:t>
      </w:r>
      <w:r w:rsidR="00FD1C45">
        <w:t xml:space="preserve">his is </w:t>
      </w:r>
      <w:r w:rsidRPr="00B13D76">
        <w:t>the date the deduction will stop</w:t>
      </w:r>
    </w:p>
    <w:p w14:paraId="33C3DA03" w14:textId="7522EBF0" w:rsidR="00874826" w:rsidRPr="00B13D76" w:rsidRDefault="00874826" w:rsidP="0062095B">
      <w:pPr>
        <w:pStyle w:val="ListParagraph"/>
      </w:pPr>
      <w:r w:rsidRPr="00B13D76">
        <w:t>mandatory target amount</w:t>
      </w:r>
      <w:r w:rsidR="00524423">
        <w:t xml:space="preserve"> - t</w:t>
      </w:r>
      <w:r w:rsidR="00FD1C45">
        <w:t>his is</w:t>
      </w:r>
      <w:r w:rsidR="008D6987">
        <w:t xml:space="preserve"> </w:t>
      </w:r>
      <w:r w:rsidRPr="00B13D76">
        <w:t>the maximum amount</w:t>
      </w:r>
      <w:r w:rsidR="005D178D">
        <w:t xml:space="preserve"> the customer will pay the business through their Centrepay deductions. </w:t>
      </w:r>
    </w:p>
    <w:p w14:paraId="7B8F6CCB" w14:textId="10AF7967" w:rsidR="00874826" w:rsidRDefault="00004E1B" w:rsidP="00874826">
      <w:r>
        <w:t>Services Australia will apply the m</w:t>
      </w:r>
      <w:r w:rsidR="00874826">
        <w:t xml:space="preserve">andatory conditions to some service reasons. </w:t>
      </w:r>
      <w:r w:rsidR="00874826" w:rsidRPr="00074985">
        <w:t>The service reasons with new mandatory conditions are</w:t>
      </w:r>
      <w:r w:rsidR="00874826">
        <w:t xml:space="preserve"> outlined below.</w:t>
      </w:r>
    </w:p>
    <w:p w14:paraId="14003F1D" w14:textId="7A6FC935" w:rsidR="00874826" w:rsidRPr="008D6987" w:rsidRDefault="00874826" w:rsidP="008B3E93">
      <w:pPr>
        <w:rPr>
          <w:b/>
          <w:bCs/>
          <w:sz w:val="24"/>
          <w:szCs w:val="24"/>
        </w:rPr>
      </w:pPr>
      <w:r w:rsidRPr="008D6987">
        <w:rPr>
          <w:b/>
          <w:bCs/>
          <w:sz w:val="24"/>
          <w:szCs w:val="24"/>
        </w:rPr>
        <w:t>Mandatory conditions applied to service reasons</w:t>
      </w:r>
    </w:p>
    <w:p w14:paraId="6FE114E8" w14:textId="7EA32C0A" w:rsidR="00063CCA" w:rsidRPr="00B33E81" w:rsidRDefault="00874826" w:rsidP="008D6987">
      <w:pPr>
        <w:rPr>
          <w:bCs/>
        </w:rPr>
      </w:pPr>
      <w:r w:rsidRPr="008D6987">
        <w:rPr>
          <w:rStyle w:val="Heading4Char"/>
          <w:rFonts w:eastAsiaTheme="minorHAnsi" w:cstheme="minorBidi"/>
          <w:bCs/>
          <w:color w:val="auto"/>
        </w:rPr>
        <w:t>Mandatory end dates</w:t>
      </w:r>
    </w:p>
    <w:p w14:paraId="688209D5" w14:textId="38868B0B" w:rsidR="00874826" w:rsidRPr="00063CCA" w:rsidRDefault="000A59BF" w:rsidP="00063CCA">
      <w:r>
        <w:rPr>
          <w:rStyle w:val="Heading4Char"/>
          <w:rFonts w:eastAsiaTheme="minorHAnsi" w:cstheme="minorBidi"/>
          <w:b w:val="0"/>
          <w:iCs w:val="0"/>
          <w:color w:val="auto"/>
        </w:rPr>
        <w:t>M</w:t>
      </w:r>
      <w:r w:rsidR="00063CCA" w:rsidRPr="0086338E">
        <w:rPr>
          <w:rStyle w:val="Heading4Char"/>
          <w:rFonts w:eastAsiaTheme="minorHAnsi" w:cstheme="minorBidi"/>
          <w:b w:val="0"/>
          <w:iCs w:val="0"/>
          <w:color w:val="auto"/>
          <w:szCs w:val="22"/>
        </w:rPr>
        <w:t>andatory end dates</w:t>
      </w:r>
      <w:r>
        <w:rPr>
          <w:rStyle w:val="Heading4Char"/>
          <w:rFonts w:eastAsiaTheme="minorHAnsi" w:cstheme="minorBidi"/>
          <w:b w:val="0"/>
          <w:iCs w:val="0"/>
          <w:color w:val="auto"/>
          <w:szCs w:val="22"/>
        </w:rPr>
        <w:t xml:space="preserve"> must be added</w:t>
      </w:r>
      <w:r w:rsidR="00063CCA" w:rsidRPr="00063CCA">
        <w:t xml:space="preserve"> </w:t>
      </w:r>
      <w:r>
        <w:t>to</w:t>
      </w:r>
      <w:r w:rsidRPr="00063CCA">
        <w:t xml:space="preserve"> </w:t>
      </w:r>
      <w:r w:rsidR="00874826" w:rsidRPr="00063CCA">
        <w:t>deductions</w:t>
      </w:r>
      <w:r w:rsidR="005D178D">
        <w:t xml:space="preserve"> for</w:t>
      </w:r>
      <w:r w:rsidR="005D178D" w:rsidRPr="00063CCA">
        <w:t xml:space="preserve"> </w:t>
      </w:r>
      <w:r w:rsidR="00874826" w:rsidRPr="00063CCA">
        <w:t xml:space="preserve">the following </w:t>
      </w:r>
      <w:r>
        <w:t xml:space="preserve">goods and </w:t>
      </w:r>
      <w:r w:rsidR="00874826" w:rsidRPr="00063CCA">
        <w:t>service</w:t>
      </w:r>
      <w:r>
        <w:t>s</w:t>
      </w:r>
      <w:r w:rsidR="00874826" w:rsidRPr="00063CCA">
        <w:t>:</w:t>
      </w:r>
    </w:p>
    <w:tbl>
      <w:tblPr>
        <w:tblStyle w:val="TableGrid"/>
        <w:tblpPr w:leftFromText="180" w:rightFromText="180" w:vertAnchor="text" w:horzAnchor="margin" w:tblpXSpec="center" w:tblpY="78"/>
        <w:tblW w:w="5000" w:type="pct"/>
        <w:tblLook w:val="04A0" w:firstRow="1" w:lastRow="0" w:firstColumn="1" w:lastColumn="0" w:noHBand="0" w:noVBand="1"/>
      </w:tblPr>
      <w:tblGrid>
        <w:gridCol w:w="4111"/>
        <w:gridCol w:w="5625"/>
      </w:tblGrid>
      <w:tr w:rsidR="002779BD" w:rsidRPr="00E802BC" w14:paraId="23A26740" w14:textId="77777777" w:rsidTr="008D6987">
        <w:trPr>
          <w:trHeight w:val="281"/>
        </w:trPr>
        <w:tc>
          <w:tcPr>
            <w:tcW w:w="2111" w:type="pct"/>
            <w:shd w:val="clear" w:color="auto" w:fill="767171" w:themeFill="background2" w:themeFillShade="80"/>
          </w:tcPr>
          <w:p w14:paraId="5FC02976" w14:textId="77777777" w:rsidR="00874826" w:rsidRPr="00E802BC" w:rsidRDefault="00874826" w:rsidP="00633E95">
            <w:pPr>
              <w:rPr>
                <w:b/>
                <w:bCs/>
                <w:caps/>
                <w:color w:val="FFFFFF" w:themeColor="background1"/>
                <w:sz w:val="22"/>
                <w:szCs w:val="22"/>
              </w:rPr>
            </w:pPr>
            <w:r w:rsidRPr="00E802BC">
              <w:rPr>
                <w:b/>
                <w:bCs/>
                <w:caps/>
                <w:color w:val="FFFFFF" w:themeColor="background1"/>
                <w:sz w:val="22"/>
                <w:szCs w:val="22"/>
              </w:rPr>
              <w:t>Service Reason</w:t>
            </w:r>
          </w:p>
        </w:tc>
        <w:tc>
          <w:tcPr>
            <w:tcW w:w="2889" w:type="pct"/>
            <w:shd w:val="clear" w:color="auto" w:fill="767171" w:themeFill="background2" w:themeFillShade="80"/>
          </w:tcPr>
          <w:p w14:paraId="6A038216" w14:textId="02B04249" w:rsidR="00874826" w:rsidRPr="00E802BC" w:rsidRDefault="00874826" w:rsidP="00633E95">
            <w:pPr>
              <w:rPr>
                <w:b/>
                <w:bCs/>
                <w:caps/>
                <w:color w:val="FFFFFF" w:themeColor="background1"/>
                <w:sz w:val="22"/>
                <w:szCs w:val="22"/>
              </w:rPr>
            </w:pPr>
            <w:r w:rsidRPr="00E802BC">
              <w:rPr>
                <w:b/>
                <w:bCs/>
                <w:caps/>
                <w:color w:val="FFFFFF" w:themeColor="background1"/>
                <w:sz w:val="22"/>
                <w:szCs w:val="22"/>
              </w:rPr>
              <w:t>Good</w:t>
            </w:r>
            <w:r w:rsidR="007A0928">
              <w:rPr>
                <w:b/>
                <w:bCs/>
                <w:caps/>
                <w:color w:val="FFFFFF" w:themeColor="background1"/>
                <w:sz w:val="22"/>
                <w:szCs w:val="22"/>
              </w:rPr>
              <w:t>S</w:t>
            </w:r>
            <w:r w:rsidRPr="00E802BC">
              <w:rPr>
                <w:b/>
                <w:bCs/>
                <w:caps/>
                <w:color w:val="FFFFFF" w:themeColor="background1"/>
                <w:sz w:val="22"/>
                <w:szCs w:val="22"/>
              </w:rPr>
              <w:t xml:space="preserve"> or service</w:t>
            </w:r>
            <w:r w:rsidR="007A0928">
              <w:rPr>
                <w:b/>
                <w:bCs/>
                <w:caps/>
                <w:color w:val="FFFFFF" w:themeColor="background1"/>
                <w:sz w:val="22"/>
                <w:szCs w:val="22"/>
              </w:rPr>
              <w:t>S</w:t>
            </w:r>
          </w:p>
        </w:tc>
      </w:tr>
      <w:tr w:rsidR="002779BD" w:rsidRPr="00B13D76" w14:paraId="224986D6" w14:textId="77777777" w:rsidTr="008D6987">
        <w:trPr>
          <w:trHeight w:val="567"/>
        </w:trPr>
        <w:tc>
          <w:tcPr>
            <w:tcW w:w="2111" w:type="pct"/>
            <w:vAlign w:val="center"/>
          </w:tcPr>
          <w:p w14:paraId="285FD340" w14:textId="77777777" w:rsidR="00874826" w:rsidRPr="00B13D76" w:rsidRDefault="00874826" w:rsidP="007F2625">
            <w:pPr>
              <w:spacing w:before="0" w:after="0"/>
              <w:rPr>
                <w:sz w:val="22"/>
                <w:szCs w:val="22"/>
              </w:rPr>
            </w:pPr>
            <w:r w:rsidRPr="00B13D76">
              <w:rPr>
                <w:sz w:val="22"/>
                <w:szCs w:val="22"/>
              </w:rPr>
              <w:t>Home care and trade services</w:t>
            </w:r>
          </w:p>
        </w:tc>
        <w:tc>
          <w:tcPr>
            <w:tcW w:w="2889" w:type="pct"/>
            <w:vAlign w:val="center"/>
          </w:tcPr>
          <w:p w14:paraId="7F37FF49" w14:textId="77777777" w:rsidR="00874826" w:rsidRPr="00B13D76" w:rsidRDefault="00874826" w:rsidP="007F2625">
            <w:pPr>
              <w:spacing w:before="0" w:after="0"/>
              <w:rPr>
                <w:sz w:val="22"/>
                <w:szCs w:val="22"/>
              </w:rPr>
            </w:pPr>
            <w:r w:rsidRPr="00B13D76">
              <w:rPr>
                <w:sz w:val="22"/>
                <w:szCs w:val="22"/>
              </w:rPr>
              <w:t>Rehabilitation services or trade services provided in a residence, meal delivery services</w:t>
            </w:r>
          </w:p>
        </w:tc>
      </w:tr>
      <w:tr w:rsidR="002779BD" w:rsidRPr="00B13D76" w14:paraId="21812D61" w14:textId="77777777" w:rsidTr="008D6987">
        <w:trPr>
          <w:trHeight w:val="283"/>
        </w:trPr>
        <w:tc>
          <w:tcPr>
            <w:tcW w:w="2111" w:type="pct"/>
            <w:vAlign w:val="center"/>
          </w:tcPr>
          <w:p w14:paraId="79C68832" w14:textId="77777777" w:rsidR="00874826" w:rsidRPr="00B13D76" w:rsidRDefault="00874826" w:rsidP="007F2625">
            <w:pPr>
              <w:spacing w:before="0" w:after="0"/>
              <w:rPr>
                <w:sz w:val="22"/>
                <w:szCs w:val="22"/>
              </w:rPr>
            </w:pPr>
            <w:r w:rsidRPr="00B13D76">
              <w:rPr>
                <w:sz w:val="22"/>
                <w:szCs w:val="22"/>
              </w:rPr>
              <w:t>School meals program</w:t>
            </w:r>
          </w:p>
        </w:tc>
        <w:tc>
          <w:tcPr>
            <w:tcW w:w="2889" w:type="pct"/>
            <w:vAlign w:val="center"/>
          </w:tcPr>
          <w:p w14:paraId="5063D8CE" w14:textId="77777777" w:rsidR="00874826" w:rsidRPr="00B13D76" w:rsidRDefault="00874826" w:rsidP="007F2625">
            <w:pPr>
              <w:spacing w:before="0" w:after="0"/>
              <w:rPr>
                <w:sz w:val="22"/>
                <w:szCs w:val="22"/>
              </w:rPr>
            </w:pPr>
            <w:r w:rsidRPr="00B13D76">
              <w:rPr>
                <w:sz w:val="22"/>
                <w:szCs w:val="22"/>
              </w:rPr>
              <w:t>Payment for nutrition programs for students in school</w:t>
            </w:r>
          </w:p>
        </w:tc>
      </w:tr>
      <w:tr w:rsidR="002779BD" w:rsidRPr="00B13D76" w14:paraId="15338E23" w14:textId="77777777" w:rsidTr="008D6987">
        <w:trPr>
          <w:trHeight w:val="281"/>
        </w:trPr>
        <w:tc>
          <w:tcPr>
            <w:tcW w:w="2111" w:type="pct"/>
            <w:vAlign w:val="center"/>
          </w:tcPr>
          <w:p w14:paraId="73B6B435" w14:textId="77777777" w:rsidR="00874826" w:rsidRPr="00B13D76" w:rsidRDefault="00874826" w:rsidP="007F2625">
            <w:pPr>
              <w:spacing w:before="0" w:after="0"/>
              <w:rPr>
                <w:sz w:val="22"/>
                <w:szCs w:val="22"/>
              </w:rPr>
            </w:pPr>
            <w:r w:rsidRPr="00B13D76">
              <w:rPr>
                <w:sz w:val="22"/>
                <w:szCs w:val="22"/>
              </w:rPr>
              <w:t>Education expenses</w:t>
            </w:r>
          </w:p>
        </w:tc>
        <w:tc>
          <w:tcPr>
            <w:tcW w:w="2889" w:type="pct"/>
            <w:vAlign w:val="center"/>
          </w:tcPr>
          <w:p w14:paraId="432C4A84" w14:textId="77777777" w:rsidR="00874826" w:rsidRPr="00B13D76" w:rsidRDefault="00874826" w:rsidP="007F2625">
            <w:pPr>
              <w:spacing w:before="0" w:after="0"/>
              <w:rPr>
                <w:sz w:val="22"/>
                <w:szCs w:val="22"/>
              </w:rPr>
            </w:pPr>
            <w:r w:rsidRPr="00B13D76">
              <w:rPr>
                <w:sz w:val="22"/>
                <w:szCs w:val="22"/>
              </w:rPr>
              <w:t>Includes school uniforms, schoolbooks, school equipment, workshops and excursions</w:t>
            </w:r>
          </w:p>
        </w:tc>
      </w:tr>
      <w:tr w:rsidR="002779BD" w:rsidRPr="00B13D76" w14:paraId="6A99A29F" w14:textId="77777777" w:rsidTr="008D6987">
        <w:trPr>
          <w:trHeight w:val="283"/>
        </w:trPr>
        <w:tc>
          <w:tcPr>
            <w:tcW w:w="2111" w:type="pct"/>
            <w:vAlign w:val="center"/>
          </w:tcPr>
          <w:p w14:paraId="75E08291" w14:textId="77777777" w:rsidR="00874826" w:rsidRPr="00B13D76" w:rsidRDefault="00874826" w:rsidP="007F2625">
            <w:pPr>
              <w:spacing w:before="0" w:after="0"/>
              <w:rPr>
                <w:sz w:val="22"/>
                <w:szCs w:val="22"/>
              </w:rPr>
            </w:pPr>
            <w:r w:rsidRPr="00B13D76">
              <w:rPr>
                <w:sz w:val="22"/>
                <w:szCs w:val="22"/>
              </w:rPr>
              <w:t>Disability and community services</w:t>
            </w:r>
          </w:p>
        </w:tc>
        <w:tc>
          <w:tcPr>
            <w:tcW w:w="2889" w:type="pct"/>
            <w:vAlign w:val="center"/>
          </w:tcPr>
          <w:p w14:paraId="40FDFB2C" w14:textId="77777777" w:rsidR="00874826" w:rsidRPr="00B13D76" w:rsidRDefault="00874826" w:rsidP="007F2625">
            <w:pPr>
              <w:spacing w:before="0" w:after="0"/>
              <w:rPr>
                <w:sz w:val="22"/>
                <w:szCs w:val="22"/>
              </w:rPr>
            </w:pPr>
            <w:r w:rsidRPr="00B13D76">
              <w:rPr>
                <w:sz w:val="22"/>
                <w:szCs w:val="22"/>
              </w:rPr>
              <w:t>Disability services such as travel, therapy, and support</w:t>
            </w:r>
          </w:p>
        </w:tc>
      </w:tr>
      <w:tr w:rsidR="002779BD" w:rsidRPr="00B13D76" w14:paraId="31E2BC97" w14:textId="77777777" w:rsidTr="008D6987">
        <w:trPr>
          <w:trHeight w:val="283"/>
        </w:trPr>
        <w:tc>
          <w:tcPr>
            <w:tcW w:w="2111" w:type="pct"/>
            <w:vAlign w:val="center"/>
          </w:tcPr>
          <w:p w14:paraId="23008D39" w14:textId="77777777" w:rsidR="00874826" w:rsidRPr="00B13D76" w:rsidRDefault="00874826" w:rsidP="007F2625">
            <w:pPr>
              <w:spacing w:before="0" w:after="0"/>
              <w:rPr>
                <w:sz w:val="22"/>
                <w:szCs w:val="22"/>
              </w:rPr>
            </w:pPr>
            <w:r w:rsidRPr="00B13D76">
              <w:rPr>
                <w:sz w:val="22"/>
                <w:szCs w:val="22"/>
              </w:rPr>
              <w:t>Child care services</w:t>
            </w:r>
          </w:p>
        </w:tc>
        <w:tc>
          <w:tcPr>
            <w:tcW w:w="2889" w:type="pct"/>
            <w:vAlign w:val="center"/>
          </w:tcPr>
          <w:p w14:paraId="673686EA" w14:textId="77777777" w:rsidR="00874826" w:rsidRPr="00B13D76" w:rsidRDefault="00874826" w:rsidP="007F2625">
            <w:pPr>
              <w:spacing w:before="0" w:after="0"/>
              <w:rPr>
                <w:sz w:val="22"/>
                <w:szCs w:val="22"/>
              </w:rPr>
            </w:pPr>
            <w:r w:rsidRPr="00B13D76">
              <w:rPr>
                <w:sz w:val="22"/>
                <w:szCs w:val="22"/>
              </w:rPr>
              <w:t>Includes daycare, before and after school care costs</w:t>
            </w:r>
          </w:p>
        </w:tc>
      </w:tr>
    </w:tbl>
    <w:p w14:paraId="6269B0D0" w14:textId="2B6CB262" w:rsidR="00874826" w:rsidRDefault="00004E1B" w:rsidP="00874826">
      <w:r>
        <w:t xml:space="preserve">For more information, learn more about </w:t>
      </w:r>
      <w:hyperlink r:id="rId18" w:history="1">
        <w:r w:rsidRPr="00004E1B">
          <w:rPr>
            <w:rStyle w:val="Hyperlink"/>
          </w:rPr>
          <w:t>Centrepay goods and services</w:t>
        </w:r>
      </w:hyperlink>
    </w:p>
    <w:p w14:paraId="16BB1EC7" w14:textId="77777777" w:rsidR="003F3485" w:rsidRDefault="003F3485" w:rsidP="00874826"/>
    <w:p w14:paraId="618E5A9E" w14:textId="0E187EDE" w:rsidR="003F3485" w:rsidRDefault="003F3485">
      <w:pPr>
        <w:spacing w:before="0" w:after="160" w:line="259" w:lineRule="auto"/>
      </w:pPr>
      <w:r>
        <w:br w:type="page"/>
      </w:r>
    </w:p>
    <w:p w14:paraId="54EBB93E" w14:textId="77777777" w:rsidR="00063CCA" w:rsidRPr="008D6987" w:rsidRDefault="00874826" w:rsidP="008D6987">
      <w:pPr>
        <w:rPr>
          <w:rStyle w:val="Heading4Char"/>
          <w:rFonts w:eastAsiaTheme="minorHAnsi" w:cstheme="minorBidi"/>
          <w:bCs/>
          <w:color w:val="auto"/>
        </w:rPr>
      </w:pPr>
      <w:bookmarkStart w:id="73" w:name="_Hlk211362922"/>
      <w:r w:rsidRPr="008D6987">
        <w:rPr>
          <w:rStyle w:val="Heading4Char"/>
          <w:rFonts w:eastAsiaTheme="minorHAnsi" w:cstheme="minorBidi"/>
          <w:bCs/>
          <w:color w:val="auto"/>
        </w:rPr>
        <w:lastRenderedPageBreak/>
        <w:t>Mandatory target amounts</w:t>
      </w:r>
      <w:bookmarkEnd w:id="73"/>
    </w:p>
    <w:p w14:paraId="2310308F" w14:textId="43BED611" w:rsidR="00874826" w:rsidRPr="00E802BC" w:rsidRDefault="00524423" w:rsidP="00063CCA">
      <w:pPr>
        <w:rPr>
          <w:rFonts w:eastAsia="Times New Roman" w:cs="Times New Roman"/>
          <w:kern w:val="0"/>
          <w:lang w:eastAsia="en-AU"/>
          <w14:ligatures w14:val="none"/>
        </w:rPr>
      </w:pPr>
      <w:r>
        <w:t>We’re adding m</w:t>
      </w:r>
      <w:r w:rsidR="00063CCA" w:rsidRPr="00063CCA">
        <w:t>andatory target amounts</w:t>
      </w:r>
      <w:r>
        <w:t>,</w:t>
      </w:r>
      <w:r w:rsidR="00063CCA">
        <w:t xml:space="preserve"> </w:t>
      </w:r>
      <w:r w:rsidR="00004E1B" w:rsidRPr="00063CCA">
        <w:t xml:space="preserve">or the </w:t>
      </w:r>
      <w:r w:rsidR="00874826" w:rsidRPr="00063CCA">
        <w:t>total amount payable</w:t>
      </w:r>
      <w:r w:rsidR="00004E1B" w:rsidRPr="00063CCA">
        <w:t>,</w:t>
      </w:r>
      <w:r w:rsidR="00874826" w:rsidRPr="00063CCA">
        <w:t xml:space="preserve"> to deductions </w:t>
      </w:r>
      <w:r>
        <w:t>for</w:t>
      </w:r>
      <w:r w:rsidRPr="00063CCA">
        <w:t xml:space="preserve"> </w:t>
      </w:r>
      <w:r w:rsidR="00874826" w:rsidRPr="00063CCA">
        <w:t xml:space="preserve">the following </w:t>
      </w:r>
      <w:r>
        <w:t xml:space="preserve">goods and </w:t>
      </w:r>
      <w:r w:rsidR="00874826" w:rsidRPr="00063CCA">
        <w:t>service</w:t>
      </w:r>
      <w:r>
        <w:t>s</w:t>
      </w:r>
      <w:r w:rsidR="00874826" w:rsidRPr="00063CCA">
        <w:t>:</w:t>
      </w:r>
    </w:p>
    <w:tbl>
      <w:tblPr>
        <w:tblStyle w:val="TableGrid"/>
        <w:tblpPr w:leftFromText="180" w:rightFromText="180" w:vertAnchor="text" w:horzAnchor="margin" w:tblpXSpec="center" w:tblpY="78"/>
        <w:tblW w:w="5000" w:type="pct"/>
        <w:tblLook w:val="04A0" w:firstRow="1" w:lastRow="0" w:firstColumn="1" w:lastColumn="0" w:noHBand="0" w:noVBand="1"/>
      </w:tblPr>
      <w:tblGrid>
        <w:gridCol w:w="4107"/>
        <w:gridCol w:w="5629"/>
      </w:tblGrid>
      <w:tr w:rsidR="002779BD" w:rsidRPr="00E802BC" w14:paraId="518B4F1D" w14:textId="77777777" w:rsidTr="008D6987">
        <w:trPr>
          <w:trHeight w:val="281"/>
          <w:tblHeader/>
        </w:trPr>
        <w:tc>
          <w:tcPr>
            <w:tcW w:w="2109" w:type="pct"/>
            <w:shd w:val="clear" w:color="auto" w:fill="767171" w:themeFill="background2" w:themeFillShade="80"/>
          </w:tcPr>
          <w:p w14:paraId="3F23B1DF" w14:textId="77777777" w:rsidR="00874826" w:rsidRPr="00E802BC" w:rsidRDefault="00874826" w:rsidP="00633E95">
            <w:pPr>
              <w:rPr>
                <w:b/>
                <w:bCs/>
                <w:caps/>
                <w:color w:val="FFFFFF" w:themeColor="background1"/>
                <w:sz w:val="22"/>
                <w:szCs w:val="22"/>
              </w:rPr>
            </w:pPr>
            <w:r w:rsidRPr="00E802BC">
              <w:rPr>
                <w:b/>
                <w:bCs/>
                <w:caps/>
                <w:color w:val="FFFFFF" w:themeColor="background1"/>
                <w:sz w:val="22"/>
                <w:szCs w:val="22"/>
              </w:rPr>
              <w:t>Service Reason</w:t>
            </w:r>
          </w:p>
        </w:tc>
        <w:tc>
          <w:tcPr>
            <w:tcW w:w="2891" w:type="pct"/>
            <w:shd w:val="clear" w:color="auto" w:fill="767171" w:themeFill="background2" w:themeFillShade="80"/>
          </w:tcPr>
          <w:p w14:paraId="576B7C45" w14:textId="57B0211A" w:rsidR="00874826" w:rsidRPr="00E802BC" w:rsidRDefault="00874826" w:rsidP="00633E95">
            <w:pPr>
              <w:rPr>
                <w:b/>
                <w:bCs/>
                <w:caps/>
                <w:color w:val="FFFFFF" w:themeColor="background1"/>
                <w:sz w:val="22"/>
                <w:szCs w:val="22"/>
              </w:rPr>
            </w:pPr>
            <w:r w:rsidRPr="00E802BC">
              <w:rPr>
                <w:b/>
                <w:bCs/>
                <w:caps/>
                <w:color w:val="FFFFFF" w:themeColor="background1"/>
                <w:sz w:val="22"/>
                <w:szCs w:val="22"/>
              </w:rPr>
              <w:t>Good</w:t>
            </w:r>
            <w:r w:rsidR="00004E1B">
              <w:rPr>
                <w:b/>
                <w:bCs/>
                <w:caps/>
                <w:color w:val="FFFFFF" w:themeColor="background1"/>
                <w:sz w:val="22"/>
                <w:szCs w:val="22"/>
              </w:rPr>
              <w:t>S or</w:t>
            </w:r>
            <w:r w:rsidRPr="00E802BC">
              <w:rPr>
                <w:b/>
                <w:bCs/>
                <w:caps/>
                <w:color w:val="FFFFFF" w:themeColor="background1"/>
                <w:sz w:val="22"/>
                <w:szCs w:val="22"/>
              </w:rPr>
              <w:t xml:space="preserve"> service</w:t>
            </w:r>
            <w:r w:rsidR="00004E1B">
              <w:rPr>
                <w:b/>
                <w:bCs/>
                <w:caps/>
                <w:color w:val="FFFFFF" w:themeColor="background1"/>
                <w:sz w:val="22"/>
                <w:szCs w:val="22"/>
              </w:rPr>
              <w:t>s</w:t>
            </w:r>
          </w:p>
        </w:tc>
      </w:tr>
      <w:tr w:rsidR="002779BD" w:rsidRPr="00B13D76" w14:paraId="6A22CD67" w14:textId="77777777" w:rsidTr="008D6987">
        <w:trPr>
          <w:trHeight w:val="340"/>
          <w:tblHeader/>
        </w:trPr>
        <w:tc>
          <w:tcPr>
            <w:tcW w:w="2109" w:type="pct"/>
            <w:vAlign w:val="center"/>
          </w:tcPr>
          <w:p w14:paraId="6866E286" w14:textId="0B2710B0" w:rsidR="00874826" w:rsidRPr="00B13D76" w:rsidRDefault="00874826" w:rsidP="007F2625">
            <w:pPr>
              <w:spacing w:before="0" w:after="0"/>
              <w:rPr>
                <w:sz w:val="22"/>
                <w:szCs w:val="22"/>
              </w:rPr>
            </w:pPr>
            <w:r w:rsidRPr="00E802BC">
              <w:rPr>
                <w:sz w:val="22"/>
                <w:szCs w:val="22"/>
              </w:rPr>
              <w:t>Community group</w:t>
            </w:r>
            <w:r>
              <w:rPr>
                <w:sz w:val="22"/>
                <w:szCs w:val="22"/>
              </w:rPr>
              <w:t xml:space="preserve"> </w:t>
            </w:r>
            <w:r w:rsidR="001C1AE2">
              <w:rPr>
                <w:sz w:val="22"/>
                <w:szCs w:val="22"/>
              </w:rPr>
              <w:t>l</w:t>
            </w:r>
            <w:r w:rsidR="001C1AE2" w:rsidRPr="00E802BC">
              <w:rPr>
                <w:sz w:val="22"/>
                <w:szCs w:val="22"/>
              </w:rPr>
              <w:t xml:space="preserve">oan </w:t>
            </w:r>
            <w:r w:rsidRPr="00E802BC">
              <w:rPr>
                <w:sz w:val="22"/>
                <w:szCs w:val="22"/>
              </w:rPr>
              <w:t>repayment</w:t>
            </w:r>
          </w:p>
        </w:tc>
        <w:tc>
          <w:tcPr>
            <w:tcW w:w="2891" w:type="pct"/>
            <w:vAlign w:val="center"/>
          </w:tcPr>
          <w:p w14:paraId="4E0D2A76" w14:textId="77777777" w:rsidR="00874826" w:rsidRPr="00B13D76" w:rsidRDefault="00874826" w:rsidP="007F2625">
            <w:pPr>
              <w:spacing w:before="0" w:after="0"/>
              <w:rPr>
                <w:sz w:val="22"/>
                <w:szCs w:val="22"/>
              </w:rPr>
            </w:pPr>
            <w:r w:rsidRPr="00E802BC">
              <w:rPr>
                <w:sz w:val="22"/>
                <w:szCs w:val="22"/>
              </w:rPr>
              <w:t>Loan repayments</w:t>
            </w:r>
          </w:p>
        </w:tc>
      </w:tr>
      <w:tr w:rsidR="002779BD" w:rsidRPr="00B13D76" w14:paraId="1D22E070" w14:textId="77777777" w:rsidTr="008D6987">
        <w:trPr>
          <w:trHeight w:val="340"/>
          <w:tblHeader/>
        </w:trPr>
        <w:tc>
          <w:tcPr>
            <w:tcW w:w="2109" w:type="pct"/>
            <w:vAlign w:val="center"/>
          </w:tcPr>
          <w:p w14:paraId="542ECEC5" w14:textId="77777777" w:rsidR="00874826" w:rsidRPr="00B13D76" w:rsidRDefault="00874826" w:rsidP="007F2625">
            <w:pPr>
              <w:spacing w:before="0" w:after="0"/>
              <w:rPr>
                <w:sz w:val="22"/>
                <w:szCs w:val="22"/>
              </w:rPr>
            </w:pPr>
            <w:r w:rsidRPr="00E802BC">
              <w:rPr>
                <w:sz w:val="22"/>
                <w:szCs w:val="22"/>
              </w:rPr>
              <w:t>Court fines</w:t>
            </w:r>
          </w:p>
        </w:tc>
        <w:tc>
          <w:tcPr>
            <w:tcW w:w="2891" w:type="pct"/>
            <w:vAlign w:val="center"/>
          </w:tcPr>
          <w:p w14:paraId="22BF3A0E" w14:textId="77777777" w:rsidR="00874826" w:rsidRPr="00B13D76" w:rsidRDefault="00874826" w:rsidP="007F2625">
            <w:pPr>
              <w:spacing w:before="0" w:after="0"/>
              <w:rPr>
                <w:sz w:val="22"/>
                <w:szCs w:val="22"/>
              </w:rPr>
            </w:pPr>
            <w:r w:rsidRPr="00E802BC">
              <w:rPr>
                <w:sz w:val="22"/>
                <w:szCs w:val="22"/>
              </w:rPr>
              <w:t xml:space="preserve">Repayment of court fines </w:t>
            </w:r>
          </w:p>
        </w:tc>
      </w:tr>
      <w:tr w:rsidR="009F2E33" w:rsidRPr="00B13D76" w14:paraId="28DFE97C" w14:textId="77777777" w:rsidTr="008D6987">
        <w:trPr>
          <w:trHeight w:val="281"/>
          <w:tblHeader/>
        </w:trPr>
        <w:tc>
          <w:tcPr>
            <w:tcW w:w="2109" w:type="pct"/>
            <w:vAlign w:val="center"/>
          </w:tcPr>
          <w:p w14:paraId="5E08E8C0" w14:textId="77777777" w:rsidR="00874826" w:rsidRPr="00B13D76" w:rsidRDefault="00874826" w:rsidP="007F2625">
            <w:pPr>
              <w:spacing w:before="0" w:after="0"/>
              <w:rPr>
                <w:sz w:val="22"/>
                <w:szCs w:val="22"/>
              </w:rPr>
            </w:pPr>
            <w:r w:rsidRPr="00E802BC">
              <w:rPr>
                <w:sz w:val="22"/>
                <w:szCs w:val="22"/>
              </w:rPr>
              <w:t>Infringements</w:t>
            </w:r>
          </w:p>
        </w:tc>
        <w:tc>
          <w:tcPr>
            <w:tcW w:w="2891" w:type="pct"/>
            <w:vAlign w:val="center"/>
          </w:tcPr>
          <w:p w14:paraId="16D5F335" w14:textId="77777777" w:rsidR="00874826" w:rsidRPr="00B13D76" w:rsidRDefault="00874826" w:rsidP="007F2625">
            <w:pPr>
              <w:spacing w:before="0" w:after="0"/>
              <w:rPr>
                <w:sz w:val="22"/>
                <w:szCs w:val="22"/>
              </w:rPr>
            </w:pPr>
            <w:r w:rsidRPr="00E802BC">
              <w:rPr>
                <w:sz w:val="22"/>
                <w:szCs w:val="22"/>
              </w:rPr>
              <w:t>Repayment of infringements such as parking or speeding</w:t>
            </w:r>
          </w:p>
        </w:tc>
      </w:tr>
      <w:tr w:rsidR="009F2E33" w:rsidRPr="00B13D76" w14:paraId="3EE6882B" w14:textId="77777777" w:rsidTr="008D6987">
        <w:trPr>
          <w:trHeight w:val="547"/>
          <w:tblHeader/>
        </w:trPr>
        <w:tc>
          <w:tcPr>
            <w:tcW w:w="2109" w:type="pct"/>
            <w:vAlign w:val="center"/>
          </w:tcPr>
          <w:p w14:paraId="310CFA7D" w14:textId="77777777" w:rsidR="00874826" w:rsidRPr="00B13D76" w:rsidRDefault="00874826" w:rsidP="007F2625">
            <w:pPr>
              <w:spacing w:before="0" w:after="0"/>
              <w:rPr>
                <w:sz w:val="22"/>
                <w:szCs w:val="22"/>
              </w:rPr>
            </w:pPr>
            <w:r w:rsidRPr="00E802BC">
              <w:rPr>
                <w:sz w:val="22"/>
                <w:szCs w:val="22"/>
              </w:rPr>
              <w:t>Medical services and equipment</w:t>
            </w:r>
          </w:p>
        </w:tc>
        <w:tc>
          <w:tcPr>
            <w:tcW w:w="2891" w:type="pct"/>
            <w:vAlign w:val="center"/>
          </w:tcPr>
          <w:p w14:paraId="59F248FA" w14:textId="77777777" w:rsidR="00874826" w:rsidRPr="00B13D76" w:rsidRDefault="00874826" w:rsidP="007F2625">
            <w:pPr>
              <w:spacing w:before="0" w:after="0"/>
              <w:rPr>
                <w:sz w:val="22"/>
                <w:szCs w:val="22"/>
              </w:rPr>
            </w:pPr>
            <w:r w:rsidRPr="00E802BC">
              <w:rPr>
                <w:sz w:val="22"/>
                <w:szCs w:val="22"/>
              </w:rPr>
              <w:t>Medical, dental, hospital services or equipment such as wheelchairs</w:t>
            </w:r>
          </w:p>
        </w:tc>
      </w:tr>
      <w:tr w:rsidR="009F2E33" w:rsidRPr="00B13D76" w14:paraId="28F178E0" w14:textId="77777777" w:rsidTr="008D6987">
        <w:trPr>
          <w:trHeight w:val="547"/>
          <w:tblHeader/>
        </w:trPr>
        <w:tc>
          <w:tcPr>
            <w:tcW w:w="2109" w:type="pct"/>
            <w:vAlign w:val="center"/>
          </w:tcPr>
          <w:p w14:paraId="2D02C24C" w14:textId="77777777" w:rsidR="00874826" w:rsidRPr="00B13D76" w:rsidRDefault="00874826" w:rsidP="007F2625">
            <w:pPr>
              <w:spacing w:before="0" w:after="0"/>
              <w:rPr>
                <w:sz w:val="22"/>
                <w:szCs w:val="22"/>
              </w:rPr>
            </w:pPr>
            <w:r w:rsidRPr="00E802BC">
              <w:rPr>
                <w:sz w:val="22"/>
                <w:szCs w:val="22"/>
              </w:rPr>
              <w:t>Ambulance</w:t>
            </w:r>
          </w:p>
        </w:tc>
        <w:tc>
          <w:tcPr>
            <w:tcW w:w="2891" w:type="pct"/>
            <w:vAlign w:val="center"/>
          </w:tcPr>
          <w:p w14:paraId="5DE4ADEE" w14:textId="77777777" w:rsidR="00874826" w:rsidRPr="00B13D76" w:rsidRDefault="00874826" w:rsidP="007F2625">
            <w:pPr>
              <w:spacing w:before="0" w:after="0"/>
              <w:rPr>
                <w:sz w:val="22"/>
                <w:szCs w:val="22"/>
              </w:rPr>
            </w:pPr>
            <w:r w:rsidRPr="00E802BC">
              <w:rPr>
                <w:sz w:val="22"/>
                <w:szCs w:val="22"/>
              </w:rPr>
              <w:t>Costs of patient transport services, includes royal flying doctor</w:t>
            </w:r>
          </w:p>
        </w:tc>
      </w:tr>
      <w:tr w:rsidR="009F2E33" w:rsidRPr="00B13D76" w14:paraId="73F280B8" w14:textId="77777777" w:rsidTr="009F2E33">
        <w:trPr>
          <w:trHeight w:val="340"/>
          <w:tblHeader/>
        </w:trPr>
        <w:tc>
          <w:tcPr>
            <w:tcW w:w="2109" w:type="pct"/>
            <w:vAlign w:val="center"/>
          </w:tcPr>
          <w:p w14:paraId="52B6F50D" w14:textId="77777777" w:rsidR="00874826" w:rsidRPr="00B13D76" w:rsidRDefault="00874826" w:rsidP="007F2625">
            <w:pPr>
              <w:spacing w:before="0" w:after="0"/>
            </w:pPr>
            <w:r w:rsidRPr="00E802BC">
              <w:rPr>
                <w:sz w:val="22"/>
                <w:szCs w:val="22"/>
              </w:rPr>
              <w:t xml:space="preserve">No interest loans </w:t>
            </w:r>
          </w:p>
        </w:tc>
        <w:tc>
          <w:tcPr>
            <w:tcW w:w="2891" w:type="pct"/>
            <w:vAlign w:val="center"/>
          </w:tcPr>
          <w:p w14:paraId="4FE3DF18" w14:textId="77777777" w:rsidR="00874826" w:rsidRPr="00B13D76" w:rsidRDefault="00874826" w:rsidP="007F2625">
            <w:pPr>
              <w:spacing w:before="0" w:after="0"/>
            </w:pPr>
            <w:r w:rsidRPr="00E802BC">
              <w:rPr>
                <w:sz w:val="22"/>
                <w:szCs w:val="22"/>
              </w:rPr>
              <w:t>No interest loan repayments</w:t>
            </w:r>
          </w:p>
        </w:tc>
      </w:tr>
      <w:tr w:rsidR="009F2E33" w:rsidRPr="00B13D76" w14:paraId="0A0BCD7B" w14:textId="77777777" w:rsidTr="009F2E33">
        <w:trPr>
          <w:trHeight w:val="340"/>
          <w:tblHeader/>
        </w:trPr>
        <w:tc>
          <w:tcPr>
            <w:tcW w:w="2109" w:type="pct"/>
            <w:vAlign w:val="center"/>
          </w:tcPr>
          <w:p w14:paraId="39410D5A" w14:textId="77777777" w:rsidR="00874826" w:rsidRPr="00B13D76" w:rsidRDefault="00874826" w:rsidP="007F2625">
            <w:pPr>
              <w:spacing w:before="0" w:after="0"/>
            </w:pPr>
            <w:r w:rsidRPr="00E802BC">
              <w:rPr>
                <w:sz w:val="22"/>
                <w:szCs w:val="22"/>
              </w:rPr>
              <w:t>Community group loan repayment</w:t>
            </w:r>
          </w:p>
        </w:tc>
        <w:tc>
          <w:tcPr>
            <w:tcW w:w="2891" w:type="pct"/>
            <w:vAlign w:val="center"/>
          </w:tcPr>
          <w:p w14:paraId="0FAA0EF0" w14:textId="77777777" w:rsidR="00874826" w:rsidRPr="00B13D76" w:rsidRDefault="00874826" w:rsidP="007F2625">
            <w:pPr>
              <w:spacing w:before="0" w:after="0"/>
            </w:pPr>
            <w:r w:rsidRPr="00E802BC">
              <w:rPr>
                <w:sz w:val="22"/>
                <w:szCs w:val="22"/>
              </w:rPr>
              <w:t>Repayment of a housing loan</w:t>
            </w:r>
          </w:p>
        </w:tc>
      </w:tr>
      <w:tr w:rsidR="009F2E33" w:rsidRPr="00B13D76" w14:paraId="2F046199" w14:textId="77777777" w:rsidTr="009F2E33">
        <w:trPr>
          <w:trHeight w:val="547"/>
          <w:tblHeader/>
        </w:trPr>
        <w:tc>
          <w:tcPr>
            <w:tcW w:w="2109" w:type="pct"/>
            <w:vAlign w:val="center"/>
          </w:tcPr>
          <w:p w14:paraId="01D69552" w14:textId="77777777" w:rsidR="00874826" w:rsidRPr="00B13D76" w:rsidRDefault="00874826" w:rsidP="007F2625">
            <w:pPr>
              <w:spacing w:before="0" w:after="0"/>
            </w:pPr>
            <w:r w:rsidRPr="00E802BC">
              <w:rPr>
                <w:sz w:val="22"/>
                <w:szCs w:val="22"/>
              </w:rPr>
              <w:t>Transport services</w:t>
            </w:r>
          </w:p>
        </w:tc>
        <w:tc>
          <w:tcPr>
            <w:tcW w:w="2891" w:type="pct"/>
            <w:vAlign w:val="center"/>
          </w:tcPr>
          <w:p w14:paraId="202B0FA8" w14:textId="2388501B" w:rsidR="00874826" w:rsidRPr="00B13D76" w:rsidRDefault="00874826" w:rsidP="007F2625">
            <w:pPr>
              <w:spacing w:before="0" w:after="0"/>
            </w:pPr>
            <w:r w:rsidRPr="00E802BC">
              <w:rPr>
                <w:sz w:val="22"/>
                <w:szCs w:val="22"/>
              </w:rPr>
              <w:t>General transportation costs excluding removal services</w:t>
            </w:r>
          </w:p>
        </w:tc>
      </w:tr>
      <w:tr w:rsidR="009F2E33" w:rsidRPr="00B13D76" w14:paraId="39224FB2" w14:textId="77777777" w:rsidTr="008D6987">
        <w:trPr>
          <w:trHeight w:val="340"/>
          <w:tblHeader/>
        </w:trPr>
        <w:tc>
          <w:tcPr>
            <w:tcW w:w="2109" w:type="pct"/>
            <w:vAlign w:val="center"/>
          </w:tcPr>
          <w:p w14:paraId="5620F296" w14:textId="77777777" w:rsidR="00874826" w:rsidRPr="00B13D76" w:rsidRDefault="00874826" w:rsidP="007F2625">
            <w:pPr>
              <w:spacing w:before="0" w:after="0"/>
            </w:pPr>
            <w:r w:rsidRPr="00E802BC">
              <w:rPr>
                <w:sz w:val="22"/>
                <w:szCs w:val="22"/>
              </w:rPr>
              <w:t>Legal services</w:t>
            </w:r>
          </w:p>
        </w:tc>
        <w:tc>
          <w:tcPr>
            <w:tcW w:w="2891" w:type="pct"/>
            <w:vAlign w:val="center"/>
          </w:tcPr>
          <w:p w14:paraId="490753AF" w14:textId="77777777" w:rsidR="00874826" w:rsidRPr="00B13D76" w:rsidRDefault="00874826" w:rsidP="007F2625">
            <w:pPr>
              <w:spacing w:before="0" w:after="0"/>
            </w:pPr>
            <w:r w:rsidRPr="00E802BC">
              <w:rPr>
                <w:sz w:val="22"/>
                <w:szCs w:val="22"/>
              </w:rPr>
              <w:t>Includes Legal Aid or discounted legal services</w:t>
            </w:r>
          </w:p>
        </w:tc>
      </w:tr>
      <w:tr w:rsidR="009F2E33" w:rsidRPr="00B13D76" w14:paraId="77822954" w14:textId="77777777" w:rsidTr="009F2E33">
        <w:trPr>
          <w:trHeight w:val="547"/>
          <w:tblHeader/>
        </w:trPr>
        <w:tc>
          <w:tcPr>
            <w:tcW w:w="2109" w:type="pct"/>
            <w:vAlign w:val="center"/>
          </w:tcPr>
          <w:p w14:paraId="74582173" w14:textId="77777777" w:rsidR="00874826" w:rsidRPr="00B13D76" w:rsidRDefault="00874826" w:rsidP="007F2625">
            <w:pPr>
              <w:spacing w:before="0" w:after="0"/>
            </w:pPr>
            <w:r w:rsidRPr="00E802BC">
              <w:rPr>
                <w:sz w:val="22"/>
                <w:szCs w:val="22"/>
              </w:rPr>
              <w:t>Food provision for remote areas</w:t>
            </w:r>
          </w:p>
        </w:tc>
        <w:tc>
          <w:tcPr>
            <w:tcW w:w="2891" w:type="pct"/>
            <w:vAlign w:val="center"/>
          </w:tcPr>
          <w:p w14:paraId="7408250C" w14:textId="77777777" w:rsidR="00874826" w:rsidRPr="00B13D76" w:rsidRDefault="00874826" w:rsidP="007F2625">
            <w:pPr>
              <w:spacing w:before="0" w:after="0"/>
            </w:pPr>
            <w:r w:rsidRPr="00E802BC">
              <w:rPr>
                <w:sz w:val="22"/>
                <w:szCs w:val="22"/>
              </w:rPr>
              <w:t>Payments for food and personal items for remote and very remote locations</w:t>
            </w:r>
          </w:p>
        </w:tc>
      </w:tr>
      <w:tr w:rsidR="009F2E33" w:rsidRPr="00B13D76" w14:paraId="5D4DA26D" w14:textId="77777777" w:rsidTr="009F2E33">
        <w:trPr>
          <w:trHeight w:val="547"/>
          <w:tblHeader/>
        </w:trPr>
        <w:tc>
          <w:tcPr>
            <w:tcW w:w="2109" w:type="pct"/>
            <w:vAlign w:val="center"/>
          </w:tcPr>
          <w:p w14:paraId="577871FA" w14:textId="38BD4EBB" w:rsidR="00874826" w:rsidRPr="00B13D76" w:rsidRDefault="00874826" w:rsidP="007F2625">
            <w:pPr>
              <w:spacing w:before="0" w:after="0"/>
            </w:pPr>
            <w:r w:rsidRPr="00E802BC">
              <w:rPr>
                <w:sz w:val="22"/>
                <w:szCs w:val="22"/>
              </w:rPr>
              <w:t xml:space="preserve">Veterinary services </w:t>
            </w:r>
            <w:r w:rsidR="00C04A18">
              <w:rPr>
                <w:sz w:val="22"/>
                <w:szCs w:val="22"/>
              </w:rPr>
              <w:t xml:space="preserve">for up to a </w:t>
            </w:r>
            <w:r w:rsidRPr="00E802BC">
              <w:rPr>
                <w:sz w:val="22"/>
                <w:szCs w:val="22"/>
              </w:rPr>
              <w:t>maximum deduction</w:t>
            </w:r>
            <w:r w:rsidR="00C04A18">
              <w:rPr>
                <w:sz w:val="22"/>
                <w:szCs w:val="22"/>
              </w:rPr>
              <w:t xml:space="preserve"> of</w:t>
            </w:r>
            <w:r w:rsidRPr="00E802BC">
              <w:rPr>
                <w:sz w:val="22"/>
                <w:szCs w:val="22"/>
              </w:rPr>
              <w:t xml:space="preserve"> $50 per fortnight</w:t>
            </w:r>
          </w:p>
        </w:tc>
        <w:tc>
          <w:tcPr>
            <w:tcW w:w="2891" w:type="pct"/>
            <w:vAlign w:val="center"/>
          </w:tcPr>
          <w:p w14:paraId="42B96467" w14:textId="77777777" w:rsidR="00874826" w:rsidRPr="00B13D76" w:rsidRDefault="00874826" w:rsidP="007F2625">
            <w:pPr>
              <w:spacing w:before="0" w:after="0"/>
            </w:pPr>
            <w:r w:rsidRPr="00E802BC">
              <w:rPr>
                <w:sz w:val="22"/>
                <w:szCs w:val="22"/>
              </w:rPr>
              <w:t>Goods and services for domestic pets</w:t>
            </w:r>
          </w:p>
        </w:tc>
      </w:tr>
    </w:tbl>
    <w:p w14:paraId="6F3E6892" w14:textId="77777777" w:rsidR="00004E1B" w:rsidRDefault="00004E1B" w:rsidP="00004E1B">
      <w:r>
        <w:t xml:space="preserve">For more information, learn more about </w:t>
      </w:r>
      <w:hyperlink r:id="rId19" w:history="1">
        <w:r w:rsidRPr="00004E1B">
          <w:rPr>
            <w:rStyle w:val="Hyperlink"/>
          </w:rPr>
          <w:t>Centrepay goods and services</w:t>
        </w:r>
      </w:hyperlink>
    </w:p>
    <w:p w14:paraId="3C174A27" w14:textId="77777777" w:rsidR="00874826" w:rsidRPr="008D6987" w:rsidRDefault="00874826" w:rsidP="008D6987">
      <w:pPr>
        <w:rPr>
          <w:bCs/>
        </w:rPr>
      </w:pPr>
      <w:r w:rsidRPr="008D6987">
        <w:rPr>
          <w:b/>
          <w:bCs/>
        </w:rPr>
        <w:t>Example</w:t>
      </w:r>
    </w:p>
    <w:p w14:paraId="64847BE1" w14:textId="74B7E07D" w:rsidR="00874826" w:rsidRPr="00074985" w:rsidRDefault="00874826" w:rsidP="00874826">
      <w:r w:rsidRPr="00074985">
        <w:t xml:space="preserve">Brodie has $500 worth of court fines </w:t>
      </w:r>
      <w:r w:rsidR="007F0D86">
        <w:t>t</w:t>
      </w:r>
      <w:r w:rsidRPr="00074985">
        <w:t>he</w:t>
      </w:r>
      <w:r w:rsidR="007F0D86">
        <w:t>y</w:t>
      </w:r>
      <w:r w:rsidRPr="00074985">
        <w:t xml:space="preserve"> must pay.</w:t>
      </w:r>
    </w:p>
    <w:p w14:paraId="095BDC2A" w14:textId="2744551C" w:rsidR="00874826" w:rsidRDefault="007F0D86" w:rsidP="006F5F23">
      <w:r>
        <w:t>Brodie</w:t>
      </w:r>
      <w:r w:rsidR="00874826" w:rsidRPr="00074985">
        <w:t xml:space="preserve"> logs </w:t>
      </w:r>
      <w:r w:rsidR="00874826">
        <w:t>into</w:t>
      </w:r>
      <w:r w:rsidR="00874826" w:rsidRPr="00074985">
        <w:t xml:space="preserve"> to </w:t>
      </w:r>
      <w:r>
        <w:t>their</w:t>
      </w:r>
      <w:r w:rsidR="00874826" w:rsidRPr="00074985">
        <w:t xml:space="preserve"> Centrelink </w:t>
      </w:r>
      <w:r w:rsidR="00874826">
        <w:t>c</w:t>
      </w:r>
      <w:r w:rsidR="00874826" w:rsidRPr="00074985">
        <w:t xml:space="preserve">ustomer </w:t>
      </w:r>
      <w:r w:rsidR="00874826">
        <w:t>o</w:t>
      </w:r>
      <w:r w:rsidR="00874826" w:rsidRPr="00074985">
        <w:t xml:space="preserve">nline </w:t>
      </w:r>
      <w:r w:rsidR="00874826">
        <w:t>a</w:t>
      </w:r>
      <w:r w:rsidR="00874826" w:rsidRPr="00074985">
        <w:t>ccount and sets up a Centrepay deductio</w:t>
      </w:r>
      <w:r w:rsidR="004D001F">
        <w:t xml:space="preserve">n </w:t>
      </w:r>
      <w:r w:rsidR="00B23A84">
        <w:t>for</w:t>
      </w:r>
      <w:r w:rsidR="004D001F">
        <w:t xml:space="preserve"> $100 per fortnight to pay off the fines</w:t>
      </w:r>
      <w:r w:rsidR="00874826" w:rsidRPr="00074985">
        <w:t xml:space="preserve">. Brodie adds a target amount of $500 to </w:t>
      </w:r>
      <w:r>
        <w:t>their</w:t>
      </w:r>
      <w:r w:rsidR="00874826" w:rsidRPr="00074985">
        <w:t xml:space="preserve"> deduction to ensure the deduction will stop once this amount has </w:t>
      </w:r>
      <w:r w:rsidR="006B623D">
        <w:t xml:space="preserve">been </w:t>
      </w:r>
      <w:r w:rsidR="00874826">
        <w:t>taken out of Brodie’s payment</w:t>
      </w:r>
      <w:r w:rsidR="00874826" w:rsidRPr="00074985">
        <w:t>.</w:t>
      </w:r>
    </w:p>
    <w:p w14:paraId="248D111D" w14:textId="2F3024A2" w:rsidR="00EE7007" w:rsidRPr="00B8249C" w:rsidRDefault="007F2625" w:rsidP="00516809">
      <w:pPr>
        <w:pStyle w:val="Heading2"/>
      </w:pPr>
      <w:bookmarkStart w:id="74" w:name="_Toc211365538"/>
      <w:r>
        <w:t xml:space="preserve">Do </w:t>
      </w:r>
      <w:r w:rsidR="001F7217">
        <w:t xml:space="preserve">customers </w:t>
      </w:r>
      <w:r>
        <w:t xml:space="preserve">have </w:t>
      </w:r>
      <w:r w:rsidR="001F7217">
        <w:t xml:space="preserve">to do </w:t>
      </w:r>
      <w:r>
        <w:t>anything if</w:t>
      </w:r>
      <w:r w:rsidR="000A59BF">
        <w:t xml:space="preserve"> the name of</w:t>
      </w:r>
      <w:r>
        <w:t xml:space="preserve"> their</w:t>
      </w:r>
      <w:r w:rsidR="001F7217">
        <w:t xml:space="preserve"> </w:t>
      </w:r>
      <w:r w:rsidR="0074137A">
        <w:t>goods and services</w:t>
      </w:r>
      <w:r w:rsidR="000A59BF">
        <w:t xml:space="preserve"> for Centrepay </w:t>
      </w:r>
      <w:r>
        <w:t>ha</w:t>
      </w:r>
      <w:r w:rsidR="000A59BF">
        <w:t xml:space="preserve">s </w:t>
      </w:r>
      <w:r w:rsidR="0074137A">
        <w:t>changed</w:t>
      </w:r>
      <w:r w:rsidR="00EE7007" w:rsidRPr="00B8249C">
        <w:t>?</w:t>
      </w:r>
      <w:bookmarkEnd w:id="74"/>
    </w:p>
    <w:p w14:paraId="7A5CBEC6" w14:textId="2F1DD218" w:rsidR="007F2625" w:rsidRPr="007F2625" w:rsidRDefault="007F2625" w:rsidP="00B13D76">
      <w:r>
        <w:t>C</w:t>
      </w:r>
      <w:r w:rsidRPr="008D6987">
        <w:t>ustomers don’t need to do</w:t>
      </w:r>
      <w:r w:rsidRPr="007F2625">
        <w:t xml:space="preserve"> anything</w:t>
      </w:r>
      <w:r w:rsidR="006B623D">
        <w:t>.</w:t>
      </w:r>
    </w:p>
    <w:p w14:paraId="52D64586" w14:textId="38B3D613" w:rsidR="00EE7007" w:rsidRDefault="007F2625" w:rsidP="00B13D76">
      <w:r>
        <w:t>Name c</w:t>
      </w:r>
      <w:r w:rsidR="005B58F1">
        <w:t xml:space="preserve">hanges </w:t>
      </w:r>
      <w:r>
        <w:t xml:space="preserve">for </w:t>
      </w:r>
      <w:r w:rsidR="005B58F1">
        <w:t>service reasons</w:t>
      </w:r>
      <w:r w:rsidR="00EE7007">
        <w:t xml:space="preserve"> </w:t>
      </w:r>
      <w:r w:rsidR="00E20730">
        <w:t>are</w:t>
      </w:r>
      <w:r w:rsidR="00EE7007" w:rsidRPr="003D76B7">
        <w:t xml:space="preserve"> automatic.</w:t>
      </w:r>
      <w:r w:rsidR="00EE7007">
        <w:t xml:space="preserve"> </w:t>
      </w:r>
      <w:r>
        <w:t>A</w:t>
      </w:r>
      <w:r w:rsidR="00EE7007">
        <w:t xml:space="preserve"> customer </w:t>
      </w:r>
      <w:r w:rsidR="00EE7007" w:rsidRPr="00A850F3">
        <w:t xml:space="preserve">will </w:t>
      </w:r>
      <w:r w:rsidR="00EE7007">
        <w:t xml:space="preserve">only </w:t>
      </w:r>
      <w:r w:rsidR="00EE7007" w:rsidRPr="00A850F3">
        <w:t xml:space="preserve">notice a change to the </w:t>
      </w:r>
      <w:r w:rsidR="00EE7007">
        <w:t>service reason name.</w:t>
      </w:r>
    </w:p>
    <w:p w14:paraId="0136042B" w14:textId="2AED80F1" w:rsidR="00EE7007" w:rsidRPr="00A850F3" w:rsidRDefault="00351AB7" w:rsidP="00B13D76">
      <w:r>
        <w:t>We have renamed the</w:t>
      </w:r>
      <w:r w:rsidR="00EE7007" w:rsidRPr="00A850F3">
        <w:t xml:space="preserve"> following Centrepay service reasons:</w:t>
      </w:r>
    </w:p>
    <w:p w14:paraId="104A9AF9" w14:textId="66287024" w:rsidR="00EE7007" w:rsidRPr="006C0FF1" w:rsidRDefault="00EE7007" w:rsidP="0062095B">
      <w:pPr>
        <w:pStyle w:val="ListParagraph"/>
      </w:pPr>
      <w:r w:rsidRPr="006C0FF1">
        <w:t xml:space="preserve">‘Food </w:t>
      </w:r>
      <w:r w:rsidR="000A59BF">
        <w:t>p</w:t>
      </w:r>
      <w:r w:rsidRPr="006C0FF1">
        <w:t xml:space="preserve">rovision’ to ‘Food </w:t>
      </w:r>
      <w:r w:rsidR="00F11098" w:rsidRPr="006C0FF1">
        <w:t>p</w:t>
      </w:r>
      <w:r w:rsidRPr="006C0FF1">
        <w:t>rovision for remote areas’</w:t>
      </w:r>
    </w:p>
    <w:p w14:paraId="19280286" w14:textId="469E5805" w:rsidR="00EE7007" w:rsidRPr="006C0FF1" w:rsidRDefault="00EE7007" w:rsidP="0062095B">
      <w:pPr>
        <w:pStyle w:val="ListParagraph"/>
      </w:pPr>
      <w:r w:rsidRPr="006C0FF1">
        <w:t xml:space="preserve">‘Professional services’ to ‘Legal </w:t>
      </w:r>
      <w:r w:rsidR="00F11098" w:rsidRPr="006C0FF1">
        <w:t>s</w:t>
      </w:r>
      <w:r w:rsidRPr="006C0FF1">
        <w:t>ervices’</w:t>
      </w:r>
    </w:p>
    <w:p w14:paraId="2EF59946" w14:textId="486008EE" w:rsidR="00EE7007" w:rsidRPr="006C0FF1" w:rsidRDefault="00EE7007" w:rsidP="0062095B">
      <w:pPr>
        <w:pStyle w:val="ListParagraph"/>
      </w:pPr>
      <w:r w:rsidRPr="006C0FF1">
        <w:t xml:space="preserve">‘Real </w:t>
      </w:r>
      <w:r w:rsidR="000A59BF">
        <w:t>e</w:t>
      </w:r>
      <w:r w:rsidRPr="006C0FF1">
        <w:t xml:space="preserve">state </w:t>
      </w:r>
      <w:r w:rsidR="000A59BF">
        <w:t>a</w:t>
      </w:r>
      <w:r w:rsidRPr="006C0FF1">
        <w:t xml:space="preserve">gents’ or ‘Property management’ to ‘Real </w:t>
      </w:r>
      <w:r w:rsidR="00F11098" w:rsidRPr="006C0FF1">
        <w:t>e</w:t>
      </w:r>
      <w:r w:rsidRPr="006C0FF1">
        <w:t xml:space="preserve">state and </w:t>
      </w:r>
      <w:r w:rsidR="00F11098" w:rsidRPr="006C0FF1">
        <w:t>p</w:t>
      </w:r>
      <w:r w:rsidRPr="006C0FF1">
        <w:t xml:space="preserve">roperty </w:t>
      </w:r>
      <w:r w:rsidR="00F11098" w:rsidRPr="006C0FF1">
        <w:t>a</w:t>
      </w:r>
      <w:r w:rsidRPr="006C0FF1">
        <w:t>gents’</w:t>
      </w:r>
    </w:p>
    <w:p w14:paraId="1F05D24F" w14:textId="5E6E10DD" w:rsidR="00EE7007" w:rsidRPr="006C0FF1" w:rsidRDefault="00EE7007" w:rsidP="0062095B">
      <w:pPr>
        <w:pStyle w:val="ListParagraph"/>
      </w:pPr>
      <w:r w:rsidRPr="006C0FF1">
        <w:t xml:space="preserve">‘Indigenous </w:t>
      </w:r>
      <w:r w:rsidR="000A59BF">
        <w:t>c</w:t>
      </w:r>
      <w:r w:rsidRPr="006C0FF1">
        <w:t xml:space="preserve">ommunity </w:t>
      </w:r>
      <w:r w:rsidR="000A59BF">
        <w:t>h</w:t>
      </w:r>
      <w:r w:rsidRPr="006C0FF1">
        <w:t xml:space="preserve">ousing’ to ‘General </w:t>
      </w:r>
      <w:r w:rsidR="00F11098" w:rsidRPr="006C0FF1">
        <w:t>c</w:t>
      </w:r>
      <w:r w:rsidRPr="006C0FF1">
        <w:t xml:space="preserve">ommunity </w:t>
      </w:r>
      <w:r w:rsidR="00F11098" w:rsidRPr="006C0FF1">
        <w:t>h</w:t>
      </w:r>
      <w:r w:rsidRPr="006C0FF1">
        <w:t>ousing’</w:t>
      </w:r>
    </w:p>
    <w:p w14:paraId="3D61E18D" w14:textId="2A8EA79C" w:rsidR="00EE7007" w:rsidRPr="006C0FF1" w:rsidRDefault="00EE7007" w:rsidP="0062095B">
      <w:pPr>
        <w:pStyle w:val="ListParagraph"/>
      </w:pPr>
      <w:r w:rsidRPr="006C0FF1">
        <w:t xml:space="preserve">‘Indigenous </w:t>
      </w:r>
      <w:r w:rsidR="000A59BF">
        <w:t>c</w:t>
      </w:r>
      <w:r w:rsidRPr="006C0FF1">
        <w:t xml:space="preserve">ommunity </w:t>
      </w:r>
      <w:r w:rsidR="000A59BF">
        <w:t>h</w:t>
      </w:r>
      <w:r w:rsidRPr="006C0FF1">
        <w:t xml:space="preserve">ousing </w:t>
      </w:r>
      <w:r w:rsidR="000A59BF">
        <w:t>l</w:t>
      </w:r>
      <w:r w:rsidRPr="006C0FF1">
        <w:t xml:space="preserve">oans’ to ‘General </w:t>
      </w:r>
      <w:r w:rsidR="00F11098" w:rsidRPr="006C0FF1">
        <w:t>c</w:t>
      </w:r>
      <w:r w:rsidRPr="006C0FF1">
        <w:t xml:space="preserve">ommunity </w:t>
      </w:r>
      <w:r w:rsidR="00F11098" w:rsidRPr="006C0FF1">
        <w:t>h</w:t>
      </w:r>
      <w:r w:rsidRPr="006C0FF1">
        <w:t xml:space="preserve">ousing </w:t>
      </w:r>
      <w:r w:rsidR="00F11098" w:rsidRPr="006C0FF1">
        <w:t>l</w:t>
      </w:r>
      <w:r w:rsidRPr="006C0FF1">
        <w:t>oans’</w:t>
      </w:r>
    </w:p>
    <w:p w14:paraId="6F16ACEF" w14:textId="0F75FAA3" w:rsidR="00EE7007" w:rsidRPr="006C0FF1" w:rsidRDefault="00EE7007" w:rsidP="0062095B">
      <w:pPr>
        <w:pStyle w:val="ListParagraph"/>
      </w:pPr>
      <w:r w:rsidRPr="006C0FF1">
        <w:t xml:space="preserve">‘Indigenous Short-term Accommodation’ to ‘Short </w:t>
      </w:r>
      <w:r w:rsidR="00F11098" w:rsidRPr="006C0FF1">
        <w:t>t</w:t>
      </w:r>
      <w:r w:rsidRPr="006C0FF1">
        <w:t xml:space="preserve">erm </w:t>
      </w:r>
      <w:r w:rsidR="00F11098" w:rsidRPr="006C0FF1">
        <w:t>a</w:t>
      </w:r>
      <w:r w:rsidRPr="006C0FF1">
        <w:t>ccommodation’</w:t>
      </w:r>
    </w:p>
    <w:p w14:paraId="53F532BA" w14:textId="2F731AB8" w:rsidR="00EE7007" w:rsidRPr="006C0FF1" w:rsidRDefault="00EE7007" w:rsidP="0062095B">
      <w:pPr>
        <w:pStyle w:val="ListParagraph"/>
      </w:pPr>
      <w:r w:rsidRPr="006C0FF1">
        <w:t xml:space="preserve">‘Local </w:t>
      </w:r>
      <w:r w:rsidR="000A59BF">
        <w:t>c</w:t>
      </w:r>
      <w:r w:rsidRPr="006C0FF1">
        <w:t xml:space="preserve">ouncil </w:t>
      </w:r>
      <w:r w:rsidR="000A59BF">
        <w:t>c</w:t>
      </w:r>
      <w:r w:rsidRPr="006C0FF1">
        <w:t xml:space="preserve">ommunity </w:t>
      </w:r>
      <w:r w:rsidR="000A59BF">
        <w:t>s</w:t>
      </w:r>
      <w:r w:rsidRPr="006C0FF1">
        <w:t xml:space="preserve">ervice’ to ‘Council </w:t>
      </w:r>
      <w:r w:rsidR="00F11098" w:rsidRPr="006C0FF1">
        <w:t>s</w:t>
      </w:r>
      <w:r w:rsidRPr="006C0FF1">
        <w:t>ervices’</w:t>
      </w:r>
      <w:r w:rsidR="00685D14" w:rsidRPr="006C0FF1">
        <w:t>.</w:t>
      </w:r>
    </w:p>
    <w:p w14:paraId="00A7E49D" w14:textId="77777777" w:rsidR="00EE7007" w:rsidRPr="00B33E81" w:rsidRDefault="00EE7007" w:rsidP="006F5F23">
      <w:pPr>
        <w:rPr>
          <w:bCs/>
        </w:rPr>
      </w:pPr>
      <w:r w:rsidRPr="008D6987">
        <w:rPr>
          <w:b/>
          <w:bCs/>
        </w:rPr>
        <w:t>Example</w:t>
      </w:r>
    </w:p>
    <w:p w14:paraId="160727AC" w14:textId="77777777" w:rsidR="00E20730" w:rsidRDefault="00EE7007" w:rsidP="00685D14">
      <w:r>
        <w:t xml:space="preserve">Alice has a long-term Centrepay deduction set up under the ‘Property Management’ service reason. Following the changes to Centrepay, Alice notices that her Centrepay deduction is now </w:t>
      </w:r>
      <w:r w:rsidR="00351AB7">
        <w:t>called</w:t>
      </w:r>
      <w:r>
        <w:t xml:space="preserve"> ‘Real </w:t>
      </w:r>
      <w:r w:rsidR="00F11098">
        <w:t>e</w:t>
      </w:r>
      <w:r>
        <w:t xml:space="preserve">state and </w:t>
      </w:r>
      <w:r w:rsidR="00F11098">
        <w:t>p</w:t>
      </w:r>
      <w:r>
        <w:t xml:space="preserve">roperty </w:t>
      </w:r>
      <w:r w:rsidR="00F11098">
        <w:t>a</w:t>
      </w:r>
      <w:r>
        <w:t>gents</w:t>
      </w:r>
      <w:r w:rsidR="00A924EF">
        <w:t>.’</w:t>
      </w:r>
    </w:p>
    <w:p w14:paraId="780215FB" w14:textId="77777777" w:rsidR="006F5F23" w:rsidRDefault="00D80AE8" w:rsidP="00685D14">
      <w:r>
        <w:t xml:space="preserve">Alice goes to the Services Australia web site and reads about the </w:t>
      </w:r>
      <w:r w:rsidR="00E20730">
        <w:t>changes;</w:t>
      </w:r>
      <w:r>
        <w:t xml:space="preserve"> her deductions will continue for her payments under the </w:t>
      </w:r>
      <w:r w:rsidR="004D001F">
        <w:t>‘</w:t>
      </w:r>
      <w:r>
        <w:t xml:space="preserve">Real </w:t>
      </w:r>
      <w:r w:rsidR="00F11098">
        <w:t>e</w:t>
      </w:r>
      <w:r>
        <w:t xml:space="preserve">state and </w:t>
      </w:r>
      <w:r w:rsidR="00F11098">
        <w:t>p</w:t>
      </w:r>
      <w:r>
        <w:t xml:space="preserve">roperty </w:t>
      </w:r>
      <w:r w:rsidR="00F11098">
        <w:t>a</w:t>
      </w:r>
      <w:r>
        <w:t>gents</w:t>
      </w:r>
      <w:r w:rsidR="004D001F">
        <w:t>’</w:t>
      </w:r>
      <w:r>
        <w:t xml:space="preserve"> service reason.</w:t>
      </w:r>
    </w:p>
    <w:p w14:paraId="773727C8" w14:textId="68149F92" w:rsidR="006B13DF" w:rsidRPr="00074985" w:rsidRDefault="00EE7007" w:rsidP="00685D14">
      <w:r>
        <w:t xml:space="preserve">Alice knows that this is just a change </w:t>
      </w:r>
      <w:r w:rsidR="004D001F">
        <w:t xml:space="preserve">in </w:t>
      </w:r>
      <w:r>
        <w:t xml:space="preserve">name and there is nothing else </w:t>
      </w:r>
      <w:r w:rsidR="00E20730">
        <w:t>for her</w:t>
      </w:r>
      <w:r>
        <w:t xml:space="preserve"> to do.</w:t>
      </w:r>
    </w:p>
    <w:p w14:paraId="7734CA0A" w14:textId="17FA2D92" w:rsidR="006B13DF" w:rsidRPr="009A6DD1" w:rsidRDefault="006B13DF" w:rsidP="00516809">
      <w:pPr>
        <w:pStyle w:val="Heading2"/>
      </w:pPr>
      <w:bookmarkStart w:id="75" w:name="_Toc211365539"/>
      <w:r>
        <w:lastRenderedPageBreak/>
        <w:t xml:space="preserve">What </w:t>
      </w:r>
      <w:r w:rsidR="000A59BF">
        <w:t>do customers and businesses need to do</w:t>
      </w:r>
      <w:r>
        <w:t xml:space="preserve"> if </w:t>
      </w:r>
      <w:r w:rsidR="00F56014">
        <w:t>a</w:t>
      </w:r>
      <w:r w:rsidR="00F56014" w:rsidRPr="009A6DD1">
        <w:t xml:space="preserve"> </w:t>
      </w:r>
      <w:r w:rsidRPr="009A6DD1">
        <w:t xml:space="preserve">business is no longer </w:t>
      </w:r>
      <w:r>
        <w:t>eligible for</w:t>
      </w:r>
      <w:r w:rsidRPr="009A6DD1">
        <w:t xml:space="preserve"> Centrepay?</w:t>
      </w:r>
      <w:bookmarkEnd w:id="75"/>
    </w:p>
    <w:p w14:paraId="7898D318" w14:textId="698351A6" w:rsidR="00F56014" w:rsidRDefault="00834900" w:rsidP="00F56014">
      <w:r>
        <w:t>Changes to Centrepay include the removal of some service reasons and some goods and services.</w:t>
      </w:r>
    </w:p>
    <w:p w14:paraId="65B7E4FD" w14:textId="4ED3FF60" w:rsidR="00F56014" w:rsidRDefault="00834900" w:rsidP="00F56014">
      <w:r>
        <w:t>Businesses registered under one of the</w:t>
      </w:r>
      <w:r w:rsidR="00F56014">
        <w:t>se</w:t>
      </w:r>
      <w:r>
        <w:t xml:space="preserve"> service reasons</w:t>
      </w:r>
      <w:r w:rsidR="00B23A84">
        <w:t xml:space="preserve">, or </w:t>
      </w:r>
      <w:r>
        <w:t>offer</w:t>
      </w:r>
      <w:r w:rsidR="00B23A84">
        <w:t>ing</w:t>
      </w:r>
      <w:r>
        <w:t xml:space="preserve"> goods and services </w:t>
      </w:r>
      <w:r w:rsidR="00665311">
        <w:t>that will be</w:t>
      </w:r>
      <w:r>
        <w:t xml:space="preserve"> remov</w:t>
      </w:r>
      <w:r w:rsidR="00665311">
        <w:t>ed</w:t>
      </w:r>
      <w:r w:rsidR="00F56014">
        <w:t>,</w:t>
      </w:r>
      <w:r>
        <w:t xml:space="preserve"> have from 3 November 2025 to </w:t>
      </w:r>
      <w:r w:rsidR="0074137A">
        <w:t>31 October</w:t>
      </w:r>
      <w:r>
        <w:t xml:space="preserve"> 2026 to transition off Centrepay.</w:t>
      </w:r>
    </w:p>
    <w:p w14:paraId="423BA8FE" w14:textId="5E779367" w:rsidR="00834900" w:rsidRDefault="00834900" w:rsidP="00F56014">
      <w:r>
        <w:t xml:space="preserve">A business also may choose to transition off Centrepay any time throughout this </w:t>
      </w:r>
      <w:r w:rsidR="00F56014">
        <w:t>12-month</w:t>
      </w:r>
      <w:r>
        <w:t xml:space="preserve"> period voluntarily.</w:t>
      </w:r>
    </w:p>
    <w:p w14:paraId="2102E3E8" w14:textId="2D97D820" w:rsidR="006B13DF" w:rsidRDefault="006B13DF" w:rsidP="00B13D76">
      <w:r w:rsidRPr="00541ACD">
        <w:t xml:space="preserve">If </w:t>
      </w:r>
      <w:r>
        <w:t>a</w:t>
      </w:r>
      <w:r w:rsidRPr="00541ACD">
        <w:t xml:space="preserve"> customer’s </w:t>
      </w:r>
      <w:r>
        <w:t>deduction</w:t>
      </w:r>
      <w:r w:rsidRPr="00541ACD">
        <w:t xml:space="preserve"> with a business </w:t>
      </w:r>
      <w:r>
        <w:t xml:space="preserve">stops </w:t>
      </w:r>
      <w:r w:rsidR="0062095B">
        <w:t>before they’re</w:t>
      </w:r>
      <w:r w:rsidR="00834900">
        <w:t xml:space="preserve"> removed from Centrepay</w:t>
      </w:r>
      <w:r w:rsidRPr="00541ACD">
        <w:t xml:space="preserve">, </w:t>
      </w:r>
      <w:r w:rsidR="0062095B">
        <w:t>they don’t need</w:t>
      </w:r>
      <w:r w:rsidRPr="00541ACD">
        <w:t xml:space="preserve"> to do</w:t>
      </w:r>
      <w:r w:rsidR="0062095B">
        <w:t xml:space="preserve"> anything</w:t>
      </w:r>
      <w:r>
        <w:t>. I</w:t>
      </w:r>
      <w:r w:rsidRPr="00541ACD">
        <w:t xml:space="preserve">f the </w:t>
      </w:r>
      <w:r>
        <w:t xml:space="preserve">deduction will stop on or after 1 November 2026, </w:t>
      </w:r>
      <w:r w:rsidRPr="00541ACD">
        <w:t>then the</w:t>
      </w:r>
      <w:r w:rsidR="00834900">
        <w:t xml:space="preserve"> customer</w:t>
      </w:r>
      <w:r w:rsidRPr="00541ACD">
        <w:t xml:space="preserve"> </w:t>
      </w:r>
      <w:r>
        <w:t>should</w:t>
      </w:r>
      <w:r w:rsidRPr="00541ACD">
        <w:t xml:space="preserve"> speak with the business about alternative </w:t>
      </w:r>
      <w:r w:rsidR="00834900">
        <w:t xml:space="preserve">payment </w:t>
      </w:r>
      <w:r w:rsidRPr="00541ACD">
        <w:t>options</w:t>
      </w:r>
      <w:r w:rsidR="00686CBB">
        <w:t xml:space="preserve"> </w:t>
      </w:r>
      <w:r w:rsidR="00834900">
        <w:t>to fulfill their obligations with the business.</w:t>
      </w:r>
    </w:p>
    <w:p w14:paraId="4E80F38A" w14:textId="62BC04AB" w:rsidR="005B655A" w:rsidRPr="006F5F23" w:rsidRDefault="008B3E93" w:rsidP="006F5F23">
      <w:pPr>
        <w:rPr>
          <w:bCs/>
          <w:sz w:val="24"/>
          <w:szCs w:val="24"/>
        </w:rPr>
      </w:pPr>
      <w:r>
        <w:rPr>
          <w:b/>
          <w:bCs/>
          <w:sz w:val="24"/>
          <w:szCs w:val="24"/>
        </w:rPr>
        <w:t>Services Australia is</w:t>
      </w:r>
      <w:r w:rsidR="00351AB7" w:rsidRPr="006F5F23">
        <w:rPr>
          <w:b/>
          <w:bCs/>
          <w:sz w:val="24"/>
          <w:szCs w:val="24"/>
        </w:rPr>
        <w:t xml:space="preserve"> removing the </w:t>
      </w:r>
      <w:r w:rsidR="006B13DF" w:rsidRPr="006F5F23">
        <w:rPr>
          <w:b/>
          <w:bCs/>
          <w:sz w:val="24"/>
          <w:szCs w:val="24"/>
        </w:rPr>
        <w:t xml:space="preserve">following service reasons </w:t>
      </w:r>
      <w:r w:rsidR="00351AB7" w:rsidRPr="006F5F23">
        <w:rPr>
          <w:b/>
          <w:bCs/>
          <w:sz w:val="24"/>
          <w:szCs w:val="24"/>
        </w:rPr>
        <w:t>from Centrepay:</w:t>
      </w:r>
    </w:p>
    <w:tbl>
      <w:tblPr>
        <w:tblW w:w="9880" w:type="dxa"/>
        <w:tblCellMar>
          <w:left w:w="0" w:type="dxa"/>
          <w:right w:w="0" w:type="dxa"/>
        </w:tblCellMar>
        <w:tblLook w:val="04A0" w:firstRow="1" w:lastRow="0" w:firstColumn="1" w:lastColumn="0" w:noHBand="0" w:noVBand="1"/>
      </w:tblPr>
      <w:tblGrid>
        <w:gridCol w:w="4101"/>
        <w:gridCol w:w="5779"/>
      </w:tblGrid>
      <w:tr w:rsidR="00E802BC" w:rsidRPr="00E802BC" w14:paraId="5E69C071" w14:textId="77777777" w:rsidTr="006F5F23">
        <w:trPr>
          <w:trHeight w:val="454"/>
          <w:tblHeader/>
        </w:trPr>
        <w:tc>
          <w:tcPr>
            <w:tcW w:w="4101" w:type="dxa"/>
            <w:tcBorders>
              <w:top w:val="single" w:sz="8" w:space="0" w:color="000000"/>
              <w:left w:val="single" w:sz="8" w:space="0" w:color="000000"/>
              <w:bottom w:val="single" w:sz="8" w:space="0" w:color="000000"/>
              <w:right w:val="single" w:sz="8" w:space="0" w:color="000000"/>
            </w:tcBorders>
            <w:shd w:val="clear" w:color="auto" w:fill="767171" w:themeFill="background2" w:themeFillShade="80"/>
            <w:noWrap/>
            <w:tcMar>
              <w:top w:w="0" w:type="dxa"/>
              <w:left w:w="108" w:type="dxa"/>
              <w:bottom w:w="0" w:type="dxa"/>
              <w:right w:w="108" w:type="dxa"/>
            </w:tcMar>
            <w:vAlign w:val="center"/>
            <w:hideMark/>
          </w:tcPr>
          <w:p w14:paraId="58C8599C" w14:textId="0994D824" w:rsidR="00B13D76" w:rsidRPr="00E802BC" w:rsidRDefault="00E802BC" w:rsidP="00633E95">
            <w:pPr>
              <w:rPr>
                <w:b/>
                <w:bCs/>
                <w:color w:val="FFFFFF" w:themeColor="background1"/>
              </w:rPr>
            </w:pPr>
            <w:r w:rsidRPr="00E802BC">
              <w:rPr>
                <w:b/>
                <w:bCs/>
                <w:color w:val="FFFFFF" w:themeColor="background1"/>
              </w:rPr>
              <w:t>SERVICE REASON</w:t>
            </w:r>
          </w:p>
        </w:tc>
        <w:tc>
          <w:tcPr>
            <w:tcW w:w="5779" w:type="dxa"/>
            <w:tcBorders>
              <w:top w:val="single" w:sz="8" w:space="0" w:color="000000"/>
              <w:left w:val="nil"/>
              <w:bottom w:val="single" w:sz="8" w:space="0" w:color="000000"/>
              <w:right w:val="single" w:sz="8" w:space="0" w:color="000000"/>
            </w:tcBorders>
            <w:shd w:val="clear" w:color="auto" w:fill="767171" w:themeFill="background2" w:themeFillShade="80"/>
            <w:noWrap/>
            <w:tcMar>
              <w:top w:w="0" w:type="dxa"/>
              <w:left w:w="108" w:type="dxa"/>
              <w:bottom w:w="0" w:type="dxa"/>
              <w:right w:w="108" w:type="dxa"/>
            </w:tcMar>
            <w:vAlign w:val="center"/>
            <w:hideMark/>
          </w:tcPr>
          <w:p w14:paraId="192292E3" w14:textId="66C82519" w:rsidR="00B13D76" w:rsidRPr="00E802BC" w:rsidRDefault="001D1AFF" w:rsidP="00633E95">
            <w:pPr>
              <w:rPr>
                <w:b/>
                <w:bCs/>
                <w:color w:val="FFFFFF" w:themeColor="background1"/>
              </w:rPr>
            </w:pPr>
            <w:r w:rsidRPr="00E802BC">
              <w:rPr>
                <w:b/>
                <w:bCs/>
                <w:caps/>
                <w:color w:val="FFFFFF" w:themeColor="background1"/>
              </w:rPr>
              <w:t>Good</w:t>
            </w:r>
            <w:r>
              <w:rPr>
                <w:b/>
                <w:bCs/>
                <w:caps/>
                <w:color w:val="FFFFFF" w:themeColor="background1"/>
              </w:rPr>
              <w:t>S</w:t>
            </w:r>
            <w:r w:rsidRPr="00E802BC">
              <w:rPr>
                <w:b/>
                <w:bCs/>
                <w:caps/>
                <w:color w:val="FFFFFF" w:themeColor="background1"/>
              </w:rPr>
              <w:t xml:space="preserve"> or service</w:t>
            </w:r>
            <w:r>
              <w:rPr>
                <w:b/>
                <w:bCs/>
                <w:caps/>
                <w:color w:val="FFFFFF" w:themeColor="background1"/>
              </w:rPr>
              <w:t>S</w:t>
            </w:r>
          </w:p>
        </w:tc>
      </w:tr>
      <w:tr w:rsidR="00E802BC" w:rsidRPr="00DD6848" w14:paraId="1957EA37" w14:textId="77777777" w:rsidTr="006F5F23">
        <w:trPr>
          <w:trHeight w:val="340"/>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5EC1A7D5" w14:textId="535EE060" w:rsidR="00E802BC" w:rsidRPr="00DD6848" w:rsidRDefault="00E802BC" w:rsidP="00E802BC">
            <w:pPr>
              <w:spacing w:before="0" w:after="0"/>
            </w:pPr>
            <w:r w:rsidRPr="00DD6848">
              <w:t xml:space="preserve">Household </w:t>
            </w:r>
            <w:r w:rsidR="000A59BF">
              <w:t>g</w:t>
            </w:r>
            <w:r w:rsidRPr="00DD6848">
              <w:t xml:space="preserve">oods </w:t>
            </w:r>
            <w:r w:rsidR="000A59BF">
              <w:t>l</w:t>
            </w:r>
            <w:r w:rsidRPr="00DD6848">
              <w:t xml:space="preserve">ease and </w:t>
            </w:r>
            <w:r w:rsidR="00A36E22">
              <w:t>r</w:t>
            </w:r>
            <w:r w:rsidR="00A36E22" w:rsidRPr="00DD6848">
              <w:t>ental</w:t>
            </w:r>
            <w:r w:rsidRPr="00DD6848">
              <w:t xml:space="preserve"> </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46508054" w14:textId="4FC5AFF1" w:rsidR="00E802BC" w:rsidRPr="00DD6848" w:rsidRDefault="00E802BC" w:rsidP="00E802BC">
            <w:pPr>
              <w:spacing w:before="0" w:after="0"/>
            </w:pPr>
            <w:r w:rsidRPr="00DD6848">
              <w:t>Renting whitegoods, furniture, or electrical appliances</w:t>
            </w:r>
          </w:p>
        </w:tc>
      </w:tr>
      <w:tr w:rsidR="00E802BC" w:rsidRPr="00DD6848" w14:paraId="4344AD10" w14:textId="77777777" w:rsidTr="006F5F23">
        <w:trPr>
          <w:trHeight w:val="340"/>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7EC5BCFA" w14:textId="1E999840" w:rsidR="00E802BC" w:rsidRPr="00DD6848" w:rsidRDefault="00E802BC" w:rsidP="00E802BC">
            <w:pPr>
              <w:spacing w:before="0" w:after="0"/>
            </w:pPr>
            <w:r w:rsidRPr="00DD6848">
              <w:t xml:space="preserve">Basic </w:t>
            </w:r>
            <w:r w:rsidR="000A59BF">
              <w:t>h</w:t>
            </w:r>
            <w:r w:rsidRPr="00DD6848">
              <w:t xml:space="preserve">ousehold </w:t>
            </w:r>
            <w:r w:rsidR="000A59BF">
              <w:t>i</w:t>
            </w:r>
            <w:r w:rsidRPr="00DD6848">
              <w:t>tems</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02EFC427" w14:textId="64CB1D94" w:rsidR="00E802BC" w:rsidRPr="00DD6848" w:rsidRDefault="00E802BC" w:rsidP="00E802BC">
            <w:pPr>
              <w:spacing w:before="0" w:after="0"/>
            </w:pPr>
            <w:r w:rsidRPr="00DD6848">
              <w:t>Purchase items such as clothing and footwear</w:t>
            </w:r>
          </w:p>
        </w:tc>
      </w:tr>
      <w:tr w:rsidR="00E802BC" w:rsidRPr="00DD6848" w14:paraId="25DBD748" w14:textId="77777777" w:rsidTr="006F5F23">
        <w:trPr>
          <w:trHeight w:val="340"/>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65FDC1AD" w14:textId="05729D8E" w:rsidR="00E802BC" w:rsidRPr="00DD6848" w:rsidRDefault="00E802BC" w:rsidP="00E802BC">
            <w:pPr>
              <w:spacing w:before="0" w:after="0"/>
            </w:pPr>
            <w:r w:rsidRPr="00DD6848">
              <w:t xml:space="preserve">Funeral </w:t>
            </w:r>
            <w:r w:rsidR="000A59BF">
              <w:t>e</w:t>
            </w:r>
            <w:r w:rsidRPr="00DD6848">
              <w:t>xpenses</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52FBEDBA" w14:textId="66570A22" w:rsidR="00E802BC" w:rsidRPr="00DD6848" w:rsidRDefault="00E802BC" w:rsidP="00E802BC">
            <w:pPr>
              <w:spacing w:before="0" w:after="0"/>
            </w:pPr>
            <w:r w:rsidRPr="00DD6848">
              <w:t>Funeral plans and bonds and general funeral costs</w:t>
            </w:r>
          </w:p>
        </w:tc>
      </w:tr>
      <w:tr w:rsidR="00E802BC" w:rsidRPr="00DD6848" w14:paraId="017ABA53" w14:textId="77777777" w:rsidTr="006F5F23">
        <w:trPr>
          <w:trHeight w:val="340"/>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1AA13C2B" w14:textId="1912FCF2" w:rsidR="00E802BC" w:rsidRPr="00DD6848" w:rsidRDefault="00E802BC" w:rsidP="00E802BC">
            <w:pPr>
              <w:spacing w:before="0" w:after="0"/>
            </w:pPr>
            <w:r w:rsidRPr="00DD6848">
              <w:t xml:space="preserve">Employment </w:t>
            </w:r>
            <w:r w:rsidR="000A59BF">
              <w:t>e</w:t>
            </w:r>
            <w:r w:rsidRPr="00DD6848">
              <w:t>xpenses</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368E05A1" w14:textId="2E2F629C" w:rsidR="00E802BC" w:rsidRPr="00DD6848" w:rsidRDefault="00E802BC" w:rsidP="00E802BC">
            <w:pPr>
              <w:spacing w:before="0" w:after="0"/>
            </w:pPr>
            <w:r w:rsidRPr="00DD6848">
              <w:t>Tools, work uniforms, footwear, and training</w:t>
            </w:r>
          </w:p>
        </w:tc>
      </w:tr>
      <w:tr w:rsidR="00E802BC" w:rsidRPr="00DD6848" w14:paraId="68D95E01" w14:textId="77777777" w:rsidTr="006F5F23">
        <w:trPr>
          <w:trHeight w:val="340"/>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0BBFACB3" w14:textId="7B9141D2" w:rsidR="00E802BC" w:rsidRPr="00DD6848" w:rsidRDefault="00E802BC" w:rsidP="00E802BC">
            <w:pPr>
              <w:spacing w:before="0" w:after="0"/>
            </w:pPr>
            <w:r w:rsidRPr="00DD6848">
              <w:t xml:space="preserve">Social and </w:t>
            </w:r>
            <w:r w:rsidR="000A59BF">
              <w:t>r</w:t>
            </w:r>
            <w:r w:rsidRPr="00DD6848">
              <w:t xml:space="preserve">ecreational </w:t>
            </w:r>
            <w:r w:rsidR="000A59BF">
              <w:t>c</w:t>
            </w:r>
            <w:r w:rsidRPr="00DD6848">
              <w:t>ommitments</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53511682" w14:textId="4DA1B642" w:rsidR="00E802BC" w:rsidRPr="00DD6848" w:rsidRDefault="00E802BC" w:rsidP="00E802BC">
            <w:pPr>
              <w:spacing w:before="0" w:after="0"/>
            </w:pPr>
            <w:r w:rsidRPr="00DD6848">
              <w:t>Fees for sporting or musical activities, equipment, church donations or sponsorships</w:t>
            </w:r>
          </w:p>
        </w:tc>
      </w:tr>
      <w:tr w:rsidR="00E802BC" w:rsidRPr="00DD6848" w14:paraId="1B7A92D1" w14:textId="77777777" w:rsidTr="006F5F23">
        <w:trPr>
          <w:trHeight w:val="227"/>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06B4E9FA" w14:textId="02C4A9BF" w:rsidR="00E802BC" w:rsidRPr="00DD6848" w:rsidRDefault="00E802BC" w:rsidP="007F2625">
            <w:pPr>
              <w:spacing w:before="0" w:after="0"/>
            </w:pPr>
            <w:r w:rsidRPr="00DD6848">
              <w:t>Savings</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6580DBBB" w14:textId="11CF10D7" w:rsidR="00E802BC" w:rsidRPr="00DD6848" w:rsidRDefault="00E802BC" w:rsidP="007F2625">
            <w:pPr>
              <w:spacing w:before="0" w:after="0"/>
            </w:pPr>
            <w:r w:rsidRPr="00DD6848">
              <w:t>Deposits for microfinance savings plans provided by not-for-profit organisations and financial institutions</w:t>
            </w:r>
          </w:p>
        </w:tc>
      </w:tr>
      <w:tr w:rsidR="00E802BC" w:rsidRPr="00DD6848" w14:paraId="31315DC8" w14:textId="77777777" w:rsidTr="006F5F23">
        <w:trPr>
          <w:trHeight w:val="340"/>
          <w:tblHeader/>
        </w:trPr>
        <w:tc>
          <w:tcPr>
            <w:tcW w:w="4101"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50AEA8A5" w14:textId="53CD23C8" w:rsidR="00E802BC" w:rsidRPr="00DD6848" w:rsidRDefault="00E802BC" w:rsidP="00E802BC">
            <w:pPr>
              <w:spacing w:before="0" w:after="0"/>
            </w:pPr>
            <w:r w:rsidRPr="00DD6848">
              <w:t xml:space="preserve">Motor </w:t>
            </w:r>
            <w:r w:rsidR="000A59BF">
              <w:t>v</w:t>
            </w:r>
            <w:r w:rsidRPr="00DD6848">
              <w:t xml:space="preserve">ehicle </w:t>
            </w:r>
            <w:r w:rsidR="000A59BF">
              <w:t>r</w:t>
            </w:r>
            <w:r w:rsidRPr="00DD6848">
              <w:t>egistration</w:t>
            </w:r>
          </w:p>
        </w:tc>
        <w:tc>
          <w:tcPr>
            <w:tcW w:w="5779"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tcPr>
          <w:p w14:paraId="5788ABBD" w14:textId="77777777" w:rsidR="00E802BC" w:rsidRPr="00DD6848" w:rsidRDefault="00E802BC" w:rsidP="00E802BC">
            <w:pPr>
              <w:spacing w:before="0" w:after="0"/>
            </w:pPr>
            <w:r w:rsidRPr="00DD6848">
              <w:t>Registration of cars, motorbikes, caravans and third-party insurance</w:t>
            </w:r>
          </w:p>
        </w:tc>
      </w:tr>
    </w:tbl>
    <w:p w14:paraId="423142A9" w14:textId="49C01EFE" w:rsidR="00834900" w:rsidRPr="006F5F23" w:rsidRDefault="008B3E93" w:rsidP="006F5F23">
      <w:pPr>
        <w:rPr>
          <w:bCs/>
          <w:sz w:val="24"/>
          <w:szCs w:val="24"/>
        </w:rPr>
      </w:pPr>
      <w:r w:rsidRPr="008B3E93">
        <w:rPr>
          <w:b/>
          <w:bCs/>
          <w:sz w:val="24"/>
          <w:szCs w:val="24"/>
        </w:rPr>
        <w:t xml:space="preserve">Services Australia is </w:t>
      </w:r>
      <w:r w:rsidR="00834900" w:rsidRPr="006F5F23">
        <w:rPr>
          <w:b/>
          <w:bCs/>
          <w:sz w:val="24"/>
          <w:szCs w:val="24"/>
        </w:rPr>
        <w:t>removing the following goods or services from Centrepay:</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4"/>
        <w:gridCol w:w="3684"/>
        <w:gridCol w:w="4070"/>
      </w:tblGrid>
      <w:tr w:rsidR="00DD6848" w:rsidRPr="00E802BC" w14:paraId="0548E447" w14:textId="77777777" w:rsidTr="006F5F23">
        <w:trPr>
          <w:trHeight w:val="454"/>
          <w:tblHeader/>
        </w:trPr>
        <w:tc>
          <w:tcPr>
            <w:tcW w:w="1075" w:type="pct"/>
            <w:shd w:val="clear" w:color="auto" w:fill="767171" w:themeFill="background2" w:themeFillShade="80"/>
            <w:noWrap/>
            <w:tcMar>
              <w:top w:w="0" w:type="dxa"/>
              <w:left w:w="108" w:type="dxa"/>
              <w:bottom w:w="0" w:type="dxa"/>
              <w:right w:w="108" w:type="dxa"/>
            </w:tcMar>
            <w:vAlign w:val="center"/>
            <w:hideMark/>
          </w:tcPr>
          <w:p w14:paraId="7C088D91" w14:textId="77777777" w:rsidR="00DD6848" w:rsidRPr="00E802BC" w:rsidRDefault="00DD6848" w:rsidP="00633E95">
            <w:pPr>
              <w:rPr>
                <w:b/>
                <w:bCs/>
                <w:color w:val="FFFFFF" w:themeColor="background1"/>
              </w:rPr>
            </w:pPr>
            <w:r w:rsidRPr="00E802BC">
              <w:rPr>
                <w:b/>
                <w:bCs/>
                <w:color w:val="FFFFFF" w:themeColor="background1"/>
              </w:rPr>
              <w:t>SERVICE REASON</w:t>
            </w:r>
          </w:p>
        </w:tc>
        <w:tc>
          <w:tcPr>
            <w:tcW w:w="1865" w:type="pct"/>
            <w:shd w:val="clear" w:color="auto" w:fill="767171" w:themeFill="background2" w:themeFillShade="80"/>
          </w:tcPr>
          <w:p w14:paraId="3E512A72" w14:textId="28F50C18" w:rsidR="00DD6848" w:rsidRPr="00DD6848" w:rsidRDefault="005633AE" w:rsidP="00DD6848">
            <w:pPr>
              <w:ind w:left="130"/>
              <w:rPr>
                <w:b/>
                <w:bCs/>
                <w:color w:val="FFFFFF" w:themeColor="background1"/>
              </w:rPr>
            </w:pPr>
            <w:r>
              <w:rPr>
                <w:b/>
                <w:bCs/>
                <w:color w:val="FFFFFF" w:themeColor="background1"/>
              </w:rPr>
              <w:t>CUSTOMERS</w:t>
            </w:r>
            <w:r w:rsidRPr="00DD6848">
              <w:rPr>
                <w:b/>
                <w:bCs/>
                <w:color w:val="FFFFFF" w:themeColor="background1"/>
              </w:rPr>
              <w:t xml:space="preserve"> </w:t>
            </w:r>
            <w:r w:rsidR="00DD6848" w:rsidRPr="00DD6848">
              <w:rPr>
                <w:b/>
                <w:bCs/>
                <w:color w:val="FFFFFF" w:themeColor="background1"/>
              </w:rPr>
              <w:t>CAN NO LONGER USE CENTREPAY TO PAY FOR</w:t>
            </w:r>
          </w:p>
        </w:tc>
        <w:tc>
          <w:tcPr>
            <w:tcW w:w="2061" w:type="pct"/>
            <w:shd w:val="clear" w:color="auto" w:fill="767171" w:themeFill="background2" w:themeFillShade="80"/>
            <w:noWrap/>
            <w:tcMar>
              <w:top w:w="0" w:type="dxa"/>
              <w:left w:w="108" w:type="dxa"/>
              <w:bottom w:w="0" w:type="dxa"/>
              <w:right w:w="108" w:type="dxa"/>
            </w:tcMar>
            <w:vAlign w:val="center"/>
            <w:hideMark/>
          </w:tcPr>
          <w:p w14:paraId="6F2BFAFE" w14:textId="432EF4B1" w:rsidR="00DD6848" w:rsidRPr="00DD6848" w:rsidRDefault="005633AE" w:rsidP="00633E95">
            <w:pPr>
              <w:rPr>
                <w:b/>
                <w:bCs/>
                <w:color w:val="FFFFFF" w:themeColor="background1"/>
              </w:rPr>
            </w:pPr>
            <w:r>
              <w:rPr>
                <w:b/>
                <w:bCs/>
                <w:color w:val="FFFFFF" w:themeColor="background1"/>
              </w:rPr>
              <w:t>CUSTOMERS</w:t>
            </w:r>
            <w:r w:rsidRPr="00DD6848">
              <w:rPr>
                <w:b/>
                <w:bCs/>
                <w:color w:val="FFFFFF" w:themeColor="background1"/>
              </w:rPr>
              <w:t xml:space="preserve"> </w:t>
            </w:r>
            <w:r w:rsidR="00DD6848" w:rsidRPr="00DD6848">
              <w:rPr>
                <w:b/>
                <w:bCs/>
                <w:color w:val="FFFFFF" w:themeColor="background1"/>
              </w:rPr>
              <w:t>CAN STILL USE CENTREPAY TO PAY FOR</w:t>
            </w:r>
          </w:p>
        </w:tc>
      </w:tr>
      <w:tr w:rsidR="00DD6848" w:rsidRPr="00B13D76" w14:paraId="0184E6BF" w14:textId="77777777" w:rsidTr="006F5F23">
        <w:trPr>
          <w:trHeight w:val="340"/>
          <w:tblHeader/>
        </w:trPr>
        <w:tc>
          <w:tcPr>
            <w:tcW w:w="1075" w:type="pct"/>
            <w:shd w:val="clear" w:color="auto" w:fill="FFFFFF" w:themeFill="background1"/>
            <w:noWrap/>
            <w:tcMar>
              <w:top w:w="0" w:type="dxa"/>
              <w:left w:w="108" w:type="dxa"/>
              <w:bottom w:w="0" w:type="dxa"/>
              <w:right w:w="108" w:type="dxa"/>
            </w:tcMar>
            <w:vAlign w:val="center"/>
          </w:tcPr>
          <w:p w14:paraId="586A30F6" w14:textId="613484F2" w:rsidR="00DD6848" w:rsidRPr="00B13D76" w:rsidRDefault="00DD6848" w:rsidP="00DD6848">
            <w:pPr>
              <w:spacing w:before="0" w:after="0"/>
              <w:rPr>
                <w:b/>
                <w:bCs/>
              </w:rPr>
            </w:pPr>
            <w:r w:rsidRPr="009D113C">
              <w:t>Transport</w:t>
            </w:r>
          </w:p>
        </w:tc>
        <w:tc>
          <w:tcPr>
            <w:tcW w:w="1865" w:type="pct"/>
            <w:shd w:val="clear" w:color="auto" w:fill="FFFFFF" w:themeFill="background1"/>
          </w:tcPr>
          <w:p w14:paraId="13243F35" w14:textId="174BDC2C" w:rsidR="00DD6848" w:rsidRPr="00B13D76" w:rsidRDefault="00DD6848" w:rsidP="00DD6848">
            <w:pPr>
              <w:spacing w:before="0" w:after="0"/>
              <w:ind w:left="139"/>
              <w:rPr>
                <w:b/>
                <w:bCs/>
              </w:rPr>
            </w:pPr>
            <w:r w:rsidRPr="006448AC">
              <w:t>Self-storage, removalists, fuel and car repairs</w:t>
            </w:r>
          </w:p>
        </w:tc>
        <w:tc>
          <w:tcPr>
            <w:tcW w:w="2061" w:type="pct"/>
            <w:shd w:val="clear" w:color="auto" w:fill="FFFFFF" w:themeFill="background1"/>
            <w:noWrap/>
            <w:tcMar>
              <w:top w:w="0" w:type="dxa"/>
              <w:left w:w="108" w:type="dxa"/>
              <w:bottom w:w="0" w:type="dxa"/>
              <w:right w:w="108" w:type="dxa"/>
            </w:tcMar>
          </w:tcPr>
          <w:p w14:paraId="7CE53DE8" w14:textId="465B3744" w:rsidR="00DD6848" w:rsidRPr="00B13D76" w:rsidRDefault="00DD6848" w:rsidP="00DD6848">
            <w:pPr>
              <w:spacing w:before="0" w:after="0"/>
              <w:rPr>
                <w:b/>
                <w:bCs/>
              </w:rPr>
            </w:pPr>
            <w:r>
              <w:t>Costs for travel, including return to country, general transport costs such as a bus service</w:t>
            </w:r>
          </w:p>
        </w:tc>
      </w:tr>
      <w:tr w:rsidR="00DD6848" w:rsidRPr="00B13D76" w14:paraId="09F50222" w14:textId="77777777" w:rsidTr="006F5F23">
        <w:trPr>
          <w:trHeight w:val="340"/>
          <w:tblHeader/>
        </w:trPr>
        <w:tc>
          <w:tcPr>
            <w:tcW w:w="1075" w:type="pct"/>
            <w:shd w:val="clear" w:color="auto" w:fill="FFFFFF" w:themeFill="background1"/>
            <w:noWrap/>
            <w:tcMar>
              <w:top w:w="0" w:type="dxa"/>
              <w:left w:w="108" w:type="dxa"/>
              <w:bottom w:w="0" w:type="dxa"/>
              <w:right w:w="108" w:type="dxa"/>
            </w:tcMar>
            <w:vAlign w:val="center"/>
          </w:tcPr>
          <w:p w14:paraId="6294CB6E" w14:textId="36DD1F3E" w:rsidR="00DD6848" w:rsidRPr="00DD44B8" w:rsidRDefault="00DD6848" w:rsidP="00DD6848">
            <w:pPr>
              <w:spacing w:before="0" w:after="0"/>
            </w:pPr>
            <w:r w:rsidRPr="009D113C">
              <w:t>Legal services</w:t>
            </w:r>
          </w:p>
        </w:tc>
        <w:tc>
          <w:tcPr>
            <w:tcW w:w="1865" w:type="pct"/>
            <w:shd w:val="clear" w:color="auto" w:fill="FFFFFF" w:themeFill="background1"/>
          </w:tcPr>
          <w:p w14:paraId="4CED631F" w14:textId="544A4492" w:rsidR="00DD6848" w:rsidRPr="00DD44B8" w:rsidRDefault="00DD6848" w:rsidP="00DD6848">
            <w:pPr>
              <w:spacing w:before="0" w:after="0"/>
              <w:ind w:left="139"/>
            </w:pPr>
            <w:r>
              <w:t>N</w:t>
            </w:r>
            <w:r w:rsidRPr="006448AC">
              <w:t>on-legal professional services</w:t>
            </w:r>
          </w:p>
        </w:tc>
        <w:tc>
          <w:tcPr>
            <w:tcW w:w="2061" w:type="pct"/>
            <w:shd w:val="clear" w:color="auto" w:fill="FFFFFF" w:themeFill="background1"/>
            <w:noWrap/>
            <w:tcMar>
              <w:top w:w="0" w:type="dxa"/>
              <w:left w:w="108" w:type="dxa"/>
              <w:bottom w:w="0" w:type="dxa"/>
              <w:right w:w="108" w:type="dxa"/>
            </w:tcMar>
          </w:tcPr>
          <w:p w14:paraId="014D34F3" w14:textId="1AC4F041" w:rsidR="00DD6848" w:rsidRPr="00DD44B8" w:rsidRDefault="00DD6848" w:rsidP="00DD6848">
            <w:pPr>
              <w:spacing w:before="0" w:after="0"/>
            </w:pPr>
            <w:r>
              <w:t>L</w:t>
            </w:r>
            <w:r w:rsidRPr="006448AC">
              <w:t>egal aid or legal services offered at a discounted rate</w:t>
            </w:r>
          </w:p>
        </w:tc>
      </w:tr>
      <w:tr w:rsidR="00DD6848" w:rsidRPr="00B13D76" w14:paraId="019ED989" w14:textId="77777777" w:rsidTr="006F5F23">
        <w:trPr>
          <w:trHeight w:val="340"/>
          <w:tblHeader/>
        </w:trPr>
        <w:tc>
          <w:tcPr>
            <w:tcW w:w="1075" w:type="pct"/>
            <w:shd w:val="clear" w:color="auto" w:fill="FFFFFF" w:themeFill="background1"/>
            <w:noWrap/>
            <w:tcMar>
              <w:top w:w="0" w:type="dxa"/>
              <w:left w:w="108" w:type="dxa"/>
              <w:bottom w:w="0" w:type="dxa"/>
              <w:right w:w="108" w:type="dxa"/>
            </w:tcMar>
            <w:vAlign w:val="center"/>
          </w:tcPr>
          <w:p w14:paraId="175F7A24" w14:textId="5C045381" w:rsidR="00DD6848" w:rsidRPr="00DD44B8" w:rsidRDefault="00DD6848" w:rsidP="00DD6848">
            <w:pPr>
              <w:spacing w:before="0" w:after="0"/>
            </w:pPr>
            <w:r w:rsidRPr="009D113C">
              <w:t xml:space="preserve">Food </w:t>
            </w:r>
            <w:r>
              <w:t>p</w:t>
            </w:r>
            <w:r w:rsidRPr="009D113C">
              <w:t xml:space="preserve">rovision for </w:t>
            </w:r>
            <w:r>
              <w:t>r</w:t>
            </w:r>
            <w:r w:rsidRPr="009D113C">
              <w:t xml:space="preserve">emote </w:t>
            </w:r>
            <w:r>
              <w:t>a</w:t>
            </w:r>
            <w:r w:rsidRPr="009D113C">
              <w:t>reas</w:t>
            </w:r>
          </w:p>
        </w:tc>
        <w:tc>
          <w:tcPr>
            <w:tcW w:w="1865" w:type="pct"/>
            <w:shd w:val="clear" w:color="auto" w:fill="FFFFFF" w:themeFill="background1"/>
          </w:tcPr>
          <w:p w14:paraId="112C7930" w14:textId="3CC83F9D" w:rsidR="00DD6848" w:rsidRPr="00DD44B8" w:rsidRDefault="00DD6848" w:rsidP="00DD6848">
            <w:pPr>
              <w:spacing w:before="0" w:after="0"/>
              <w:ind w:left="139"/>
            </w:pPr>
            <w:r>
              <w:t xml:space="preserve">Food or grocery items </w:t>
            </w:r>
            <w:r w:rsidR="005633AE">
              <w:t xml:space="preserve">customers </w:t>
            </w:r>
            <w:r>
              <w:t xml:space="preserve">buy from </w:t>
            </w:r>
            <w:r w:rsidRPr="00456300">
              <w:t xml:space="preserve">butchers or </w:t>
            </w:r>
            <w:r>
              <w:t>non-remote grocery stores.</w:t>
            </w:r>
          </w:p>
        </w:tc>
        <w:tc>
          <w:tcPr>
            <w:tcW w:w="2061" w:type="pct"/>
            <w:shd w:val="clear" w:color="auto" w:fill="FFFFFF" w:themeFill="background1"/>
            <w:noWrap/>
            <w:tcMar>
              <w:top w:w="0" w:type="dxa"/>
              <w:left w:w="108" w:type="dxa"/>
              <w:bottom w:w="0" w:type="dxa"/>
              <w:right w:w="108" w:type="dxa"/>
            </w:tcMar>
          </w:tcPr>
          <w:p w14:paraId="44DD875D" w14:textId="132DE5D0" w:rsidR="00DD6848" w:rsidRPr="00DD44B8" w:rsidRDefault="00DD6848" w:rsidP="00DD6848">
            <w:pPr>
              <w:spacing w:before="0" w:after="0"/>
            </w:pPr>
            <w:r>
              <w:t xml:space="preserve">Food or grocery items </w:t>
            </w:r>
            <w:r w:rsidR="005633AE">
              <w:t xml:space="preserve">customers </w:t>
            </w:r>
            <w:r>
              <w:t>buy from grocery or community stores located in remote or very remote locations.</w:t>
            </w:r>
          </w:p>
        </w:tc>
      </w:tr>
    </w:tbl>
    <w:p w14:paraId="3AAE0274" w14:textId="073B974E" w:rsidR="002D5E17" w:rsidRPr="00607674" w:rsidRDefault="002D5E17" w:rsidP="00516809">
      <w:pPr>
        <w:pStyle w:val="Heading2"/>
      </w:pPr>
      <w:bookmarkStart w:id="76" w:name="_Toc211365540"/>
      <w:r w:rsidRPr="00607674">
        <w:t xml:space="preserve">What are the changes to ‘Food </w:t>
      </w:r>
      <w:r w:rsidR="000A59BF">
        <w:t>p</w:t>
      </w:r>
      <w:r w:rsidRPr="00607674">
        <w:t xml:space="preserve">rovision for </w:t>
      </w:r>
      <w:r w:rsidR="000A59BF">
        <w:t>r</w:t>
      </w:r>
      <w:r w:rsidRPr="00607674">
        <w:t xml:space="preserve">emote </w:t>
      </w:r>
      <w:r w:rsidR="000A59BF">
        <w:t>a</w:t>
      </w:r>
      <w:r w:rsidRPr="00607674">
        <w:t>reas’?</w:t>
      </w:r>
      <w:bookmarkEnd w:id="76"/>
    </w:p>
    <w:p w14:paraId="1B47243F" w14:textId="1895DD19" w:rsidR="00160776" w:rsidRPr="00B13D76" w:rsidRDefault="000435C5" w:rsidP="00B13D76">
      <w:r>
        <w:t>T</w:t>
      </w:r>
      <w:r w:rsidRPr="00B13D76">
        <w:t xml:space="preserve">he service reason </w:t>
      </w:r>
      <w:r w:rsidR="00160776" w:rsidRPr="00B13D76">
        <w:t xml:space="preserve">‘Food </w:t>
      </w:r>
      <w:r w:rsidR="000A59BF">
        <w:t>p</w:t>
      </w:r>
      <w:r w:rsidR="00160776" w:rsidRPr="00B13D76">
        <w:t xml:space="preserve">rovision’ is now called ‘Food </w:t>
      </w:r>
      <w:r w:rsidR="00F11098" w:rsidRPr="00B13D76">
        <w:t>p</w:t>
      </w:r>
      <w:r w:rsidR="00160776" w:rsidRPr="00B13D76">
        <w:t xml:space="preserve">rovision for </w:t>
      </w:r>
      <w:r w:rsidR="00F11098" w:rsidRPr="00B13D76">
        <w:t>r</w:t>
      </w:r>
      <w:r w:rsidR="00160776" w:rsidRPr="00B13D76">
        <w:t xml:space="preserve">emote </w:t>
      </w:r>
      <w:r w:rsidR="00F11098" w:rsidRPr="00B13D76">
        <w:t>a</w:t>
      </w:r>
      <w:r w:rsidR="00160776" w:rsidRPr="00B13D76">
        <w:t>reas’.</w:t>
      </w:r>
    </w:p>
    <w:p w14:paraId="3FDB575A" w14:textId="7B349C54" w:rsidR="008516F2" w:rsidRDefault="00160776" w:rsidP="00B13D76">
      <w:r w:rsidRPr="00B13D76">
        <w:t xml:space="preserve">This </w:t>
      </w:r>
      <w:r w:rsidR="000435C5">
        <w:t>means</w:t>
      </w:r>
      <w:r w:rsidR="008516F2">
        <w:t xml:space="preserve"> </w:t>
      </w:r>
      <w:r w:rsidR="000435C5">
        <w:t xml:space="preserve">Centrepay is removing </w:t>
      </w:r>
      <w:r w:rsidR="008516F2">
        <w:t>the following types of businesses:</w:t>
      </w:r>
    </w:p>
    <w:p w14:paraId="5A51D0AA" w14:textId="35E7E763" w:rsidR="008516F2" w:rsidRDefault="00160776" w:rsidP="0062095B">
      <w:pPr>
        <w:pStyle w:val="ListParagraph"/>
      </w:pPr>
      <w:r w:rsidRPr="00B13D76">
        <w:t>butchers</w:t>
      </w:r>
      <w:r w:rsidR="00E5073C" w:rsidRPr="00B13D76">
        <w:t xml:space="preserve"> or businesses that mostly sell meat or meat-products</w:t>
      </w:r>
    </w:p>
    <w:p w14:paraId="2E940F36" w14:textId="591A5BA0" w:rsidR="00160776" w:rsidRPr="00B13D76" w:rsidRDefault="00160776" w:rsidP="0062095B">
      <w:pPr>
        <w:pStyle w:val="ListParagraph"/>
      </w:pPr>
      <w:r w:rsidRPr="00B13D76">
        <w:t>businesses not located in a remote or very remote area</w:t>
      </w:r>
      <w:r w:rsidR="008516F2">
        <w:t>.</w:t>
      </w:r>
    </w:p>
    <w:p w14:paraId="30D8AE92" w14:textId="44A30C61" w:rsidR="00DD0B98" w:rsidRPr="00B13D76" w:rsidRDefault="00DD0B98" w:rsidP="00B13D76">
      <w:r w:rsidRPr="00B13D76">
        <w:t xml:space="preserve">From 3 November 2025, these businesses have 12 months to transition these services off Centrepay. They can choose to transition off anytime </w:t>
      </w:r>
      <w:r w:rsidR="000A59BF">
        <w:t>up to 1 November 2026</w:t>
      </w:r>
      <w:r w:rsidRPr="00B13D76">
        <w:t>.</w:t>
      </w:r>
    </w:p>
    <w:p w14:paraId="0C5D6096" w14:textId="167441ED" w:rsidR="00DD0B98" w:rsidRDefault="00DD0B98" w:rsidP="00B13D76">
      <w:r w:rsidRPr="00B13D76">
        <w:t xml:space="preserve">Services Australia considers stores to be remote or very remote when they are in a location </w:t>
      </w:r>
      <w:r w:rsidR="000435C5">
        <w:t>with</w:t>
      </w:r>
      <w:r w:rsidRPr="00B13D76">
        <w:t xml:space="preserve"> a population centre of less than 10,000 people.</w:t>
      </w:r>
      <w:r w:rsidR="000435C5">
        <w:t xml:space="preserve"> </w:t>
      </w:r>
      <w:r w:rsidRPr="00B13D76">
        <w:t>Services Australia uses the ARIA+ map and confirms the population of the location using the Australian Bureau of Statistics – Statistical Area Level 2 (SA2) data.</w:t>
      </w:r>
    </w:p>
    <w:p w14:paraId="49850765" w14:textId="4177CE3A" w:rsidR="000435C5" w:rsidRPr="006F5F23" w:rsidRDefault="00CB505F" w:rsidP="008B3E93">
      <w:pPr>
        <w:rPr>
          <w:b/>
          <w:bCs/>
          <w:sz w:val="24"/>
          <w:szCs w:val="24"/>
        </w:rPr>
      </w:pPr>
      <w:r w:rsidRPr="006F5F23">
        <w:rPr>
          <w:b/>
          <w:bCs/>
          <w:sz w:val="24"/>
          <w:szCs w:val="24"/>
        </w:rPr>
        <w:t>Grocery s</w:t>
      </w:r>
      <w:r w:rsidR="000435C5" w:rsidRPr="006F5F23">
        <w:rPr>
          <w:b/>
          <w:bCs/>
          <w:sz w:val="24"/>
          <w:szCs w:val="24"/>
        </w:rPr>
        <w:t>tores staying on Centrepay</w:t>
      </w:r>
    </w:p>
    <w:p w14:paraId="2E1D6A9C" w14:textId="0261139E" w:rsidR="00F8528C" w:rsidRPr="00B13D76" w:rsidRDefault="00F8528C" w:rsidP="00B13D76">
      <w:r w:rsidRPr="00B13D76">
        <w:lastRenderedPageBreak/>
        <w:t xml:space="preserve">Below is a list of the stores </w:t>
      </w:r>
      <w:r w:rsidR="000435C5">
        <w:t>staying</w:t>
      </w:r>
      <w:r w:rsidR="000435C5" w:rsidRPr="00B13D76">
        <w:t xml:space="preserve"> </w:t>
      </w:r>
      <w:r w:rsidRPr="00B13D76">
        <w:t>on Centrepay</w:t>
      </w:r>
      <w:r w:rsidR="000435C5">
        <w:t>.</w:t>
      </w:r>
      <w:r w:rsidR="00CB505F">
        <w:t xml:space="preserve"> </w:t>
      </w:r>
      <w:r w:rsidR="000435C5">
        <w:t>T</w:t>
      </w:r>
      <w:r w:rsidRPr="00B13D76">
        <w:t xml:space="preserve">his list is accurate </w:t>
      </w:r>
      <w:r w:rsidR="000435C5">
        <w:t xml:space="preserve">as </w:t>
      </w:r>
      <w:r w:rsidR="000435C5" w:rsidRPr="00B13D76">
        <w:t>of</w:t>
      </w:r>
      <w:r w:rsidRPr="00B13D76">
        <w:t xml:space="preserve"> </w:t>
      </w:r>
      <w:r w:rsidR="0007628C" w:rsidRPr="00B13D76">
        <w:t>10</w:t>
      </w:r>
      <w:r w:rsidR="000435C5">
        <w:t xml:space="preserve"> September </w:t>
      </w:r>
      <w:r w:rsidR="0007628C" w:rsidRPr="00B13D76">
        <w:t>2025</w:t>
      </w:r>
      <w:r w:rsidR="000435C5">
        <w:t>.</w:t>
      </w:r>
    </w:p>
    <w:tbl>
      <w:tblPr>
        <w:tblW w:w="9880" w:type="dxa"/>
        <w:tblCellMar>
          <w:left w:w="0" w:type="dxa"/>
          <w:right w:w="0" w:type="dxa"/>
        </w:tblCellMar>
        <w:tblLook w:val="04A0" w:firstRow="1" w:lastRow="0" w:firstColumn="1" w:lastColumn="0" w:noHBand="0" w:noVBand="1"/>
      </w:tblPr>
      <w:tblGrid>
        <w:gridCol w:w="4940"/>
        <w:gridCol w:w="4940"/>
      </w:tblGrid>
      <w:tr w:rsidR="00DD6848" w:rsidRPr="00DD6848" w14:paraId="6CF1ED35" w14:textId="77777777" w:rsidTr="006F5F23">
        <w:trPr>
          <w:trHeight w:val="454"/>
          <w:tblHeader/>
        </w:trPr>
        <w:tc>
          <w:tcPr>
            <w:tcW w:w="4940" w:type="dxa"/>
            <w:tcBorders>
              <w:top w:val="single" w:sz="8" w:space="0" w:color="000000"/>
              <w:left w:val="single" w:sz="8" w:space="0" w:color="000000"/>
              <w:bottom w:val="single" w:sz="8" w:space="0" w:color="000000"/>
              <w:right w:val="single" w:sz="8" w:space="0" w:color="000000"/>
            </w:tcBorders>
            <w:shd w:val="clear" w:color="auto" w:fill="767171" w:themeFill="background2" w:themeFillShade="80"/>
            <w:noWrap/>
            <w:tcMar>
              <w:top w:w="0" w:type="dxa"/>
              <w:left w:w="108" w:type="dxa"/>
              <w:bottom w:w="0" w:type="dxa"/>
              <w:right w:w="108" w:type="dxa"/>
            </w:tcMar>
            <w:vAlign w:val="center"/>
            <w:hideMark/>
          </w:tcPr>
          <w:p w14:paraId="3618B6A0" w14:textId="2EC96489" w:rsidR="002557C5" w:rsidRPr="00DD6848" w:rsidRDefault="00F24922" w:rsidP="00B13D76">
            <w:pPr>
              <w:rPr>
                <w:b/>
                <w:bCs/>
                <w:color w:val="FFFFFF" w:themeColor="background1"/>
              </w:rPr>
            </w:pPr>
            <w:r w:rsidRPr="00DD6848">
              <w:rPr>
                <w:b/>
                <w:bCs/>
                <w:color w:val="FFFFFF" w:themeColor="background1"/>
              </w:rPr>
              <w:br w:type="page"/>
              <w:t>TRADING NAME</w:t>
            </w:r>
          </w:p>
        </w:tc>
        <w:tc>
          <w:tcPr>
            <w:tcW w:w="4940" w:type="dxa"/>
            <w:tcBorders>
              <w:top w:val="single" w:sz="8" w:space="0" w:color="000000"/>
              <w:left w:val="nil"/>
              <w:bottom w:val="single" w:sz="8" w:space="0" w:color="000000"/>
              <w:right w:val="single" w:sz="8" w:space="0" w:color="000000"/>
            </w:tcBorders>
            <w:shd w:val="clear" w:color="auto" w:fill="767171" w:themeFill="background2" w:themeFillShade="80"/>
            <w:noWrap/>
            <w:tcMar>
              <w:top w:w="0" w:type="dxa"/>
              <w:left w:w="108" w:type="dxa"/>
              <w:bottom w:w="0" w:type="dxa"/>
              <w:right w:w="108" w:type="dxa"/>
            </w:tcMar>
            <w:vAlign w:val="center"/>
            <w:hideMark/>
          </w:tcPr>
          <w:p w14:paraId="6D22D929" w14:textId="6FD7C7C6" w:rsidR="002557C5" w:rsidRPr="00DD6848" w:rsidRDefault="00F24922" w:rsidP="00B13D76">
            <w:pPr>
              <w:rPr>
                <w:b/>
                <w:bCs/>
                <w:color w:val="FFFFFF" w:themeColor="background1"/>
              </w:rPr>
            </w:pPr>
            <w:r w:rsidRPr="00DD6848">
              <w:rPr>
                <w:b/>
                <w:bCs/>
                <w:color w:val="FFFFFF" w:themeColor="background1"/>
              </w:rPr>
              <w:t>SUBURB</w:t>
            </w:r>
          </w:p>
        </w:tc>
      </w:tr>
      <w:tr w:rsidR="002557C5" w:rsidRPr="00AC5E78" w14:paraId="07E90CFA"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825F913" w14:textId="77777777" w:rsidR="002557C5" w:rsidRPr="00AC5E78" w:rsidRDefault="002557C5" w:rsidP="00B13D76">
            <w:r w:rsidRPr="00AC5E78">
              <w:t>AMATA ANANGU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D11A42" w14:textId="77777777" w:rsidR="002557C5" w:rsidRPr="00AC5E78" w:rsidRDefault="002557C5" w:rsidP="00B13D76">
            <w:r w:rsidRPr="00AC5E78">
              <w:t>Belyuen</w:t>
            </w:r>
          </w:p>
        </w:tc>
      </w:tr>
      <w:tr w:rsidR="002557C5" w:rsidRPr="00AC5E78" w14:paraId="3B567BD5"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586A3CBE" w14:textId="77777777" w:rsidR="002557C5" w:rsidRPr="00AC5E78" w:rsidRDefault="002557C5" w:rsidP="00B13D76">
            <w:r w:rsidRPr="00AC5E78">
              <w:t>APUTULA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EA92DFF" w14:textId="77777777" w:rsidR="002557C5" w:rsidRPr="00AC5E78" w:rsidRDefault="002557C5" w:rsidP="00B13D76">
            <w:r w:rsidRPr="00AC5E78">
              <w:t>Finke</w:t>
            </w:r>
          </w:p>
        </w:tc>
      </w:tr>
      <w:tr w:rsidR="002557C5" w:rsidRPr="00AC5E78" w14:paraId="50DB5CCF"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FD97F4E" w14:textId="77777777" w:rsidR="002557C5" w:rsidRPr="00AC5E78" w:rsidRDefault="002557C5" w:rsidP="00B13D76">
            <w:r w:rsidRPr="00AC5E78">
              <w:t>BAGALA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F5C6E0" w14:textId="77777777" w:rsidR="002557C5" w:rsidRPr="00AC5E78" w:rsidRDefault="002557C5" w:rsidP="00B13D76">
            <w:r w:rsidRPr="00AC5E78">
              <w:t>Katherine</w:t>
            </w:r>
          </w:p>
        </w:tc>
      </w:tr>
      <w:tr w:rsidR="002557C5" w:rsidRPr="00AC5E78" w14:paraId="02CCFB69"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A845E73" w14:textId="77777777" w:rsidR="002557C5" w:rsidRPr="00AC5E78" w:rsidRDefault="002557C5" w:rsidP="00B13D76">
            <w:r w:rsidRPr="00AC5E78">
              <w:t>BARDI ARDYALOON STORE PTY LTD</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3280ED0" w14:textId="77777777" w:rsidR="002557C5" w:rsidRPr="00AC5E78" w:rsidRDefault="002557C5" w:rsidP="00B13D76">
            <w:r w:rsidRPr="00AC5E78">
              <w:t>One Arm Point</w:t>
            </w:r>
          </w:p>
        </w:tc>
      </w:tr>
      <w:tr w:rsidR="002557C5" w:rsidRPr="00AC5E78" w14:paraId="0B328D07"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CD5A751" w14:textId="77777777" w:rsidR="002557C5" w:rsidRPr="00AC5E78" w:rsidRDefault="002557C5" w:rsidP="00B13D76">
            <w:r w:rsidRPr="00AC5E78">
              <w:t>BAYULU SUPERMARKET</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7B807C6E" w14:textId="77777777" w:rsidR="002557C5" w:rsidRPr="00AC5E78" w:rsidRDefault="002557C5" w:rsidP="00B13D76">
            <w:r w:rsidRPr="00AC5E78">
              <w:t>Fitzroy Crossing</w:t>
            </w:r>
          </w:p>
        </w:tc>
      </w:tr>
      <w:tr w:rsidR="002557C5" w:rsidRPr="00AC5E78" w14:paraId="7451F3A5"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D5900AA" w14:textId="77777777" w:rsidR="002557C5" w:rsidRPr="00AC5E78" w:rsidRDefault="002557C5" w:rsidP="00B13D76">
            <w:r w:rsidRPr="00AC5E78">
              <w:t>BELYUEN COUNCIL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A7B394C" w14:textId="77777777" w:rsidR="002557C5" w:rsidRPr="00AC5E78" w:rsidRDefault="002557C5" w:rsidP="00B13D76">
            <w:r w:rsidRPr="00AC5E78">
              <w:t>Belyuen</w:t>
            </w:r>
          </w:p>
        </w:tc>
      </w:tr>
      <w:tr w:rsidR="002557C5" w:rsidRPr="00AC5E78" w14:paraId="0EC492D6"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6FCF562" w14:textId="77777777" w:rsidR="002557C5" w:rsidRPr="00AC5E78" w:rsidRDefault="002557C5" w:rsidP="00B13D76">
            <w:r w:rsidRPr="00AC5E78">
              <w:t>BESWICK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315E6E92" w14:textId="77777777" w:rsidR="002557C5" w:rsidRPr="00AC5E78" w:rsidRDefault="002557C5" w:rsidP="00B13D76">
            <w:r w:rsidRPr="00AC5E78">
              <w:t>Beswick</w:t>
            </w:r>
          </w:p>
        </w:tc>
      </w:tr>
      <w:tr w:rsidR="002557C5" w:rsidRPr="00AC5E78" w14:paraId="751DD6AF"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641CD46" w14:textId="77777777" w:rsidR="002557C5" w:rsidRPr="00AC5E78" w:rsidRDefault="002557C5" w:rsidP="00B13D76">
            <w:r w:rsidRPr="00AC5E78">
              <w:t>BLACKSTONE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56CAC61" w14:textId="77777777" w:rsidR="002557C5" w:rsidRPr="00AC5E78" w:rsidRDefault="002557C5" w:rsidP="00B13D76">
            <w:r w:rsidRPr="00AC5E78">
              <w:t>Papulankutja</w:t>
            </w:r>
          </w:p>
        </w:tc>
      </w:tr>
      <w:tr w:rsidR="002557C5" w:rsidRPr="00AC5E78" w14:paraId="5228E006"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4C1E26D" w14:textId="77777777" w:rsidR="002557C5" w:rsidRPr="00AC5E78" w:rsidRDefault="002557C5" w:rsidP="00B13D76">
            <w:r w:rsidRPr="00AC5E78">
              <w:t>Central Desert Regional Council Lajamanu</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D1823F8" w14:textId="77777777" w:rsidR="002557C5" w:rsidRPr="00AC5E78" w:rsidRDefault="002557C5" w:rsidP="00B13D76">
            <w:r w:rsidRPr="00AC5E78">
              <w:t>Katherine</w:t>
            </w:r>
          </w:p>
        </w:tc>
      </w:tr>
      <w:tr w:rsidR="002557C5" w:rsidRPr="00AC5E78" w14:paraId="471C826B"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52714A2" w14:textId="77777777" w:rsidR="002557C5" w:rsidRPr="00AC5E78" w:rsidRDefault="002557C5" w:rsidP="00B13D76">
            <w:r w:rsidRPr="00AC5E78">
              <w:t>DOCKER RIVER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74F4525" w14:textId="77777777" w:rsidR="002557C5" w:rsidRPr="00AC5E78" w:rsidRDefault="002557C5" w:rsidP="00B13D76">
            <w:r w:rsidRPr="00AC5E78">
              <w:t>Kaltukatjara</w:t>
            </w:r>
          </w:p>
        </w:tc>
      </w:tr>
      <w:tr w:rsidR="002557C5" w:rsidRPr="00AC5E78" w14:paraId="69C68BDA"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BC424E1" w14:textId="77777777" w:rsidR="002557C5" w:rsidRPr="00AC5E78" w:rsidRDefault="002557C5" w:rsidP="00B13D76">
            <w:r w:rsidRPr="00AC5E78">
              <w:t>FINKE RIVER MISSION</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EC795B2" w14:textId="77777777" w:rsidR="002557C5" w:rsidRPr="00AC5E78" w:rsidRDefault="002557C5" w:rsidP="00B13D76">
            <w:r w:rsidRPr="00AC5E78">
              <w:t>Hermannsburg</w:t>
            </w:r>
          </w:p>
        </w:tc>
      </w:tr>
      <w:tr w:rsidR="002557C5" w:rsidRPr="00AC5E78" w14:paraId="743EAE4C"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0F02143" w14:textId="77777777" w:rsidR="002557C5" w:rsidRPr="00AC5E78" w:rsidRDefault="002557C5" w:rsidP="00B13D76">
            <w:r w:rsidRPr="00AC5E78">
              <w:t>IGA LOCAL GROCER HALLS CREEK</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738AC82" w14:textId="77777777" w:rsidR="002557C5" w:rsidRPr="00AC5E78" w:rsidRDefault="002557C5" w:rsidP="00B13D76">
            <w:r w:rsidRPr="00AC5E78">
              <w:t>Halls Creek</w:t>
            </w:r>
          </w:p>
        </w:tc>
      </w:tr>
      <w:tr w:rsidR="002557C5" w:rsidRPr="00AC5E78" w14:paraId="70A828FF"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3B1925C" w14:textId="77777777" w:rsidR="002557C5" w:rsidRPr="00AC5E78" w:rsidRDefault="002557C5" w:rsidP="00B13D76">
            <w:r w:rsidRPr="00AC5E78">
              <w:t>INDULKANA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E488F23" w14:textId="77777777" w:rsidR="002557C5" w:rsidRPr="00AC5E78" w:rsidRDefault="002557C5" w:rsidP="00B13D76">
            <w:r w:rsidRPr="00AC5E78">
              <w:t>Indulkana</w:t>
            </w:r>
          </w:p>
        </w:tc>
      </w:tr>
      <w:tr w:rsidR="002557C5" w:rsidRPr="00AC5E78" w14:paraId="10B06502"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E39C56E" w14:textId="77777777" w:rsidR="002557C5" w:rsidRPr="00AC5E78" w:rsidRDefault="002557C5" w:rsidP="00B13D76">
            <w:r w:rsidRPr="00AC5E78">
              <w:t>IRRUNYTJU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0958047A" w14:textId="77777777" w:rsidR="002557C5" w:rsidRPr="00AC5E78" w:rsidRDefault="002557C5" w:rsidP="00B13D76">
            <w:r w:rsidRPr="00AC5E78">
              <w:t>Braitling</w:t>
            </w:r>
          </w:p>
        </w:tc>
      </w:tr>
      <w:tr w:rsidR="002557C5" w:rsidRPr="00AC5E78" w14:paraId="5B2DAD63"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A1FC967" w14:textId="77777777" w:rsidR="002557C5" w:rsidRPr="00AC5E78" w:rsidRDefault="002557C5" w:rsidP="00B13D76">
            <w:r w:rsidRPr="00AC5E78">
              <w:t>JARLMADANGAH BURRU ABORIGINAL CORPORATION</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07E5FCB" w14:textId="77777777" w:rsidR="002557C5" w:rsidRPr="00AC5E78" w:rsidRDefault="002557C5" w:rsidP="00B13D76">
            <w:r w:rsidRPr="00AC5E78">
              <w:t>Derby</w:t>
            </w:r>
          </w:p>
        </w:tc>
      </w:tr>
      <w:tr w:rsidR="002557C5" w:rsidRPr="00AC5E78" w14:paraId="3C380343"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4181F38" w14:textId="77777777" w:rsidR="002557C5" w:rsidRPr="00AC5E78" w:rsidRDefault="002557C5" w:rsidP="00B13D76">
            <w:r w:rsidRPr="00AC5E78">
              <w:t>KALTJITI ANANGU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C726922" w14:textId="77777777" w:rsidR="002557C5" w:rsidRPr="00AC5E78" w:rsidRDefault="002557C5" w:rsidP="00B13D76">
            <w:r w:rsidRPr="00AC5E78">
              <w:t>Fregon</w:t>
            </w:r>
          </w:p>
        </w:tc>
      </w:tr>
      <w:tr w:rsidR="002557C5" w:rsidRPr="00AC5E78" w14:paraId="517BA19F"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BE1E6DF" w14:textId="77777777" w:rsidR="002557C5" w:rsidRPr="00AC5E78" w:rsidRDefault="002557C5" w:rsidP="00B13D76">
            <w:r w:rsidRPr="00AC5E78">
              <w:t>KANYPI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3462E86E" w14:textId="77777777" w:rsidR="002557C5" w:rsidRPr="00AC5E78" w:rsidRDefault="002557C5" w:rsidP="00B13D76">
            <w:r w:rsidRPr="00AC5E78">
              <w:t>Nyapari</w:t>
            </w:r>
          </w:p>
        </w:tc>
      </w:tr>
      <w:tr w:rsidR="002557C5" w:rsidRPr="00AC5E78" w14:paraId="550A72F2"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EF42C8D" w14:textId="77777777" w:rsidR="002557C5" w:rsidRPr="00AC5E78" w:rsidRDefault="002557C5" w:rsidP="00B13D76">
            <w:r w:rsidRPr="00AC5E78">
              <w:t>KUNAWARRITJI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85DE441" w14:textId="77777777" w:rsidR="002557C5" w:rsidRPr="00AC5E78" w:rsidRDefault="002557C5" w:rsidP="00B13D76">
            <w:r w:rsidRPr="00AC5E78">
              <w:t>Newman</w:t>
            </w:r>
          </w:p>
        </w:tc>
      </w:tr>
      <w:tr w:rsidR="002557C5" w:rsidRPr="00AC5E78" w14:paraId="6DBF4924"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CE885E2" w14:textId="77777777" w:rsidR="002557C5" w:rsidRPr="00AC5E78" w:rsidRDefault="002557C5" w:rsidP="00B13D76">
            <w:r w:rsidRPr="00AC5E78">
              <w:t>KURURRUNGKU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F64EC05" w14:textId="77777777" w:rsidR="002557C5" w:rsidRPr="00AC5E78" w:rsidRDefault="002557C5" w:rsidP="00B13D76">
            <w:r w:rsidRPr="00AC5E78">
              <w:t>Halls Creek</w:t>
            </w:r>
          </w:p>
        </w:tc>
      </w:tr>
      <w:tr w:rsidR="002557C5" w:rsidRPr="00AC5E78" w14:paraId="4887B5E4"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E65D54D" w14:textId="77777777" w:rsidR="002557C5" w:rsidRPr="00AC5E78" w:rsidRDefault="002557C5" w:rsidP="00B13D76">
            <w:r w:rsidRPr="00AC5E78">
              <w:t>LOOMA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03B4C21E" w14:textId="77777777" w:rsidR="002557C5" w:rsidRPr="00AC5E78" w:rsidRDefault="002557C5" w:rsidP="00B13D76">
            <w:r w:rsidRPr="00AC5E78">
              <w:t>Derby</w:t>
            </w:r>
          </w:p>
        </w:tc>
      </w:tr>
      <w:tr w:rsidR="002557C5" w:rsidRPr="00AC5E78" w14:paraId="757A6339"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959C020" w14:textId="77777777" w:rsidR="002557C5" w:rsidRPr="00AC5E78" w:rsidRDefault="002557C5" w:rsidP="00B13D76">
            <w:r w:rsidRPr="00AC5E78">
              <w:t>MACDONALD DOWNS STATION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32C4C5D" w14:textId="77777777" w:rsidR="002557C5" w:rsidRPr="00AC5E78" w:rsidRDefault="002557C5" w:rsidP="00B13D76">
            <w:r w:rsidRPr="00AC5E78">
              <w:t>Hart</w:t>
            </w:r>
          </w:p>
        </w:tc>
      </w:tr>
      <w:tr w:rsidR="002557C5" w:rsidRPr="00AC5E78" w14:paraId="116EEEDF"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4996E2B" w14:textId="77777777" w:rsidR="002557C5" w:rsidRPr="00AC5E78" w:rsidRDefault="002557C5" w:rsidP="00B13D76">
            <w:r w:rsidRPr="00AC5E78">
              <w:t>MANTJILJARRA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D24376C" w14:textId="77777777" w:rsidR="002557C5" w:rsidRPr="00AC5E78" w:rsidRDefault="002557C5" w:rsidP="00B13D76">
            <w:r w:rsidRPr="00AC5E78">
              <w:t>Wiluna</w:t>
            </w:r>
          </w:p>
        </w:tc>
      </w:tr>
      <w:tr w:rsidR="002557C5" w:rsidRPr="00AC5E78" w14:paraId="02D37E98"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7CEA32C" w14:textId="77777777" w:rsidR="002557C5" w:rsidRPr="00AC5E78" w:rsidRDefault="002557C5" w:rsidP="00B13D76">
            <w:r w:rsidRPr="00AC5E78">
              <w:t>MIMILI MAKU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7D56B7BB" w14:textId="77777777" w:rsidR="002557C5" w:rsidRPr="00AC5E78" w:rsidRDefault="002557C5" w:rsidP="00B13D76">
            <w:r w:rsidRPr="00AC5E78">
              <w:t>Mimili</w:t>
            </w:r>
          </w:p>
        </w:tc>
      </w:tr>
      <w:tr w:rsidR="002557C5" w:rsidRPr="00AC5E78" w14:paraId="332EF346"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6AC31DD" w14:textId="77777777" w:rsidR="002557C5" w:rsidRPr="00AC5E78" w:rsidRDefault="002557C5" w:rsidP="00B13D76">
            <w:r w:rsidRPr="00AC5E78">
              <w:t>NGUKURR GENERAL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70197F3" w14:textId="77777777" w:rsidR="002557C5" w:rsidRPr="00AC5E78" w:rsidRDefault="002557C5" w:rsidP="00B13D76">
            <w:r w:rsidRPr="00AC5E78">
              <w:t>Ngukurr</w:t>
            </w:r>
          </w:p>
        </w:tc>
      </w:tr>
      <w:tr w:rsidR="002557C5" w:rsidRPr="00AC5E78" w14:paraId="681E43C7"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B37A341" w14:textId="77777777" w:rsidR="002557C5" w:rsidRPr="00AC5E78" w:rsidRDefault="002557C5" w:rsidP="00B13D76">
            <w:r w:rsidRPr="00AC5E78">
              <w:t>OAK VALLEY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07EB624" w14:textId="77777777" w:rsidR="002557C5" w:rsidRPr="00AC5E78" w:rsidRDefault="002557C5" w:rsidP="00B13D76">
            <w:r w:rsidRPr="00AC5E78">
              <w:t>Ceduna</w:t>
            </w:r>
          </w:p>
        </w:tc>
      </w:tr>
      <w:tr w:rsidR="002557C5" w:rsidRPr="00AC5E78" w14:paraId="1E8BF840"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C1B106E" w14:textId="77777777" w:rsidR="002557C5" w:rsidRPr="00AC5E78" w:rsidRDefault="002557C5" w:rsidP="00B13D76">
            <w:r w:rsidRPr="00AC5E78">
              <w:t>PAPUNYA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5523A1B" w14:textId="77777777" w:rsidR="002557C5" w:rsidRPr="00AC5E78" w:rsidRDefault="002557C5" w:rsidP="00B13D76">
            <w:r w:rsidRPr="00AC5E78">
              <w:t>Papunya</w:t>
            </w:r>
          </w:p>
        </w:tc>
      </w:tr>
      <w:tr w:rsidR="002557C5" w:rsidRPr="00AC5E78" w14:paraId="4897438A"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ABF6BF0" w14:textId="77777777" w:rsidR="002557C5" w:rsidRPr="00AC5E78" w:rsidRDefault="002557C5" w:rsidP="00B13D76">
            <w:r w:rsidRPr="00AC5E78">
              <w:t>PARNNGURR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C9CDB56" w14:textId="77777777" w:rsidR="002557C5" w:rsidRPr="00AC5E78" w:rsidRDefault="002557C5" w:rsidP="00B13D76">
            <w:r w:rsidRPr="00AC5E78">
              <w:t>Newman</w:t>
            </w:r>
          </w:p>
        </w:tc>
      </w:tr>
      <w:tr w:rsidR="002557C5" w:rsidRPr="00AC5E78" w14:paraId="2DE568F9"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E06E20B" w14:textId="77777777" w:rsidR="002557C5" w:rsidRPr="00AC5E78" w:rsidRDefault="002557C5" w:rsidP="00B13D76">
            <w:r w:rsidRPr="00AC5E78">
              <w:t>PIPALYATJARA PATILPA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91AA2D4" w14:textId="77777777" w:rsidR="002557C5" w:rsidRPr="00AC5E78" w:rsidRDefault="002557C5" w:rsidP="00B13D76">
            <w:r w:rsidRPr="00AC5E78">
              <w:t>Pipalyatjara</w:t>
            </w:r>
          </w:p>
        </w:tc>
      </w:tr>
      <w:tr w:rsidR="002557C5" w:rsidRPr="00AC5E78" w14:paraId="276244E5"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4F8D6A6" w14:textId="77777777" w:rsidR="002557C5" w:rsidRPr="00AC5E78" w:rsidRDefault="002557C5" w:rsidP="00B13D76">
            <w:r w:rsidRPr="00AC5E78">
              <w:t>PUKATJA ROADHOUSE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94F6F00" w14:textId="77777777" w:rsidR="002557C5" w:rsidRPr="00AC5E78" w:rsidRDefault="002557C5" w:rsidP="00B13D76">
            <w:r w:rsidRPr="00AC5E78">
              <w:t>Ernabella (Pukatja)</w:t>
            </w:r>
          </w:p>
        </w:tc>
      </w:tr>
      <w:tr w:rsidR="002557C5" w:rsidRPr="00AC5E78" w14:paraId="7A05A509"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FF9BC43" w14:textId="77777777" w:rsidR="002557C5" w:rsidRPr="00AC5E78" w:rsidRDefault="002557C5" w:rsidP="00B13D76">
            <w:r w:rsidRPr="00AC5E78">
              <w:lastRenderedPageBreak/>
              <w:t>PUKATJA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AB84396" w14:textId="77777777" w:rsidR="002557C5" w:rsidRPr="00AC5E78" w:rsidRDefault="002557C5" w:rsidP="00B13D76">
            <w:r w:rsidRPr="00AC5E78">
              <w:t>Ernabella (Pukatja)</w:t>
            </w:r>
          </w:p>
        </w:tc>
      </w:tr>
      <w:tr w:rsidR="002557C5" w:rsidRPr="00AC5E78" w14:paraId="442E6AF8"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599386A" w14:textId="77777777" w:rsidR="002557C5" w:rsidRPr="00AC5E78" w:rsidRDefault="002557C5" w:rsidP="00B13D76">
            <w:r w:rsidRPr="00AC5E78">
              <w:t>ROPER BAR PARK &amp;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21614F3" w14:textId="77777777" w:rsidR="002557C5" w:rsidRPr="00AC5E78" w:rsidRDefault="002557C5" w:rsidP="00B13D76">
            <w:r w:rsidRPr="00AC5E78">
              <w:t>Limmen</w:t>
            </w:r>
          </w:p>
        </w:tc>
      </w:tr>
      <w:tr w:rsidR="002557C5" w:rsidRPr="00AC5E78" w14:paraId="1B317550"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3CA8AE1" w14:textId="77777777" w:rsidR="002557C5" w:rsidRPr="00AC5E78" w:rsidRDefault="002557C5" w:rsidP="00B13D76">
            <w:r w:rsidRPr="00AC5E78">
              <w:t>RUSTYS IGA</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C3EAAF6" w14:textId="77777777" w:rsidR="002557C5" w:rsidRPr="00AC5E78" w:rsidRDefault="002557C5" w:rsidP="00B13D76">
            <w:r w:rsidRPr="00AC5E78">
              <w:t>Derby</w:t>
            </w:r>
          </w:p>
        </w:tc>
      </w:tr>
      <w:tr w:rsidR="002557C5" w:rsidRPr="00AC5E78" w14:paraId="3C04B718"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36E3EA6" w14:textId="77777777" w:rsidR="002557C5" w:rsidRPr="00AC5E78" w:rsidRDefault="002557C5" w:rsidP="00B13D76">
            <w:r w:rsidRPr="00AC5E78">
              <w:t>TARUNDA IGA &amp; TAKEAWAY</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766562C" w14:textId="77777777" w:rsidR="002557C5" w:rsidRPr="00AC5E78" w:rsidRDefault="002557C5" w:rsidP="00B13D76">
            <w:r w:rsidRPr="00AC5E78">
              <w:t>Fitzroy Crossing</w:t>
            </w:r>
          </w:p>
        </w:tc>
      </w:tr>
      <w:tr w:rsidR="002557C5" w:rsidRPr="00AC5E78" w14:paraId="3A74E664"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BF0D6C8" w14:textId="77777777" w:rsidR="002557C5" w:rsidRPr="00AC5E78" w:rsidRDefault="002557C5" w:rsidP="00B13D76">
            <w:r w:rsidRPr="00AC5E78">
              <w:t>TENNANT CREEK SERVICE STATION</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016C7FF1" w14:textId="77777777" w:rsidR="002557C5" w:rsidRPr="00AC5E78" w:rsidRDefault="002557C5" w:rsidP="00B13D76">
            <w:r w:rsidRPr="00AC5E78">
              <w:t>Tennant Creek</w:t>
            </w:r>
          </w:p>
        </w:tc>
      </w:tr>
      <w:tr w:rsidR="002557C5" w:rsidRPr="00AC5E78" w14:paraId="78573F0B"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1B759C1" w14:textId="77777777" w:rsidR="002557C5" w:rsidRPr="00AC5E78" w:rsidRDefault="002557C5" w:rsidP="00B13D76">
            <w:r w:rsidRPr="00AC5E78">
              <w:t>TI TREE FARM GARDEN</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1FB14BB" w14:textId="77777777" w:rsidR="002557C5" w:rsidRPr="00AC5E78" w:rsidRDefault="002557C5" w:rsidP="00B13D76">
            <w:r w:rsidRPr="00AC5E78">
              <w:t>Ti Tree</w:t>
            </w:r>
          </w:p>
        </w:tc>
      </w:tr>
      <w:tr w:rsidR="002557C5" w:rsidRPr="00AC5E78" w14:paraId="388D6804"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61A8587" w14:textId="77777777" w:rsidR="002557C5" w:rsidRPr="00AC5E78" w:rsidRDefault="002557C5" w:rsidP="00B13D76">
            <w:r w:rsidRPr="00AC5E78">
              <w:t>TUCKERBOX KUNUNURRA</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028161B1" w14:textId="77777777" w:rsidR="002557C5" w:rsidRPr="00AC5E78" w:rsidRDefault="002557C5" w:rsidP="00B13D76">
            <w:r w:rsidRPr="00AC5E78">
              <w:t>Kununurra</w:t>
            </w:r>
          </w:p>
        </w:tc>
      </w:tr>
      <w:tr w:rsidR="002557C5" w:rsidRPr="00AC5E78" w14:paraId="2979C5D7"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3DC3B72" w14:textId="77777777" w:rsidR="002557C5" w:rsidRPr="00AC5E78" w:rsidRDefault="002557C5" w:rsidP="00B13D76">
            <w:r w:rsidRPr="00AC5E78">
              <w:t>TUCKERWAY CAFE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52E154A9" w14:textId="77777777" w:rsidR="002557C5" w:rsidRPr="00AC5E78" w:rsidRDefault="002557C5" w:rsidP="00B13D76">
            <w:r w:rsidRPr="00AC5E78">
              <w:t>Hope Vale</w:t>
            </w:r>
          </w:p>
        </w:tc>
      </w:tr>
      <w:tr w:rsidR="002557C5" w:rsidRPr="00AC5E78" w14:paraId="2772B989"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FA798E8" w14:textId="77777777" w:rsidR="002557C5" w:rsidRPr="00AC5E78" w:rsidRDefault="002557C5" w:rsidP="00B13D76">
            <w:r w:rsidRPr="00AC5E78">
              <w:t>URAPUNGA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BA1C0EB" w14:textId="77777777" w:rsidR="002557C5" w:rsidRPr="00AC5E78" w:rsidRDefault="002557C5" w:rsidP="00B13D76">
            <w:r w:rsidRPr="00AC5E78">
              <w:t>Katherine</w:t>
            </w:r>
          </w:p>
        </w:tc>
      </w:tr>
      <w:tr w:rsidR="002557C5" w:rsidRPr="00AC5E78" w14:paraId="342C81A8"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7447F27" w14:textId="77777777" w:rsidR="002557C5" w:rsidRPr="00AC5E78" w:rsidRDefault="002557C5" w:rsidP="00B13D76">
            <w:r w:rsidRPr="00AC5E78">
              <w:t>WANARN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9CEF8D3" w14:textId="77777777" w:rsidR="002557C5" w:rsidRPr="00AC5E78" w:rsidRDefault="002557C5" w:rsidP="00B13D76">
            <w:r w:rsidRPr="00AC5E78">
              <w:t>Wanarn</w:t>
            </w:r>
          </w:p>
        </w:tc>
      </w:tr>
      <w:tr w:rsidR="002557C5" w:rsidRPr="00AC5E78" w14:paraId="1EC275EA"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A76DD0E" w14:textId="171A4EF4" w:rsidR="002557C5" w:rsidRPr="00AC5E78" w:rsidRDefault="002557C5" w:rsidP="00B13D76">
            <w:r w:rsidRPr="00AC5E78">
              <w:t>Wangkatjungka Community Inc</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D0B1F74" w14:textId="77777777" w:rsidR="002557C5" w:rsidRPr="00AC5E78" w:rsidRDefault="002557C5" w:rsidP="00B13D76">
            <w:r w:rsidRPr="00AC5E78">
              <w:t>Fitzroy Crossing</w:t>
            </w:r>
          </w:p>
        </w:tc>
      </w:tr>
      <w:tr w:rsidR="002557C5" w:rsidRPr="00AC5E78" w14:paraId="40FCE5F8"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5326481" w14:textId="77777777" w:rsidR="002557C5" w:rsidRPr="00AC5E78" w:rsidRDefault="002557C5" w:rsidP="00B13D76">
            <w:r w:rsidRPr="00AC5E78">
              <w:t>WANGKATJUNGKA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946822E" w14:textId="77777777" w:rsidR="002557C5" w:rsidRPr="00AC5E78" w:rsidRDefault="002557C5" w:rsidP="00B13D76">
            <w:r w:rsidRPr="00AC5E78">
              <w:t>Fitzroy Crossing</w:t>
            </w:r>
          </w:p>
        </w:tc>
      </w:tr>
      <w:tr w:rsidR="002557C5" w:rsidRPr="00AC5E78" w14:paraId="03958C12"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10F2AF8" w14:textId="77777777" w:rsidR="002557C5" w:rsidRPr="00AC5E78" w:rsidRDefault="002557C5" w:rsidP="00B13D76">
            <w:r w:rsidRPr="00AC5E78">
              <w:t>WAY OUT BUSH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F037B1" w14:textId="77777777" w:rsidR="002557C5" w:rsidRPr="00AC5E78" w:rsidRDefault="002557C5" w:rsidP="00B13D76">
            <w:r w:rsidRPr="00AC5E78">
              <w:t>Ti Tree</w:t>
            </w:r>
          </w:p>
        </w:tc>
      </w:tr>
      <w:tr w:rsidR="002557C5" w:rsidRPr="00AC5E78" w14:paraId="4FA0B7B6"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B2B514E" w14:textId="77777777" w:rsidR="002557C5" w:rsidRPr="00AC5E78" w:rsidRDefault="002557C5" w:rsidP="00B13D76">
            <w:r w:rsidRPr="00AC5E78">
              <w:t>YAKANARRA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7DACABE" w14:textId="77777777" w:rsidR="002557C5" w:rsidRPr="00AC5E78" w:rsidRDefault="002557C5" w:rsidP="00B13D76">
            <w:r w:rsidRPr="00AC5E78">
              <w:t>Fitzroy Crossing</w:t>
            </w:r>
          </w:p>
        </w:tc>
      </w:tr>
      <w:tr w:rsidR="002557C5" w:rsidRPr="00AC5E78" w14:paraId="5D18539F"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3B48F0A" w14:textId="77777777" w:rsidR="002557C5" w:rsidRPr="00AC5E78" w:rsidRDefault="002557C5" w:rsidP="00B13D76">
            <w:r w:rsidRPr="00AC5E78">
              <w:t>YALATA COMMUNITY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0E06F3E" w14:textId="77777777" w:rsidR="002557C5" w:rsidRPr="00AC5E78" w:rsidRDefault="002557C5" w:rsidP="00B13D76">
            <w:r w:rsidRPr="00AC5E78">
              <w:t>Ceduna</w:t>
            </w:r>
          </w:p>
        </w:tc>
      </w:tr>
      <w:tr w:rsidR="002557C5" w:rsidRPr="00AC5E78" w14:paraId="5D5DC7B2"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94CDA26" w14:textId="77777777" w:rsidR="002557C5" w:rsidRPr="00AC5E78" w:rsidRDefault="002557C5" w:rsidP="00B13D76">
            <w:r w:rsidRPr="00AC5E78">
              <w:t>YUENDUMU BIG SHOP</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459A00C" w14:textId="77777777" w:rsidR="002557C5" w:rsidRPr="00AC5E78" w:rsidRDefault="002557C5" w:rsidP="00B13D76">
            <w:r w:rsidRPr="00AC5E78">
              <w:t>Yuendumu</w:t>
            </w:r>
          </w:p>
        </w:tc>
      </w:tr>
      <w:tr w:rsidR="002557C5" w:rsidRPr="00AC5E78" w14:paraId="6DD936B9"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1C2E19C" w14:textId="77777777" w:rsidR="002557C5" w:rsidRPr="00AC5E78" w:rsidRDefault="002557C5" w:rsidP="00B13D76">
            <w:r w:rsidRPr="00AC5E78">
              <w:t>YUNGNGORA STORE</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5C5617BB" w14:textId="77777777" w:rsidR="002557C5" w:rsidRPr="00AC5E78" w:rsidRDefault="002557C5" w:rsidP="00B13D76">
            <w:r w:rsidRPr="00AC5E78">
              <w:t>Fitzroy Crossing</w:t>
            </w:r>
          </w:p>
        </w:tc>
      </w:tr>
      <w:tr w:rsidR="002557C5" w:rsidRPr="00AC5E78" w14:paraId="386F2685" w14:textId="77777777" w:rsidTr="00934D3C">
        <w:trPr>
          <w:trHeight w:val="454"/>
        </w:trPr>
        <w:tc>
          <w:tcPr>
            <w:tcW w:w="494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1155696" w14:textId="4557A431" w:rsidR="002557C5" w:rsidRPr="00AC5E78" w:rsidRDefault="002557C5" w:rsidP="00B13D76">
            <w:r w:rsidRPr="00AC5E78">
              <w:t>Yurmulun Aboriginal Corporation</w:t>
            </w:r>
          </w:p>
        </w:tc>
        <w:tc>
          <w:tcPr>
            <w:tcW w:w="4940"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AA78A3D" w14:textId="77777777" w:rsidR="002557C5" w:rsidRPr="00AC5E78" w:rsidRDefault="002557C5" w:rsidP="00B13D76">
            <w:r w:rsidRPr="00AC5E78">
              <w:t>Derby</w:t>
            </w:r>
          </w:p>
        </w:tc>
      </w:tr>
    </w:tbl>
    <w:p w14:paraId="54912A56" w14:textId="6FBC8059" w:rsidR="00AC0817" w:rsidRPr="009A6DD1" w:rsidRDefault="00B8249C" w:rsidP="00516809">
      <w:pPr>
        <w:pStyle w:val="Heading2"/>
      </w:pPr>
      <w:bookmarkStart w:id="77" w:name="_Toc211365541"/>
      <w:r>
        <w:t xml:space="preserve">Can </w:t>
      </w:r>
      <w:r w:rsidR="009A6DD1">
        <w:t>customers set up deductions to b</w:t>
      </w:r>
      <w:r w:rsidR="00AC0817" w:rsidRPr="009A6DD1">
        <w:t>usiness</w:t>
      </w:r>
      <w:r w:rsidR="009A6DD1">
        <w:t>es they have used before?</w:t>
      </w:r>
      <w:bookmarkEnd w:id="77"/>
    </w:p>
    <w:p w14:paraId="2F7BEBA2" w14:textId="01ACC7FF" w:rsidR="000435C5" w:rsidRDefault="00E844E0" w:rsidP="00B13D76">
      <w:r>
        <w:t>Yes</w:t>
      </w:r>
      <w:r w:rsidR="00A13D76">
        <w:t xml:space="preserve">, customers can set up deductions to business they have used before, </w:t>
      </w:r>
      <w:r w:rsidR="005B59CC">
        <w:t>if</w:t>
      </w:r>
      <w:r>
        <w:t xml:space="preserve"> the business or good</w:t>
      </w:r>
      <w:r w:rsidR="000435C5">
        <w:t>s or</w:t>
      </w:r>
      <w:r>
        <w:t xml:space="preserve"> service</w:t>
      </w:r>
      <w:r w:rsidR="000435C5">
        <w:t>s</w:t>
      </w:r>
      <w:r>
        <w:t xml:space="preserve"> </w:t>
      </w:r>
      <w:r w:rsidR="000435C5">
        <w:t>are</w:t>
      </w:r>
      <w:r>
        <w:t xml:space="preserve"> </w:t>
      </w:r>
      <w:r w:rsidR="000435C5">
        <w:t xml:space="preserve">staying </w:t>
      </w:r>
      <w:r>
        <w:t>on Centrepay.</w:t>
      </w:r>
    </w:p>
    <w:p w14:paraId="6B44218B" w14:textId="1A8D5086" w:rsidR="00E844E0" w:rsidRDefault="0062095B" w:rsidP="00B13D76">
      <w:r>
        <w:t>S</w:t>
      </w:r>
      <w:r w:rsidR="00E844E0">
        <w:t xml:space="preserve">ome deductions may look different as they may </w:t>
      </w:r>
      <w:r w:rsidR="000435C5">
        <w:t xml:space="preserve">need </w:t>
      </w:r>
      <w:r w:rsidR="00E844E0">
        <w:t>a mandatory condition</w:t>
      </w:r>
      <w:r w:rsidR="000435C5">
        <w:t xml:space="preserve"> applied,</w:t>
      </w:r>
      <w:r w:rsidR="00E844E0">
        <w:t xml:space="preserve"> depending on the service reason.</w:t>
      </w:r>
    </w:p>
    <w:p w14:paraId="07FBBEAE" w14:textId="173F7F04" w:rsidR="006634DA" w:rsidRDefault="006634DA" w:rsidP="00B13D76">
      <w:r>
        <w:t xml:space="preserve">New deductions cannot be set up </w:t>
      </w:r>
      <w:r w:rsidR="0074137A">
        <w:t xml:space="preserve">where </w:t>
      </w:r>
      <w:r w:rsidR="00E844E0">
        <w:t xml:space="preserve">the business or the </w:t>
      </w:r>
      <w:r>
        <w:t>goods or services are</w:t>
      </w:r>
      <w:r w:rsidR="00E844E0">
        <w:t xml:space="preserve"> </w:t>
      </w:r>
      <w:r>
        <w:t xml:space="preserve">going </w:t>
      </w:r>
      <w:r w:rsidR="00E844E0">
        <w:t xml:space="preserve">to be </w:t>
      </w:r>
      <w:r w:rsidR="0074137A">
        <w:t xml:space="preserve">removed, or </w:t>
      </w:r>
      <w:r w:rsidR="00E844E0">
        <w:t>the business voluntarily withdraws</w:t>
      </w:r>
      <w:r w:rsidR="0074137A">
        <w:t>.</w:t>
      </w:r>
    </w:p>
    <w:p w14:paraId="7864E0D8" w14:textId="394F542E" w:rsidR="00D24C39" w:rsidRPr="0074137A" w:rsidRDefault="0074137A" w:rsidP="00B13D76">
      <w:r>
        <w:t>Customer</w:t>
      </w:r>
      <w:r w:rsidR="006634DA">
        <w:t>s</w:t>
      </w:r>
      <w:r>
        <w:t xml:space="preserve"> can </w:t>
      </w:r>
      <w:r w:rsidR="00E844E0" w:rsidRPr="0074137A">
        <w:t xml:space="preserve">continue </w:t>
      </w:r>
      <w:r w:rsidRPr="0074137A">
        <w:t xml:space="preserve">current deductions </w:t>
      </w:r>
      <w:r w:rsidR="00E844E0" w:rsidRPr="0074137A">
        <w:t xml:space="preserve">until the business is removed from </w:t>
      </w:r>
      <w:r w:rsidRPr="0074137A">
        <w:t>Centrepay</w:t>
      </w:r>
      <w:r w:rsidR="006634DA">
        <w:t>. But</w:t>
      </w:r>
      <w:r>
        <w:t xml:space="preserve"> </w:t>
      </w:r>
      <w:r w:rsidR="00E844E0" w:rsidRPr="0074137A">
        <w:t>if a deduction end</w:t>
      </w:r>
      <w:r w:rsidR="006634DA">
        <w:t>s</w:t>
      </w:r>
      <w:r w:rsidR="00E844E0" w:rsidRPr="0074137A">
        <w:t xml:space="preserve"> during this </w:t>
      </w:r>
      <w:r w:rsidRPr="0074137A">
        <w:t>time,</w:t>
      </w:r>
      <w:r w:rsidR="00E844E0" w:rsidRPr="0074137A">
        <w:t xml:space="preserve"> it cannot be restarted</w:t>
      </w:r>
      <w:r w:rsidR="00D653E3">
        <w:t>.</w:t>
      </w:r>
    </w:p>
    <w:p w14:paraId="4FB38D45" w14:textId="47D28F06" w:rsidR="00FC3CEE" w:rsidRDefault="006634DA" w:rsidP="00BC1C7F">
      <w:r>
        <w:t xml:space="preserve">Where Centrepay </w:t>
      </w:r>
      <w:r w:rsidR="00A94697">
        <w:t xml:space="preserve">is </w:t>
      </w:r>
      <w:r>
        <w:t>no longer an available option,</w:t>
      </w:r>
      <w:r w:rsidRPr="00642B60">
        <w:t xml:space="preserve"> </w:t>
      </w:r>
      <w:r>
        <w:t>c</w:t>
      </w:r>
      <w:r w:rsidRPr="00642B60">
        <w:t xml:space="preserve">ustomers </w:t>
      </w:r>
      <w:r w:rsidR="00D24C39">
        <w:t xml:space="preserve">and businesses </w:t>
      </w:r>
      <w:r w:rsidR="00642B60" w:rsidRPr="00642B60">
        <w:t xml:space="preserve">can set up alternative payment </w:t>
      </w:r>
      <w:r w:rsidR="00D24C39">
        <w:t>options</w:t>
      </w:r>
      <w:r>
        <w:t>.</w:t>
      </w:r>
    </w:p>
    <w:p w14:paraId="0DC3E5DA" w14:textId="66D65D14" w:rsidR="00DB479F" w:rsidRPr="00B33E81" w:rsidRDefault="00E81083" w:rsidP="006F5F23">
      <w:pPr>
        <w:rPr>
          <w:bCs/>
        </w:rPr>
      </w:pPr>
      <w:r w:rsidRPr="006F5F23">
        <w:rPr>
          <w:b/>
          <w:bCs/>
        </w:rPr>
        <w:t>Example</w:t>
      </w:r>
      <w:r w:rsidR="00F367FF" w:rsidRPr="006F5F23">
        <w:rPr>
          <w:b/>
          <w:bCs/>
        </w:rPr>
        <w:t xml:space="preserve"> 1</w:t>
      </w:r>
    </w:p>
    <w:p w14:paraId="178D22E7" w14:textId="79AB533F" w:rsidR="008D5297" w:rsidRDefault="00E81083" w:rsidP="00BC1C7F">
      <w:r>
        <w:t xml:space="preserve">Julie has a Centrepay deduction set up </w:t>
      </w:r>
      <w:r w:rsidR="00AE23D2">
        <w:t>to SharkFin Clothing Store</w:t>
      </w:r>
      <w:r w:rsidR="0053128E">
        <w:t xml:space="preserve"> under the Basic Household Items service </w:t>
      </w:r>
      <w:r w:rsidR="00A23EFA">
        <w:t>reason.</w:t>
      </w:r>
      <w:r>
        <w:t xml:space="preserve"> Julie regularly buys clothing, with a deduction set up for $150 per fortnight. Julie cancels this deduction </w:t>
      </w:r>
      <w:r w:rsidR="00F064BD">
        <w:t xml:space="preserve">in June 2026, which is </w:t>
      </w:r>
      <w:r>
        <w:t xml:space="preserve">during the transition period </w:t>
      </w:r>
      <w:r w:rsidR="002E16C1">
        <w:t xml:space="preserve">from </w:t>
      </w:r>
      <w:r w:rsidR="008D5297" w:rsidRPr="006F5F23">
        <w:t>3 November 2025 to</w:t>
      </w:r>
      <w:r w:rsidR="00C404AF" w:rsidRPr="006F5F23">
        <w:t xml:space="preserve"> 31 October</w:t>
      </w:r>
      <w:r w:rsidR="008D5297" w:rsidRPr="006F5F23">
        <w:t xml:space="preserve"> 2026</w:t>
      </w:r>
      <w:r w:rsidR="002E16C1">
        <w:t>.</w:t>
      </w:r>
    </w:p>
    <w:p w14:paraId="2F81B8A6" w14:textId="64AF0BB8" w:rsidR="00705220" w:rsidRDefault="002E16C1" w:rsidP="00BC1C7F">
      <w:r>
        <w:lastRenderedPageBreak/>
        <w:t xml:space="preserve">After </w:t>
      </w:r>
      <w:r w:rsidR="00E81083">
        <w:t xml:space="preserve">the transition period, Julie </w:t>
      </w:r>
      <w:r>
        <w:t>wants to set up a</w:t>
      </w:r>
      <w:r w:rsidR="00E81083">
        <w:t xml:space="preserve"> </w:t>
      </w:r>
      <w:r w:rsidR="00D653E3">
        <w:t xml:space="preserve">new </w:t>
      </w:r>
      <w:r w:rsidR="00E81083">
        <w:t>deduction with the clothing store</w:t>
      </w:r>
      <w:r w:rsidR="008D5297">
        <w:t xml:space="preserve">. </w:t>
      </w:r>
      <w:r>
        <w:t>T</w:t>
      </w:r>
      <w:r w:rsidR="00351AB7">
        <w:t xml:space="preserve">he business </w:t>
      </w:r>
      <w:r>
        <w:t xml:space="preserve">tells </w:t>
      </w:r>
      <w:r w:rsidR="00351AB7">
        <w:t xml:space="preserve">Julie </w:t>
      </w:r>
      <w:r w:rsidR="008D5297">
        <w:t xml:space="preserve">that </w:t>
      </w:r>
      <w:r w:rsidR="00E81083">
        <w:t xml:space="preserve">they are </w:t>
      </w:r>
      <w:r>
        <w:t>not</w:t>
      </w:r>
      <w:r w:rsidR="00E81083">
        <w:t xml:space="preserve"> offering Centrepay as a payment </w:t>
      </w:r>
      <w:r w:rsidR="00351AB7">
        <w:t>method</w:t>
      </w:r>
      <w:r w:rsidR="00E81083">
        <w:t>. Julie discusses her options with the store and decides to purchase her clothing through lay-by</w:t>
      </w:r>
      <w:r w:rsidR="008D5297">
        <w:t>.</w:t>
      </w:r>
    </w:p>
    <w:p w14:paraId="2B48F607" w14:textId="1C40AC3A" w:rsidR="00FC54E1" w:rsidRPr="00B33E81" w:rsidRDefault="00035E7A" w:rsidP="006F5F23">
      <w:pPr>
        <w:rPr>
          <w:bCs/>
        </w:rPr>
      </w:pPr>
      <w:r w:rsidRPr="006F5F23">
        <w:rPr>
          <w:b/>
          <w:bCs/>
        </w:rPr>
        <w:t>E</w:t>
      </w:r>
      <w:r w:rsidR="00541ACD" w:rsidRPr="006F5F23">
        <w:rPr>
          <w:b/>
          <w:bCs/>
        </w:rPr>
        <w:t>xample</w:t>
      </w:r>
      <w:r w:rsidR="00F367FF" w:rsidRPr="006F5F23">
        <w:rPr>
          <w:b/>
          <w:bCs/>
        </w:rPr>
        <w:t xml:space="preserve"> 2</w:t>
      </w:r>
    </w:p>
    <w:p w14:paraId="62C8264F" w14:textId="67E5CD78" w:rsidR="009B571B" w:rsidRDefault="009B571B" w:rsidP="00BC1C7F">
      <w:r>
        <w:t>A</w:t>
      </w:r>
      <w:r w:rsidRPr="00686CBB">
        <w:t>fter purchasing a washing machine</w:t>
      </w:r>
      <w:r w:rsidR="00D653E3">
        <w:t xml:space="preserve">, </w:t>
      </w:r>
      <w:r w:rsidR="00035E7A" w:rsidRPr="00686CBB">
        <w:t xml:space="preserve">David has a </w:t>
      </w:r>
      <w:r w:rsidR="00FC54E1" w:rsidRPr="00686CBB">
        <w:t>deduction with Tim’s Fridge Store</w:t>
      </w:r>
      <w:r w:rsidR="0053128E">
        <w:t xml:space="preserve"> under the Household </w:t>
      </w:r>
      <w:r w:rsidR="00A30F38">
        <w:t>g</w:t>
      </w:r>
      <w:r w:rsidR="0053128E">
        <w:t xml:space="preserve">oods </w:t>
      </w:r>
      <w:r w:rsidR="00A30F38">
        <w:t>l</w:t>
      </w:r>
      <w:r w:rsidR="0053128E">
        <w:t xml:space="preserve">ease and </w:t>
      </w:r>
      <w:r w:rsidR="00A30F38">
        <w:t>r</w:t>
      </w:r>
      <w:r w:rsidR="0053128E">
        <w:t>ental service reason</w:t>
      </w:r>
      <w:r w:rsidR="00035E7A" w:rsidRPr="00686CBB">
        <w:t xml:space="preserve">. </w:t>
      </w:r>
      <w:r w:rsidR="00FD281B">
        <w:t xml:space="preserve">He has a lease agreement with the </w:t>
      </w:r>
      <w:r w:rsidR="005B59CC">
        <w:t>business,</w:t>
      </w:r>
      <w:r w:rsidR="00FD281B">
        <w:t xml:space="preserve"> and </w:t>
      </w:r>
      <w:r w:rsidR="00E844E0">
        <w:t xml:space="preserve">his </w:t>
      </w:r>
      <w:r w:rsidR="00E844E0" w:rsidRPr="00686CBB">
        <w:t>payment</w:t>
      </w:r>
      <w:r w:rsidR="00FD281B">
        <w:t xml:space="preserve"> arrangement </w:t>
      </w:r>
      <w:r>
        <w:t>finishes on</w:t>
      </w:r>
      <w:r w:rsidR="00035E7A" w:rsidRPr="00686CBB">
        <w:t xml:space="preserve"> </w:t>
      </w:r>
      <w:r w:rsidR="00FC54E1" w:rsidRPr="00686CBB">
        <w:t xml:space="preserve">7 </w:t>
      </w:r>
      <w:r w:rsidR="00035E7A" w:rsidRPr="00686CBB">
        <w:t>March 2027.</w:t>
      </w:r>
    </w:p>
    <w:p w14:paraId="79B51682" w14:textId="33BEC1DE" w:rsidR="00FC54E1" w:rsidRPr="00686CBB" w:rsidRDefault="00035E7A" w:rsidP="00BC1C7F">
      <w:r w:rsidRPr="00686CBB">
        <w:t xml:space="preserve">David </w:t>
      </w:r>
      <w:r w:rsidR="00806A5F" w:rsidRPr="00686CBB">
        <w:t>can</w:t>
      </w:r>
      <w:r w:rsidRPr="00686CBB">
        <w:t xml:space="preserve"> </w:t>
      </w:r>
      <w:r w:rsidR="00FA51B3">
        <w:t xml:space="preserve">choose to keep </w:t>
      </w:r>
      <w:r w:rsidRPr="00686CBB">
        <w:t xml:space="preserve">paying with Centrepay up until </w:t>
      </w:r>
      <w:r w:rsidR="00C404AF" w:rsidRPr="00686CBB">
        <w:t>31 October</w:t>
      </w:r>
      <w:r w:rsidR="00FC54E1" w:rsidRPr="00686CBB">
        <w:t xml:space="preserve"> </w:t>
      </w:r>
      <w:r w:rsidRPr="00686CBB">
        <w:t>2026.</w:t>
      </w:r>
      <w:r w:rsidR="00FC54E1" w:rsidRPr="00686CBB">
        <w:t xml:space="preserve"> </w:t>
      </w:r>
      <w:r w:rsidR="00FA51B3">
        <w:t xml:space="preserve">David </w:t>
      </w:r>
      <w:r w:rsidR="00FA51B3" w:rsidRPr="00686CBB">
        <w:t>need</w:t>
      </w:r>
      <w:r w:rsidR="00FA51B3">
        <w:t>s</w:t>
      </w:r>
      <w:r w:rsidR="00FA51B3" w:rsidRPr="00686CBB">
        <w:t xml:space="preserve"> </w:t>
      </w:r>
      <w:r w:rsidR="00FA51B3">
        <w:t xml:space="preserve">to have </w:t>
      </w:r>
      <w:r w:rsidR="00FA51B3" w:rsidRPr="00686CBB">
        <w:t xml:space="preserve">alternative payment arrangements </w:t>
      </w:r>
      <w:r w:rsidR="00FA51B3">
        <w:t xml:space="preserve">in place from 1 November 2026, </w:t>
      </w:r>
      <w:r w:rsidR="009B571B" w:rsidRPr="00686CBB">
        <w:t xml:space="preserve">as Centrepay </w:t>
      </w:r>
      <w:r w:rsidR="009B571B">
        <w:t xml:space="preserve">is no longer </w:t>
      </w:r>
      <w:r w:rsidR="009B571B" w:rsidRPr="00686CBB">
        <w:t>a</w:t>
      </w:r>
      <w:r w:rsidR="009B571B">
        <w:t xml:space="preserve"> payment</w:t>
      </w:r>
      <w:r w:rsidR="009B571B" w:rsidRPr="00686CBB">
        <w:t xml:space="preserve"> option</w:t>
      </w:r>
      <w:r w:rsidR="00A30F38">
        <w:t xml:space="preserve"> from that time</w:t>
      </w:r>
      <w:r w:rsidR="009B571B">
        <w:t>.</w:t>
      </w:r>
    </w:p>
    <w:p w14:paraId="3C57B7A5" w14:textId="03840D2E" w:rsidR="00F55B94" w:rsidRPr="00074985" w:rsidRDefault="00035E7A" w:rsidP="00BC1C7F">
      <w:r w:rsidRPr="00686CBB">
        <w:t xml:space="preserve">David decides </w:t>
      </w:r>
      <w:r w:rsidR="00FA51B3">
        <w:t>to</w:t>
      </w:r>
      <w:r w:rsidRPr="00686CBB">
        <w:t xml:space="preserve"> </w:t>
      </w:r>
      <w:r w:rsidR="00483C82">
        <w:t>settle</w:t>
      </w:r>
      <w:r w:rsidR="00483C82" w:rsidRPr="00686CBB">
        <w:t xml:space="preserve"> </w:t>
      </w:r>
      <w:r w:rsidRPr="00686CBB">
        <w:t xml:space="preserve">his remaining </w:t>
      </w:r>
      <w:r w:rsidR="00483C82">
        <w:t>payments</w:t>
      </w:r>
      <w:r w:rsidR="00483C82" w:rsidRPr="00686CBB">
        <w:t xml:space="preserve"> </w:t>
      </w:r>
      <w:r w:rsidR="00FA51B3">
        <w:t>with</w:t>
      </w:r>
      <w:r w:rsidR="00FA51B3" w:rsidRPr="00686CBB">
        <w:t xml:space="preserve"> </w:t>
      </w:r>
      <w:r w:rsidRPr="00686CBB">
        <w:t xml:space="preserve">a </w:t>
      </w:r>
      <w:r w:rsidR="00FA51B3" w:rsidRPr="00686CBB">
        <w:t xml:space="preserve">fortnightly </w:t>
      </w:r>
      <w:r w:rsidRPr="00686CBB">
        <w:t>bank transfer which he set up himself.</w:t>
      </w:r>
    </w:p>
    <w:p w14:paraId="2669F9C3" w14:textId="7BFA50A9" w:rsidR="00BB7815" w:rsidRDefault="00BB7815" w:rsidP="00516809">
      <w:pPr>
        <w:pStyle w:val="Heading2"/>
      </w:pPr>
      <w:bookmarkStart w:id="78" w:name="_Toc211365542"/>
      <w:r>
        <w:t xml:space="preserve">How </w:t>
      </w:r>
      <w:r w:rsidR="00625A2D">
        <w:t xml:space="preserve">can </w:t>
      </w:r>
      <w:r>
        <w:t>customers view their deductions?</w:t>
      </w:r>
      <w:bookmarkEnd w:id="78"/>
    </w:p>
    <w:p w14:paraId="1B200930" w14:textId="027479EC" w:rsidR="00F46DD5" w:rsidRDefault="00BB7815" w:rsidP="00BC1C7F">
      <w:r>
        <w:t>Customers can view their deductions</w:t>
      </w:r>
      <w:r w:rsidR="00537948">
        <w:t xml:space="preserve"> including details such as </w:t>
      </w:r>
      <w:r>
        <w:t xml:space="preserve">the amount, end date and service </w:t>
      </w:r>
      <w:r w:rsidR="0074137A">
        <w:t>reason by</w:t>
      </w:r>
      <w:r w:rsidR="00F46DD5">
        <w:t>:</w:t>
      </w:r>
    </w:p>
    <w:p w14:paraId="4320A08E" w14:textId="3871C2EC" w:rsidR="00F46DD5" w:rsidRPr="006C0FF1" w:rsidRDefault="00537948" w:rsidP="0062095B">
      <w:pPr>
        <w:pStyle w:val="ListParagraph"/>
      </w:pPr>
      <w:r w:rsidRPr="006C0FF1">
        <w:t>using</w:t>
      </w:r>
      <w:r w:rsidR="00BB7815" w:rsidRPr="006C0FF1">
        <w:t xml:space="preserve"> their </w:t>
      </w:r>
      <w:r w:rsidRPr="006C0FF1">
        <w:t xml:space="preserve">Centrelink </w:t>
      </w:r>
      <w:r w:rsidR="00BB7815" w:rsidRPr="006C0FF1">
        <w:t>online account under ‘</w:t>
      </w:r>
      <w:r w:rsidR="0074137A" w:rsidRPr="006C0FF1">
        <w:t>m</w:t>
      </w:r>
      <w:r w:rsidR="00BB7815" w:rsidRPr="006C0FF1">
        <w:t>anage deduction</w:t>
      </w:r>
      <w:r w:rsidR="00A924EF" w:rsidRPr="006C0FF1">
        <w:t>.’</w:t>
      </w:r>
    </w:p>
    <w:p w14:paraId="7D7D6543" w14:textId="38202EC0" w:rsidR="00F46DD5" w:rsidRPr="006C0FF1" w:rsidRDefault="0062095B" w:rsidP="0062095B">
      <w:pPr>
        <w:pStyle w:val="ListParagraph"/>
      </w:pPr>
      <w:r>
        <w:t>l</w:t>
      </w:r>
      <w:r w:rsidR="00F46DD5" w:rsidRPr="006C0FF1">
        <w:t>og</w:t>
      </w:r>
      <w:r>
        <w:t>ging</w:t>
      </w:r>
      <w:r w:rsidR="00F46DD5" w:rsidRPr="006C0FF1">
        <w:t xml:space="preserve"> in to the Centrelink Express Plus </w:t>
      </w:r>
      <w:r w:rsidR="0074137A" w:rsidRPr="006C0FF1">
        <w:t>or myGov m</w:t>
      </w:r>
      <w:r w:rsidR="00F46DD5" w:rsidRPr="006C0FF1">
        <w:t>obile app</w:t>
      </w:r>
    </w:p>
    <w:p w14:paraId="781EBAB6" w14:textId="3EF7579D" w:rsidR="00F46DD5" w:rsidRPr="006C0FF1" w:rsidRDefault="00BB7815" w:rsidP="0062095B">
      <w:pPr>
        <w:pStyle w:val="ListParagraph"/>
      </w:pPr>
      <w:r w:rsidRPr="006C0FF1">
        <w:t>contact</w:t>
      </w:r>
      <w:r w:rsidR="0062095B">
        <w:t>ing</w:t>
      </w:r>
      <w:r w:rsidRPr="006C0FF1">
        <w:t xml:space="preserve"> </w:t>
      </w:r>
      <w:r w:rsidR="00F85CCE" w:rsidRPr="006C0FF1">
        <w:t>us</w:t>
      </w:r>
      <w:r w:rsidRPr="006C0FF1">
        <w:t xml:space="preserve"> via </w:t>
      </w:r>
      <w:r w:rsidR="00537948" w:rsidRPr="006C0FF1">
        <w:t>their</w:t>
      </w:r>
      <w:r w:rsidRPr="006C0FF1">
        <w:t xml:space="preserve"> </w:t>
      </w:r>
      <w:hyperlink r:id="rId20" w:history="1">
        <w:r w:rsidRPr="006F5F23">
          <w:rPr>
            <w:rStyle w:val="Hyperlink"/>
            <w:color w:val="auto"/>
            <w:u w:val="none"/>
          </w:rPr>
          <w:t>regular payment line</w:t>
        </w:r>
      </w:hyperlink>
      <w:r w:rsidR="0062095B">
        <w:t>,</w:t>
      </w:r>
      <w:r w:rsidRPr="006C0FF1">
        <w:t xml:space="preserve"> or</w:t>
      </w:r>
    </w:p>
    <w:p w14:paraId="38A55EF9" w14:textId="312DA4C0" w:rsidR="0074137A" w:rsidRPr="006C0FF1" w:rsidRDefault="00BB7815" w:rsidP="0062095B">
      <w:pPr>
        <w:pStyle w:val="ListParagraph"/>
      </w:pPr>
      <w:r w:rsidRPr="006C0FF1">
        <w:t>visit</w:t>
      </w:r>
      <w:r w:rsidR="0062095B">
        <w:t>ing</w:t>
      </w:r>
      <w:r w:rsidR="00537948" w:rsidRPr="006C0FF1">
        <w:t xml:space="preserve"> us in</w:t>
      </w:r>
      <w:r w:rsidR="00625A2D" w:rsidRPr="006C0FF1">
        <w:t xml:space="preserve"> </w:t>
      </w:r>
      <w:r w:rsidRPr="006C0FF1">
        <w:t xml:space="preserve">person at a </w:t>
      </w:r>
      <w:hyperlink r:id="rId21" w:history="1">
        <w:r w:rsidRPr="006F5F23">
          <w:rPr>
            <w:rStyle w:val="Hyperlink"/>
            <w:color w:val="auto"/>
            <w:u w:val="none"/>
          </w:rPr>
          <w:t>service centre</w:t>
        </w:r>
      </w:hyperlink>
      <w:r w:rsidR="0062095B">
        <w:t>.</w:t>
      </w:r>
    </w:p>
    <w:p w14:paraId="584EBE97" w14:textId="51FE1E97" w:rsidR="0074137A" w:rsidRDefault="00F32F72" w:rsidP="006F5F23">
      <w:hyperlink r:id="rId22" w:history="1">
        <w:r w:rsidRPr="0074137A">
          <w:rPr>
            <w:rStyle w:val="Hyperlink"/>
            <w:rFonts w:ascii="Roboto" w:hAnsi="Roboto" w:cs="Arial"/>
            <w:sz w:val="20"/>
            <w:szCs w:val="20"/>
          </w:rPr>
          <w:t>Indigenous Service Officer</w:t>
        </w:r>
        <w:r w:rsidR="00C8670C" w:rsidRPr="0074137A">
          <w:rPr>
            <w:rStyle w:val="Hyperlink"/>
            <w:rFonts w:ascii="Roboto" w:hAnsi="Roboto" w:cs="Arial"/>
            <w:sz w:val="20"/>
            <w:szCs w:val="20"/>
          </w:rPr>
          <w:t>s</w:t>
        </w:r>
      </w:hyperlink>
      <w:r w:rsidR="00C8670C" w:rsidRPr="0074137A">
        <w:t xml:space="preserve"> </w:t>
      </w:r>
      <w:r w:rsidR="00625A2D">
        <w:t>are also available to help</w:t>
      </w:r>
      <w:r w:rsidR="00C8670C" w:rsidRPr="0074137A">
        <w:t xml:space="preserve"> people from Aboriginal and Torres Strait Islander communities</w:t>
      </w:r>
      <w:r w:rsidR="00625A2D">
        <w:t>.</w:t>
      </w:r>
    </w:p>
    <w:p w14:paraId="39A3185A" w14:textId="59C32D09" w:rsidR="006D43DB" w:rsidRDefault="006D43DB" w:rsidP="006F5F23">
      <w:r w:rsidRPr="0074137A">
        <w:t xml:space="preserve">Customers in rural, regional or remote areas can also visit their local </w:t>
      </w:r>
      <w:hyperlink r:id="rId23" w:history="1">
        <w:r w:rsidRPr="0074137A">
          <w:rPr>
            <w:rStyle w:val="Hyperlink"/>
            <w:rFonts w:ascii="Roboto" w:hAnsi="Roboto" w:cs="Arial"/>
            <w:sz w:val="20"/>
            <w:szCs w:val="20"/>
          </w:rPr>
          <w:t>Agents and Access Points</w:t>
        </w:r>
      </w:hyperlink>
      <w:r w:rsidR="00F32F72" w:rsidRPr="0074137A">
        <w:t>.</w:t>
      </w:r>
    </w:p>
    <w:p w14:paraId="46BEAB77" w14:textId="3860C6B2" w:rsidR="006D43DB" w:rsidRPr="006D43DB" w:rsidRDefault="00625A2D" w:rsidP="00BC1C7F">
      <w:r>
        <w:t>N</w:t>
      </w:r>
      <w:r w:rsidR="006D43DB">
        <w:t>ote that st</w:t>
      </w:r>
      <w:r w:rsidR="006D43DB" w:rsidRPr="006D43DB">
        <w:t>a</w:t>
      </w:r>
      <w:r w:rsidR="00F32F72">
        <w:t xml:space="preserve">ff at </w:t>
      </w:r>
      <w:r w:rsidR="006D43DB" w:rsidRPr="006D43DB">
        <w:t xml:space="preserve">Agents and Access Points </w:t>
      </w:r>
      <w:r>
        <w:t>are not</w:t>
      </w:r>
      <w:r w:rsidRPr="006D43DB">
        <w:t xml:space="preserve"> </w:t>
      </w:r>
      <w:r w:rsidR="006D43DB" w:rsidRPr="006D43DB">
        <w:t>Services Australia staff. They cannot:</w:t>
      </w:r>
    </w:p>
    <w:p w14:paraId="1BC4CBD3" w14:textId="77777777" w:rsidR="006D43DB" w:rsidRPr="006C0FF1" w:rsidRDefault="006D43DB" w:rsidP="0062095B">
      <w:pPr>
        <w:pStyle w:val="ListParagraph"/>
      </w:pPr>
      <w:r w:rsidRPr="006C0FF1">
        <w:t>make any payments or decisions about payments</w:t>
      </w:r>
    </w:p>
    <w:p w14:paraId="67CC1E17" w14:textId="77777777" w:rsidR="006D43DB" w:rsidRPr="006C0FF1" w:rsidRDefault="006D43DB" w:rsidP="0062095B">
      <w:pPr>
        <w:pStyle w:val="ListParagraph"/>
      </w:pPr>
      <w:r w:rsidRPr="006C0FF1">
        <w:t>review, assess or vary payments</w:t>
      </w:r>
    </w:p>
    <w:p w14:paraId="6E12C39B" w14:textId="73B37660" w:rsidR="00BB7815" w:rsidRPr="006C0FF1" w:rsidRDefault="006D43DB" w:rsidP="0062095B">
      <w:pPr>
        <w:pStyle w:val="ListParagraph"/>
      </w:pPr>
      <w:r w:rsidRPr="006C0FF1">
        <w:t xml:space="preserve">complete or submit claims on </w:t>
      </w:r>
      <w:r w:rsidR="006C0FF1">
        <w:t>a customer’s</w:t>
      </w:r>
      <w:r w:rsidR="006C0FF1" w:rsidRPr="006C0FF1">
        <w:t xml:space="preserve"> </w:t>
      </w:r>
      <w:r w:rsidRPr="006C0FF1">
        <w:t>behalf.</w:t>
      </w:r>
    </w:p>
    <w:p w14:paraId="6BD74CED" w14:textId="4B10E80B" w:rsidR="00F55B94" w:rsidRPr="00B8249C" w:rsidRDefault="00F55B94" w:rsidP="00516809">
      <w:pPr>
        <w:pStyle w:val="Heading2"/>
      </w:pPr>
      <w:bookmarkStart w:id="79" w:name="_Toc211365543"/>
      <w:r w:rsidRPr="00B8249C">
        <w:t xml:space="preserve">How do </w:t>
      </w:r>
      <w:r>
        <w:t xml:space="preserve">customers start, </w:t>
      </w:r>
      <w:r w:rsidR="00A924EF" w:rsidRPr="00B8249C">
        <w:t>stop,</w:t>
      </w:r>
      <w:r>
        <w:t xml:space="preserve"> or </w:t>
      </w:r>
      <w:r w:rsidRPr="00B8249C">
        <w:t>update deduction</w:t>
      </w:r>
      <w:r>
        <w:t>s</w:t>
      </w:r>
      <w:r w:rsidRPr="00B8249C">
        <w:t xml:space="preserve"> with </w:t>
      </w:r>
      <w:r>
        <w:t>a</w:t>
      </w:r>
      <w:r w:rsidRPr="00B8249C">
        <w:t xml:space="preserve"> business?</w:t>
      </w:r>
      <w:bookmarkEnd w:id="79"/>
    </w:p>
    <w:p w14:paraId="3DAF03FA" w14:textId="183412A8" w:rsidR="00F55B94" w:rsidRDefault="00F55B94" w:rsidP="00BC1C7F">
      <w:r w:rsidRPr="00D52960">
        <w:t>C</w:t>
      </w:r>
      <w:r>
        <w:t xml:space="preserve">ustomers can change their deductions in </w:t>
      </w:r>
      <w:r w:rsidR="006C0FF1">
        <w:t xml:space="preserve">many </w:t>
      </w:r>
      <w:r>
        <w:t>ways</w:t>
      </w:r>
      <w:r w:rsidR="006C0FF1">
        <w:t>.</w:t>
      </w:r>
    </w:p>
    <w:p w14:paraId="04353B80" w14:textId="58BC80EE" w:rsidR="00F55B94" w:rsidRPr="00074985" w:rsidRDefault="006C0FF1" w:rsidP="006F5F23">
      <w:pPr>
        <w:ind w:left="360" w:hanging="360"/>
      </w:pPr>
      <w:r w:rsidRPr="006C0FF1">
        <w:t>Customers</w:t>
      </w:r>
      <w:r>
        <w:t xml:space="preserve"> can deal with a </w:t>
      </w:r>
      <w:r w:rsidR="00A30F38">
        <w:t xml:space="preserve">Centrepay </w:t>
      </w:r>
      <w:r w:rsidR="00F55B94" w:rsidRPr="00074985">
        <w:t>business directly</w:t>
      </w:r>
      <w:r>
        <w:t xml:space="preserve"> to:</w:t>
      </w:r>
    </w:p>
    <w:p w14:paraId="09383D59" w14:textId="45AE5211" w:rsidR="00F55B94" w:rsidRPr="006C0FF1" w:rsidRDefault="00F55B94" w:rsidP="0062095B">
      <w:pPr>
        <w:pStyle w:val="ListParagraph"/>
      </w:pPr>
      <w:r w:rsidRPr="006C0FF1">
        <w:t xml:space="preserve">ask </w:t>
      </w:r>
      <w:r w:rsidR="00A30F38">
        <w:t>them</w:t>
      </w:r>
      <w:r w:rsidRPr="006C0FF1">
        <w:t xml:space="preserve"> to set </w:t>
      </w:r>
      <w:r w:rsidR="00A30F38">
        <w:t xml:space="preserve">up </w:t>
      </w:r>
      <w:r w:rsidRPr="006C0FF1">
        <w:t>their deduction</w:t>
      </w:r>
    </w:p>
    <w:p w14:paraId="4D963A60" w14:textId="69E52604" w:rsidR="00F55B94" w:rsidRPr="006C0FF1" w:rsidRDefault="00F55B94" w:rsidP="0062095B">
      <w:pPr>
        <w:pStyle w:val="ListParagraph"/>
      </w:pPr>
      <w:r w:rsidRPr="006C0FF1">
        <w:t>give their consent before the business can set up or increase deductions</w:t>
      </w:r>
    </w:p>
    <w:p w14:paraId="687A7738" w14:textId="16F065A3" w:rsidR="002C3963" w:rsidRPr="006C0FF1" w:rsidRDefault="006C0FF1" w:rsidP="0062095B">
      <w:pPr>
        <w:pStyle w:val="ListParagraph"/>
      </w:pPr>
      <w:r>
        <w:t>fill in</w:t>
      </w:r>
      <w:r w:rsidR="00F55B94" w:rsidRPr="006C0FF1">
        <w:t xml:space="preserve"> a Centrepay Deduction Authority form (SA501).</w:t>
      </w:r>
      <w:r w:rsidR="001B16D6" w:rsidRPr="006C0FF1">
        <w:t xml:space="preserve"> </w:t>
      </w:r>
      <w:r w:rsidR="004F4717" w:rsidRPr="006C0FF1">
        <w:t xml:space="preserve">The business can </w:t>
      </w:r>
      <w:r>
        <w:t>give customers</w:t>
      </w:r>
      <w:r w:rsidRPr="006C0FF1">
        <w:t xml:space="preserve"> </w:t>
      </w:r>
      <w:r w:rsidR="004F4717" w:rsidRPr="006C0FF1">
        <w:t xml:space="preserve">this form. </w:t>
      </w:r>
      <w:r w:rsidR="00074985" w:rsidRPr="006C0FF1">
        <w:t xml:space="preserve">The customer should sign and complete </w:t>
      </w:r>
      <w:r w:rsidR="00A30F38">
        <w:t>it</w:t>
      </w:r>
      <w:r w:rsidR="00074985" w:rsidRPr="006C0FF1">
        <w:t>.</w:t>
      </w:r>
    </w:p>
    <w:p w14:paraId="2B79EA21" w14:textId="7BA2E1FE" w:rsidR="00F55B94" w:rsidRPr="00C404AF" w:rsidRDefault="006C0FF1" w:rsidP="00BC1C7F">
      <w:r>
        <w:t>A</w:t>
      </w:r>
      <w:r w:rsidR="00F55B94" w:rsidRPr="00C404AF">
        <w:t xml:space="preserve">pproved Centrepay businesses may at any time, </w:t>
      </w:r>
      <w:r w:rsidR="00F55B94" w:rsidRPr="00074985">
        <w:rPr>
          <w:i/>
          <w:iCs/>
        </w:rPr>
        <w:t xml:space="preserve">without </w:t>
      </w:r>
      <w:r w:rsidR="00D30BC2">
        <w:rPr>
          <w:i/>
          <w:iCs/>
        </w:rPr>
        <w:t>customer</w:t>
      </w:r>
      <w:r w:rsidR="00D30BC2" w:rsidRPr="00074985">
        <w:rPr>
          <w:i/>
          <w:iCs/>
        </w:rPr>
        <w:t xml:space="preserve"> </w:t>
      </w:r>
      <w:r w:rsidR="00F55B94" w:rsidRPr="00074985">
        <w:rPr>
          <w:i/>
          <w:iCs/>
        </w:rPr>
        <w:t>consent</w:t>
      </w:r>
      <w:r w:rsidR="00F55B94" w:rsidRPr="00C404AF">
        <w:t>:</w:t>
      </w:r>
    </w:p>
    <w:p w14:paraId="7F17BCE4" w14:textId="44984138" w:rsidR="00F55B94" w:rsidRPr="006C0FF1" w:rsidRDefault="00F55B94" w:rsidP="0062095B">
      <w:pPr>
        <w:pStyle w:val="ListParagraph"/>
      </w:pPr>
      <w:r w:rsidRPr="00C404AF">
        <w:t xml:space="preserve">reduce, </w:t>
      </w:r>
      <w:r w:rsidR="00A924EF" w:rsidRPr="006C0FF1">
        <w:t>cancel,</w:t>
      </w:r>
      <w:r w:rsidRPr="006C0FF1">
        <w:t xml:space="preserve"> or suspend deduction</w:t>
      </w:r>
      <w:r w:rsidR="00D30BC2">
        <w:t>s</w:t>
      </w:r>
      <w:r w:rsidRPr="006C0FF1">
        <w:t xml:space="preserve"> if </w:t>
      </w:r>
      <w:r w:rsidR="00D30BC2">
        <w:t>a customer’s</w:t>
      </w:r>
      <w:r w:rsidR="00D30BC2" w:rsidRPr="006C0FF1">
        <w:t xml:space="preserve"> </w:t>
      </w:r>
      <w:r w:rsidRPr="006C0FF1">
        <w:t>account is in credit</w:t>
      </w:r>
    </w:p>
    <w:p w14:paraId="5F6092D9" w14:textId="3F1C94CE" w:rsidR="00F55B94" w:rsidRDefault="00F55B94" w:rsidP="0062095B">
      <w:pPr>
        <w:pStyle w:val="ListParagraph"/>
      </w:pPr>
      <w:r w:rsidRPr="006C0FF1">
        <w:t xml:space="preserve">refund Centrepay deduction </w:t>
      </w:r>
      <w:r w:rsidR="001020B9" w:rsidRPr="006C0FF1">
        <w:t>amounts if</w:t>
      </w:r>
      <w:r w:rsidRPr="006C0FF1">
        <w:t xml:space="preserve"> </w:t>
      </w:r>
      <w:r w:rsidR="00D30BC2">
        <w:t>a customer is</w:t>
      </w:r>
      <w:r w:rsidRPr="006C0FF1">
        <w:t xml:space="preserve"> in credit</w:t>
      </w:r>
      <w:r w:rsidR="00A30F38">
        <w:t>.</w:t>
      </w:r>
    </w:p>
    <w:p w14:paraId="4271D328" w14:textId="79FD5E38" w:rsidR="00786C48" w:rsidRDefault="00F55B94" w:rsidP="006C0FF1">
      <w:r w:rsidRPr="006C0FF1">
        <w:t>Customers can also change their deductions</w:t>
      </w:r>
      <w:r w:rsidR="006C0FF1">
        <w:t>. Refer to question 5.</w:t>
      </w:r>
    </w:p>
    <w:p w14:paraId="748B9A12" w14:textId="77777777" w:rsidR="00786C48" w:rsidRDefault="00786C48" w:rsidP="00516809">
      <w:pPr>
        <w:pStyle w:val="Heading2"/>
      </w:pPr>
      <w:bookmarkStart w:id="80" w:name="_Toc211365544"/>
      <w:r>
        <w:t>What should I tell a customer who has credit sitting with a business</w:t>
      </w:r>
      <w:bookmarkEnd w:id="80"/>
    </w:p>
    <w:p w14:paraId="2D9164AF" w14:textId="15E316ED" w:rsidR="00D0690B" w:rsidRDefault="00205DFA" w:rsidP="00BC1C7F">
      <w:bookmarkStart w:id="81" w:name="_Toc211364820"/>
      <w:bookmarkStart w:id="82" w:name="_Toc211365231"/>
      <w:bookmarkStart w:id="83" w:name="_Toc211364821"/>
      <w:bookmarkStart w:id="84" w:name="_Toc211365232"/>
      <w:bookmarkStart w:id="85" w:name="_Toc211364822"/>
      <w:bookmarkStart w:id="86" w:name="_Toc211365233"/>
      <w:bookmarkStart w:id="87" w:name="_Toc211364823"/>
      <w:bookmarkStart w:id="88" w:name="_Toc211365234"/>
      <w:bookmarkEnd w:id="81"/>
      <w:bookmarkEnd w:id="82"/>
      <w:bookmarkEnd w:id="83"/>
      <w:bookmarkEnd w:id="84"/>
      <w:bookmarkEnd w:id="85"/>
      <w:bookmarkEnd w:id="86"/>
      <w:bookmarkEnd w:id="87"/>
      <w:bookmarkEnd w:id="88"/>
      <w:r>
        <w:t xml:space="preserve">If a customer asks </w:t>
      </w:r>
      <w:r w:rsidR="00D0690B">
        <w:t xml:space="preserve">a </w:t>
      </w:r>
      <w:r>
        <w:t xml:space="preserve">business to refund their credit, the business </w:t>
      </w:r>
      <w:r w:rsidRPr="006F5F23">
        <w:t>must</w:t>
      </w:r>
      <w:r>
        <w:t xml:space="preserve"> return it</w:t>
      </w:r>
      <w:r w:rsidR="009E57B0">
        <w:t>.</w:t>
      </w:r>
    </w:p>
    <w:p w14:paraId="0D6D4770" w14:textId="5826A5BD" w:rsidR="00205DFA" w:rsidRDefault="009E57B0" w:rsidP="00BC1C7F">
      <w:r>
        <w:t xml:space="preserve">Customers </w:t>
      </w:r>
      <w:r w:rsidR="00D0690B">
        <w:t xml:space="preserve">do </w:t>
      </w:r>
      <w:r>
        <w:t xml:space="preserve">not </w:t>
      </w:r>
      <w:r w:rsidR="00D0690B">
        <w:t xml:space="preserve">have </w:t>
      </w:r>
      <w:r>
        <w:t xml:space="preserve">to use the credit they </w:t>
      </w:r>
      <w:r w:rsidR="00D0690B">
        <w:t>built up</w:t>
      </w:r>
      <w:r w:rsidR="00D653E3">
        <w:t xml:space="preserve"> </w:t>
      </w:r>
      <w:r w:rsidR="00D0690B">
        <w:t xml:space="preserve">with that </w:t>
      </w:r>
      <w:r>
        <w:t>business.</w:t>
      </w:r>
    </w:p>
    <w:p w14:paraId="480000D6" w14:textId="77777777" w:rsidR="00D0690B" w:rsidRDefault="00351AB7" w:rsidP="00BC1C7F">
      <w:r>
        <w:t>Businesses should honour any existing credit with a customer</w:t>
      </w:r>
      <w:r w:rsidR="00541ACD">
        <w:t>.</w:t>
      </w:r>
      <w:r w:rsidR="00642B60">
        <w:t xml:space="preserve"> </w:t>
      </w:r>
      <w:r w:rsidR="00541ACD">
        <w:t>T</w:t>
      </w:r>
      <w:r w:rsidR="00D52960">
        <w:t>he</w:t>
      </w:r>
      <w:r w:rsidR="00642B60">
        <w:t xml:space="preserve"> </w:t>
      </w:r>
      <w:r>
        <w:t xml:space="preserve">business and </w:t>
      </w:r>
      <w:r w:rsidR="00642B60">
        <w:t xml:space="preserve">customer </w:t>
      </w:r>
      <w:r>
        <w:t xml:space="preserve">should </w:t>
      </w:r>
      <w:r w:rsidR="00F947D4" w:rsidRPr="00642B60">
        <w:t xml:space="preserve">discuss </w:t>
      </w:r>
      <w:r>
        <w:t>how</w:t>
      </w:r>
      <w:r w:rsidR="00D0690B">
        <w:t>:</w:t>
      </w:r>
    </w:p>
    <w:p w14:paraId="2DA37090" w14:textId="1F77CD32" w:rsidR="002627FA" w:rsidRDefault="002627FA" w:rsidP="002627FA">
      <w:pPr>
        <w:pStyle w:val="ListParagraph"/>
      </w:pPr>
      <w:r>
        <w:t>the business can return their money</w:t>
      </w:r>
    </w:p>
    <w:p w14:paraId="1A1CA9D4" w14:textId="42DDDF93" w:rsidR="00D0690B" w:rsidRDefault="00351AB7" w:rsidP="0062095B">
      <w:pPr>
        <w:pStyle w:val="ListParagraph"/>
      </w:pPr>
      <w:r>
        <w:t>the credit can be used</w:t>
      </w:r>
      <w:r w:rsidR="002627FA">
        <w:t>.</w:t>
      </w:r>
    </w:p>
    <w:p w14:paraId="21B0A1BC" w14:textId="44294480" w:rsidR="00722838" w:rsidRDefault="00722838" w:rsidP="00D0690B">
      <w:r w:rsidRPr="0074137A">
        <w:lastRenderedPageBreak/>
        <w:t xml:space="preserve">If </w:t>
      </w:r>
      <w:r w:rsidR="00D653E3">
        <w:t xml:space="preserve">a </w:t>
      </w:r>
      <w:r w:rsidR="005633AE">
        <w:t>customer</w:t>
      </w:r>
      <w:r w:rsidR="005633AE" w:rsidRPr="0074137A">
        <w:t xml:space="preserve"> </w:t>
      </w:r>
      <w:r w:rsidR="006F5F23">
        <w:t>is concerned</w:t>
      </w:r>
      <w:r w:rsidRPr="0074137A">
        <w:t xml:space="preserve"> that a business is holding credit or refusing to repay it</w:t>
      </w:r>
      <w:r w:rsidR="00A97A40" w:rsidRPr="0074137A">
        <w:t>,</w:t>
      </w:r>
      <w:r w:rsidRPr="0074137A">
        <w:t xml:space="preserve"> </w:t>
      </w:r>
      <w:r w:rsidR="000534E4" w:rsidRPr="0074137A">
        <w:t>contact</w:t>
      </w:r>
      <w:r w:rsidRPr="0074137A">
        <w:t xml:space="preserve"> </w:t>
      </w:r>
      <w:r w:rsidR="00D0690B">
        <w:t>Services Australia</w:t>
      </w:r>
      <w:r w:rsidR="00D0690B" w:rsidRPr="0074137A">
        <w:t xml:space="preserve"> </w:t>
      </w:r>
      <w:r w:rsidR="000534E4" w:rsidRPr="0074137A">
        <w:t>to discuss</w:t>
      </w:r>
      <w:r w:rsidR="002C3963" w:rsidRPr="0074137A">
        <w:t xml:space="preserve"> it further</w:t>
      </w:r>
      <w:r w:rsidR="00D52960" w:rsidRPr="0074137A">
        <w:t>.</w:t>
      </w:r>
    </w:p>
    <w:p w14:paraId="3D4084CB" w14:textId="77777777" w:rsidR="00A97A40" w:rsidRPr="00B33E81" w:rsidRDefault="000534E4" w:rsidP="006F5F23">
      <w:pPr>
        <w:rPr>
          <w:bCs/>
        </w:rPr>
      </w:pPr>
      <w:r w:rsidRPr="006F5F23">
        <w:rPr>
          <w:b/>
          <w:bCs/>
        </w:rPr>
        <w:t>Example</w:t>
      </w:r>
    </w:p>
    <w:p w14:paraId="78D84762" w14:textId="14E9BD7F" w:rsidR="00F40F6B" w:rsidRDefault="000534E4" w:rsidP="00B13D76">
      <w:r>
        <w:t>Marissa comes into town to bu</w:t>
      </w:r>
      <w:r w:rsidR="00A97A40">
        <w:t>y</w:t>
      </w:r>
      <w:r>
        <w:t xml:space="preserve"> some meat from </w:t>
      </w:r>
      <w:r w:rsidR="00AE23D2">
        <w:t>KD B</w:t>
      </w:r>
      <w:r>
        <w:t>utcher</w:t>
      </w:r>
      <w:r w:rsidR="00AE23D2">
        <w:t>y</w:t>
      </w:r>
      <w:r>
        <w:t xml:space="preserve"> using existing credit from her </w:t>
      </w:r>
      <w:r w:rsidR="00F40F6B">
        <w:t xml:space="preserve">last </w:t>
      </w:r>
      <w:r>
        <w:t>Centrepay deduction. Marissa learns she has $175 credit with the butcher.</w:t>
      </w:r>
    </w:p>
    <w:p w14:paraId="6264B0AB" w14:textId="0CC33DF9" w:rsidR="003F608D" w:rsidRPr="00074985" w:rsidRDefault="000534E4" w:rsidP="00B13D76">
      <w:pPr>
        <w:rPr>
          <w:u w:val="single"/>
        </w:rPr>
      </w:pPr>
      <w:r>
        <w:t>Marissa discusses her options with the business</w:t>
      </w:r>
      <w:r w:rsidR="00A97A40">
        <w:t xml:space="preserve">. She </w:t>
      </w:r>
      <w:r>
        <w:t xml:space="preserve">decides to spend $110 on meat </w:t>
      </w:r>
      <w:r w:rsidR="00A97A40">
        <w:t xml:space="preserve">which she is going to take home with her. She </w:t>
      </w:r>
      <w:r>
        <w:t>a</w:t>
      </w:r>
      <w:r w:rsidR="00A97A40">
        <w:t xml:space="preserve">lso </w:t>
      </w:r>
      <w:r>
        <w:t>asks the butcher to refund the remaining $65</w:t>
      </w:r>
      <w:r w:rsidR="00F40F6B">
        <w:t xml:space="preserve"> to her bank account.</w:t>
      </w:r>
    </w:p>
    <w:p w14:paraId="7D375F9E" w14:textId="673E4D78" w:rsidR="003F608D" w:rsidRPr="00B8249C" w:rsidRDefault="0062095B" w:rsidP="00516809">
      <w:pPr>
        <w:pStyle w:val="Heading2"/>
      </w:pPr>
      <w:bookmarkStart w:id="89" w:name="_Toc211365545"/>
      <w:r>
        <w:t>W</w:t>
      </w:r>
      <w:r w:rsidR="003F608D" w:rsidRPr="00B8249C">
        <w:t xml:space="preserve">hat </w:t>
      </w:r>
      <w:r w:rsidR="009074C3">
        <w:t xml:space="preserve">payment options </w:t>
      </w:r>
      <w:r w:rsidR="00161CBE">
        <w:t xml:space="preserve">do </w:t>
      </w:r>
      <w:r w:rsidR="003F608D" w:rsidRPr="00B8249C">
        <w:t>business</w:t>
      </w:r>
      <w:r w:rsidR="009074C3">
        <w:t>es</w:t>
      </w:r>
      <w:r w:rsidR="003F608D" w:rsidRPr="00B8249C">
        <w:t xml:space="preserve"> </w:t>
      </w:r>
      <w:r w:rsidR="009074C3">
        <w:t>offer</w:t>
      </w:r>
      <w:r>
        <w:t xml:space="preserve"> other than Centrepay</w:t>
      </w:r>
      <w:r w:rsidR="003F608D" w:rsidRPr="00B8249C">
        <w:t>?</w:t>
      </w:r>
      <w:bookmarkEnd w:id="89"/>
    </w:p>
    <w:p w14:paraId="28787B5E" w14:textId="27559FED" w:rsidR="00161CBE" w:rsidRDefault="003F608D" w:rsidP="00B13D76">
      <w:r w:rsidRPr="003D76B7">
        <w:t>All Centrepay</w:t>
      </w:r>
      <w:r w:rsidR="006F5F23">
        <w:t xml:space="preserve"> </w:t>
      </w:r>
      <w:r w:rsidR="00161CBE">
        <w:t xml:space="preserve">approved </w:t>
      </w:r>
      <w:r w:rsidRPr="003D76B7">
        <w:t xml:space="preserve">businesses </w:t>
      </w:r>
      <w:r w:rsidR="00351AB7">
        <w:t>must</w:t>
      </w:r>
      <w:r w:rsidRPr="003D76B7">
        <w:t xml:space="preserve"> </w:t>
      </w:r>
      <w:r w:rsidR="00E25CF4">
        <w:t>offer</w:t>
      </w:r>
      <w:r w:rsidR="00E25CF4" w:rsidRPr="003D76B7">
        <w:t xml:space="preserve"> </w:t>
      </w:r>
      <w:r w:rsidR="00161CBE">
        <w:t>customers</w:t>
      </w:r>
      <w:r w:rsidR="00161CBE" w:rsidRPr="003D76B7">
        <w:t xml:space="preserve"> </w:t>
      </w:r>
      <w:r w:rsidRPr="003D76B7">
        <w:t>other payment options</w:t>
      </w:r>
      <w:r w:rsidR="00E25CF4">
        <w:t xml:space="preserve">. These </w:t>
      </w:r>
      <w:r w:rsidR="00351AB7">
        <w:t xml:space="preserve">methods </w:t>
      </w:r>
      <w:r w:rsidR="00BA116B" w:rsidRPr="003D76B7">
        <w:t xml:space="preserve">vary </w:t>
      </w:r>
      <w:r w:rsidR="00161CBE">
        <w:t>from</w:t>
      </w:r>
      <w:r w:rsidR="00161CBE" w:rsidRPr="003D76B7">
        <w:t xml:space="preserve"> </w:t>
      </w:r>
      <w:r w:rsidR="00BA116B" w:rsidRPr="003D76B7">
        <w:t>business</w:t>
      </w:r>
      <w:r w:rsidR="00161CBE">
        <w:t xml:space="preserve"> to busin</w:t>
      </w:r>
      <w:r w:rsidR="00BA116B" w:rsidRPr="003D76B7">
        <w:t>es</w:t>
      </w:r>
      <w:r w:rsidR="00161CBE">
        <w:t>s</w:t>
      </w:r>
      <w:r w:rsidRPr="003D76B7">
        <w:t>.</w:t>
      </w:r>
    </w:p>
    <w:p w14:paraId="5DC479B0" w14:textId="3BB1581C" w:rsidR="003F608D" w:rsidRDefault="00161CBE" w:rsidP="00B13D76">
      <w:r>
        <w:t>Customers should t</w:t>
      </w:r>
      <w:r w:rsidR="00E4470C">
        <w:t>alk</w:t>
      </w:r>
      <w:r w:rsidR="003F608D" w:rsidRPr="003D76B7">
        <w:t xml:space="preserve"> to </w:t>
      </w:r>
      <w:r>
        <w:t>a</w:t>
      </w:r>
      <w:r w:rsidRPr="003D76B7">
        <w:t xml:space="preserve"> </w:t>
      </w:r>
      <w:r w:rsidR="003F608D" w:rsidRPr="003D76B7">
        <w:t xml:space="preserve">business </w:t>
      </w:r>
      <w:r w:rsidR="009074C3">
        <w:t xml:space="preserve">directly </w:t>
      </w:r>
      <w:r>
        <w:t>about the</w:t>
      </w:r>
      <w:r w:rsidR="003F608D" w:rsidRPr="003D76B7">
        <w:t xml:space="preserve"> other payment options they </w:t>
      </w:r>
      <w:r w:rsidR="00E25CF4">
        <w:t xml:space="preserve">can </w:t>
      </w:r>
      <w:r>
        <w:t>get</w:t>
      </w:r>
      <w:r w:rsidR="00E25CF4">
        <w:t>.</w:t>
      </w:r>
    </w:p>
    <w:p w14:paraId="22E54861" w14:textId="376B9A17" w:rsidR="00534D85" w:rsidRDefault="00534D85" w:rsidP="00B13D76">
      <w:r>
        <w:t>Customers wishing to continue their arrangement</w:t>
      </w:r>
      <w:r w:rsidR="00B629D6">
        <w:t xml:space="preserve">s </w:t>
      </w:r>
      <w:r>
        <w:t>should discuss alternative options with the business. Th</w:t>
      </w:r>
      <w:r w:rsidR="00161CBE">
        <w:t>ese</w:t>
      </w:r>
      <w:r>
        <w:t xml:space="preserve"> may include:</w:t>
      </w:r>
    </w:p>
    <w:p w14:paraId="511671E7" w14:textId="42A7CF23" w:rsidR="00534D85" w:rsidRPr="00161CBE" w:rsidRDefault="00534D85" w:rsidP="0062095B">
      <w:pPr>
        <w:pStyle w:val="ListParagraph"/>
      </w:pPr>
      <w:r w:rsidRPr="00161CBE">
        <w:t>bank card</w:t>
      </w:r>
    </w:p>
    <w:p w14:paraId="651C7B64" w14:textId="3AC23F31" w:rsidR="00534D85" w:rsidRPr="00161CBE" w:rsidRDefault="00534D85" w:rsidP="0062095B">
      <w:pPr>
        <w:pStyle w:val="ListParagraph"/>
      </w:pPr>
      <w:r w:rsidRPr="00161CBE">
        <w:t>BPAY</w:t>
      </w:r>
    </w:p>
    <w:p w14:paraId="10B68851" w14:textId="48FF0D99" w:rsidR="00534D85" w:rsidRPr="00161CBE" w:rsidRDefault="00534D85" w:rsidP="0062095B">
      <w:pPr>
        <w:pStyle w:val="ListParagraph"/>
      </w:pPr>
      <w:r w:rsidRPr="00161CBE">
        <w:t>bank transfer.</w:t>
      </w:r>
    </w:p>
    <w:p w14:paraId="100287C5" w14:textId="7852D6C8" w:rsidR="00534D85" w:rsidRPr="00074985" w:rsidRDefault="00534D85" w:rsidP="00B13D76">
      <w:pPr>
        <w:rPr>
          <w:rFonts w:cstheme="minorHAnsi"/>
        </w:rPr>
      </w:pPr>
      <w:r w:rsidRPr="006F5F23">
        <w:t xml:space="preserve">If the customer is concerned about managing their money, they can talk to a financial counsellor for help. </w:t>
      </w:r>
      <w:r w:rsidR="002C3963" w:rsidRPr="006F5F23">
        <w:t>We have</w:t>
      </w:r>
      <w:r w:rsidRPr="006F5F23">
        <w:t xml:space="preserve"> several</w:t>
      </w:r>
      <w:r w:rsidRPr="006F5F23">
        <w:rPr>
          <w:rFonts w:asciiTheme="minorHAnsi" w:hAnsiTheme="minorHAnsi"/>
        </w:rPr>
        <w:t xml:space="preserve"> </w:t>
      </w:r>
      <w:hyperlink r:id="rId24" w:history="1">
        <w:r w:rsidRPr="006F5F23">
          <w:rPr>
            <w:rStyle w:val="Hyperlink"/>
            <w:rFonts w:asciiTheme="minorHAnsi" w:hAnsiTheme="minorHAnsi"/>
          </w:rPr>
          <w:t xml:space="preserve">resources </w:t>
        </w:r>
        <w:r w:rsidR="004C26A6" w:rsidRPr="006F5F23">
          <w:rPr>
            <w:rStyle w:val="Hyperlink"/>
            <w:rFonts w:asciiTheme="minorHAnsi" w:hAnsiTheme="minorHAnsi"/>
          </w:rPr>
          <w:t>to assist customers</w:t>
        </w:r>
      </w:hyperlink>
      <w:r>
        <w:t>.</w:t>
      </w:r>
    </w:p>
    <w:p w14:paraId="44B7E537" w14:textId="77777777" w:rsidR="00E25CF4" w:rsidRPr="00B33E81" w:rsidRDefault="00225587" w:rsidP="006F5F23">
      <w:pPr>
        <w:rPr>
          <w:bCs/>
        </w:rPr>
      </w:pPr>
      <w:r w:rsidRPr="006F5F23">
        <w:rPr>
          <w:b/>
          <w:bCs/>
        </w:rPr>
        <w:t>Example</w:t>
      </w:r>
    </w:p>
    <w:p w14:paraId="5AF26D46" w14:textId="14D9F3EC" w:rsidR="00E25CF4" w:rsidRDefault="00225587" w:rsidP="00B13D76">
      <w:r w:rsidRPr="00D6618A">
        <w:t>J</w:t>
      </w:r>
      <w:r>
        <w:t>oshua</w:t>
      </w:r>
      <w:r w:rsidRPr="00D6618A">
        <w:t xml:space="preserve"> wants to buy clothes for </w:t>
      </w:r>
      <w:r>
        <w:t>an upcoming event.</w:t>
      </w:r>
    </w:p>
    <w:p w14:paraId="66F19869" w14:textId="77777777" w:rsidR="006C6EC0" w:rsidRDefault="00225587" w:rsidP="00B13D76">
      <w:r>
        <w:t>H</w:t>
      </w:r>
      <w:r w:rsidRPr="00D6618A">
        <w:t xml:space="preserve">e goes into </w:t>
      </w:r>
      <w:r w:rsidR="00AE23D2">
        <w:t>JMB Clothing Store</w:t>
      </w:r>
      <w:r>
        <w:t xml:space="preserve"> and</w:t>
      </w:r>
      <w:r w:rsidRPr="00D6618A">
        <w:t xml:space="preserve"> wants to pay </w:t>
      </w:r>
      <w:r w:rsidR="00AE23D2">
        <w:t xml:space="preserve">using </w:t>
      </w:r>
      <w:r w:rsidRPr="00D6618A">
        <w:t>Centrepay.</w:t>
      </w:r>
    </w:p>
    <w:p w14:paraId="53F37A8D" w14:textId="4F6F93AD" w:rsidR="00225587" w:rsidRDefault="00225587" w:rsidP="00B13D76">
      <w:r>
        <w:t>The store manager tells him</w:t>
      </w:r>
      <w:r w:rsidRPr="00D6618A">
        <w:t xml:space="preserve"> </w:t>
      </w:r>
      <w:r>
        <w:t>he</w:t>
      </w:r>
      <w:r w:rsidRPr="00D6618A">
        <w:t xml:space="preserve"> can’t </w:t>
      </w:r>
      <w:r>
        <w:t xml:space="preserve">use Centrepay to pay for </w:t>
      </w:r>
      <w:r w:rsidR="00E25CF4">
        <w:t xml:space="preserve">clothing. </w:t>
      </w:r>
      <w:r>
        <w:t>The manager</w:t>
      </w:r>
      <w:r w:rsidRPr="00D6618A">
        <w:t xml:space="preserve"> </w:t>
      </w:r>
      <w:r>
        <w:t>tells Joshua about other payment options. Joshua</w:t>
      </w:r>
      <w:r w:rsidRPr="00D6618A">
        <w:t xml:space="preserve"> decid</w:t>
      </w:r>
      <w:r>
        <w:t>es</w:t>
      </w:r>
      <w:r w:rsidRPr="00D6618A">
        <w:t xml:space="preserve"> to buy the items using h</w:t>
      </w:r>
      <w:r>
        <w:t>is</w:t>
      </w:r>
      <w:r w:rsidRPr="00D6618A">
        <w:t xml:space="preserve"> debit card</w:t>
      </w:r>
      <w:r>
        <w:t>.</w:t>
      </w:r>
    </w:p>
    <w:p w14:paraId="681E80F0" w14:textId="2DA8175D" w:rsidR="00865B3C" w:rsidRPr="00DD4957" w:rsidRDefault="00865B3C" w:rsidP="00516809">
      <w:pPr>
        <w:pStyle w:val="Heading2"/>
      </w:pPr>
      <w:bookmarkStart w:id="90" w:name="_Toc211365546"/>
      <w:r w:rsidRPr="00DD4957">
        <w:t xml:space="preserve">What happens if </w:t>
      </w:r>
      <w:r w:rsidR="00E4470C" w:rsidRPr="00DD4957">
        <w:t xml:space="preserve">a </w:t>
      </w:r>
      <w:r w:rsidRPr="00DD4957">
        <w:t>customer doesn</w:t>
      </w:r>
      <w:r w:rsidR="00A30F38">
        <w:t>’</w:t>
      </w:r>
      <w:r w:rsidRPr="00DD4957">
        <w:t xml:space="preserve">t make a new payment arrangement with a business </w:t>
      </w:r>
      <w:r w:rsidR="006C6EC0" w:rsidRPr="00DD4957">
        <w:t xml:space="preserve">that has been </w:t>
      </w:r>
      <w:r w:rsidR="00351AB7" w:rsidRPr="00DD4957">
        <w:t>remove</w:t>
      </w:r>
      <w:r w:rsidR="006C6EC0" w:rsidRPr="00DD4957">
        <w:t xml:space="preserve">d </w:t>
      </w:r>
      <w:r w:rsidR="00351AB7" w:rsidRPr="00DD4957">
        <w:t>from Centrepay</w:t>
      </w:r>
      <w:r w:rsidRPr="00DD4957">
        <w:t>?</w:t>
      </w:r>
      <w:bookmarkEnd w:id="90"/>
    </w:p>
    <w:p w14:paraId="2D9B83E7" w14:textId="268E6D54" w:rsidR="0062095B" w:rsidRDefault="0062095B" w:rsidP="00B13D76">
      <w:r>
        <w:t>T</w:t>
      </w:r>
      <w:r w:rsidR="00865B3C" w:rsidRPr="00074985">
        <w:t xml:space="preserve">he business and customer should discuss how </w:t>
      </w:r>
      <w:r w:rsidR="00A924EF" w:rsidRPr="00074985">
        <w:t xml:space="preserve">the </w:t>
      </w:r>
      <w:r w:rsidR="00A924EF">
        <w:t>customer can settle the remaining balance</w:t>
      </w:r>
      <w:r>
        <w:t xml:space="preserve"> if:</w:t>
      </w:r>
    </w:p>
    <w:p w14:paraId="16A78B24" w14:textId="6433B9FF" w:rsidR="0062095B" w:rsidRDefault="0062095B" w:rsidP="0062095B">
      <w:pPr>
        <w:pStyle w:val="ListParagraph"/>
      </w:pPr>
      <w:r w:rsidRPr="00074985">
        <w:t>there</w:t>
      </w:r>
      <w:r>
        <w:t>’</w:t>
      </w:r>
      <w:r w:rsidRPr="00074985">
        <w:t>s still an amount owed to the business for goods or services</w:t>
      </w:r>
    </w:p>
    <w:p w14:paraId="7651C16A" w14:textId="514139E1" w:rsidR="0062095B" w:rsidRDefault="0062095B" w:rsidP="0062095B">
      <w:pPr>
        <w:pStyle w:val="ListParagraph"/>
      </w:pPr>
      <w:r>
        <w:t>a</w:t>
      </w:r>
      <w:r w:rsidRPr="00074985">
        <w:t xml:space="preserve"> business is no longer eligible for Centrepay from 1 November 2026</w:t>
      </w:r>
      <w:r>
        <w:t>.</w:t>
      </w:r>
      <w:r w:rsidRPr="00074985">
        <w:t xml:space="preserve"> </w:t>
      </w:r>
    </w:p>
    <w:p w14:paraId="216473A5" w14:textId="3DDA8B3F" w:rsidR="00865B3C" w:rsidRPr="00074985" w:rsidRDefault="00262EA5" w:rsidP="00B13D76">
      <w:r w:rsidRPr="00074985">
        <w:t>This may include using alternative payment methods or paying off the remaining amount as a lump sum.</w:t>
      </w:r>
    </w:p>
    <w:p w14:paraId="43A3B38C" w14:textId="4F9405AA" w:rsidR="004F4728" w:rsidRDefault="00262EA5" w:rsidP="00B13D76">
      <w:r>
        <w:t xml:space="preserve">If </w:t>
      </w:r>
      <w:r w:rsidR="004F4728">
        <w:t xml:space="preserve">a </w:t>
      </w:r>
      <w:r w:rsidR="00A924EF">
        <w:t xml:space="preserve">customer has </w:t>
      </w:r>
      <w:r>
        <w:t xml:space="preserve">paid off </w:t>
      </w:r>
      <w:r w:rsidR="00A924EF">
        <w:t xml:space="preserve">the remaining amount </w:t>
      </w:r>
      <w:r>
        <w:t xml:space="preserve">before the transition period ends </w:t>
      </w:r>
      <w:r w:rsidR="004F4728">
        <w:t xml:space="preserve">on </w:t>
      </w:r>
      <w:r w:rsidR="00205DFA">
        <w:t>1 November</w:t>
      </w:r>
      <w:r>
        <w:t xml:space="preserve"> 2026</w:t>
      </w:r>
      <w:r w:rsidR="0073654E">
        <w:t xml:space="preserve">, </w:t>
      </w:r>
      <w:r w:rsidR="009E57B0">
        <w:t xml:space="preserve">the deduction should be cancelled. </w:t>
      </w:r>
      <w:r w:rsidR="004F4728">
        <w:t>In this case, customers do not need an alternative payment arrangement.</w:t>
      </w:r>
    </w:p>
    <w:p w14:paraId="19BE633A" w14:textId="4630659F" w:rsidR="005A338F" w:rsidRDefault="004F4728" w:rsidP="00B13D76">
      <w:r>
        <w:t>Both customers and</w:t>
      </w:r>
      <w:r w:rsidR="009E57B0">
        <w:t xml:space="preserve"> business</w:t>
      </w:r>
      <w:r>
        <w:t>es</w:t>
      </w:r>
      <w:r w:rsidR="009E57B0">
        <w:t xml:space="preserve"> can cancel the deduction</w:t>
      </w:r>
      <w:r>
        <w:t>. Refer to question 5 for the ways a customer to do this.</w:t>
      </w:r>
    </w:p>
    <w:p w14:paraId="4843660B" w14:textId="717AB4EF" w:rsidR="008D7EDC" w:rsidRPr="0074137A" w:rsidRDefault="00672F3B" w:rsidP="00516809">
      <w:pPr>
        <w:pStyle w:val="Heading2"/>
      </w:pPr>
      <w:bookmarkStart w:id="91" w:name="_Toc211365547"/>
      <w:r>
        <w:t xml:space="preserve">My client </w:t>
      </w:r>
      <w:r w:rsidRPr="00DD4957">
        <w:t>wants</w:t>
      </w:r>
      <w:r>
        <w:t xml:space="preserve"> to make a complaint about a Centrepay business. How do I help them?</w:t>
      </w:r>
      <w:bookmarkEnd w:id="91"/>
    </w:p>
    <w:p w14:paraId="149968F3" w14:textId="63D76539" w:rsidR="008D7EDC" w:rsidRPr="0074137A" w:rsidRDefault="008D7EDC" w:rsidP="006F5F23">
      <w:r w:rsidRPr="0074137A">
        <w:t xml:space="preserve">If </w:t>
      </w:r>
      <w:r w:rsidR="004F4728">
        <w:t xml:space="preserve">a customer has </w:t>
      </w:r>
      <w:r w:rsidRPr="0074137A">
        <w:t xml:space="preserve">a complaint or feedback about Centrepay, </w:t>
      </w:r>
      <w:r w:rsidR="005633AE">
        <w:t>they</w:t>
      </w:r>
      <w:r w:rsidR="005633AE" w:rsidRPr="0074137A">
        <w:t xml:space="preserve"> </w:t>
      </w:r>
      <w:r w:rsidRPr="0074137A">
        <w:t>can:</w:t>
      </w:r>
    </w:p>
    <w:p w14:paraId="5C5BF6AF" w14:textId="595316D2" w:rsidR="008D7EDC" w:rsidRPr="0074137A" w:rsidRDefault="008D7EDC" w:rsidP="0062095B">
      <w:pPr>
        <w:pStyle w:val="ListParagraph"/>
      </w:pPr>
      <w:r w:rsidRPr="0074137A">
        <w:t>go to servicesaustralia.gov.au and search for ‘Centrepay feedback and complaints’</w:t>
      </w:r>
    </w:p>
    <w:p w14:paraId="4F13918F" w14:textId="7119DBEF" w:rsidR="008D7EDC" w:rsidRPr="0074137A" w:rsidRDefault="008D7EDC" w:rsidP="0062095B">
      <w:pPr>
        <w:pStyle w:val="ListParagraph"/>
      </w:pPr>
      <w:r w:rsidRPr="0074137A">
        <w:t xml:space="preserve">call </w:t>
      </w:r>
      <w:r w:rsidR="00EE0ACD">
        <w:t>Services Australia</w:t>
      </w:r>
      <w:r w:rsidR="00EE0ACD" w:rsidRPr="00074985">
        <w:t xml:space="preserve"> </w:t>
      </w:r>
      <w:r w:rsidRPr="0074137A">
        <w:t>Feedback and Complaints line on 1800 132 468</w:t>
      </w:r>
    </w:p>
    <w:p w14:paraId="3CC3E9B3" w14:textId="03028759" w:rsidR="008D7EDC" w:rsidRPr="0074137A" w:rsidRDefault="008D7EDC" w:rsidP="0062095B">
      <w:pPr>
        <w:pStyle w:val="ListParagraph"/>
      </w:pPr>
      <w:r w:rsidRPr="0074137A">
        <w:t xml:space="preserve">call </w:t>
      </w:r>
      <w:r w:rsidR="00EE0ACD">
        <w:t>Services Australia</w:t>
      </w:r>
      <w:r w:rsidR="00EE0ACD" w:rsidRPr="00074985">
        <w:t xml:space="preserve"> </w:t>
      </w:r>
      <w:r w:rsidRPr="0074137A">
        <w:t>on their regular payment line</w:t>
      </w:r>
    </w:p>
    <w:p w14:paraId="42E94E32" w14:textId="42D50F70" w:rsidR="008D7EDC" w:rsidRPr="0074137A" w:rsidRDefault="008D7EDC" w:rsidP="0062095B">
      <w:pPr>
        <w:pStyle w:val="ListParagraph"/>
      </w:pPr>
      <w:r w:rsidRPr="0074137A">
        <w:t xml:space="preserve">visit one of </w:t>
      </w:r>
      <w:r w:rsidR="00EE0ACD">
        <w:t>Services Australia’s</w:t>
      </w:r>
      <w:r w:rsidRPr="0074137A">
        <w:t xml:space="preserve"> service centres</w:t>
      </w:r>
      <w:r w:rsidR="00685D14">
        <w:t>.</w:t>
      </w:r>
    </w:p>
    <w:p w14:paraId="1A7872AD" w14:textId="39260BD6" w:rsidR="006132A6" w:rsidRPr="00074985" w:rsidRDefault="008D7EDC" w:rsidP="006F5F23">
      <w:r w:rsidRPr="00074985">
        <w:t xml:space="preserve">All Centrepay </w:t>
      </w:r>
      <w:r w:rsidR="00F5010A">
        <w:t xml:space="preserve">approved </w:t>
      </w:r>
      <w:r w:rsidRPr="00074985">
        <w:t xml:space="preserve">businesses must comply with the Centrepay </w:t>
      </w:r>
      <w:r w:rsidR="00F5010A" w:rsidRPr="001F7217">
        <w:t>Terms of Use and Centrepay Policy</w:t>
      </w:r>
      <w:r w:rsidR="00F5010A">
        <w:t xml:space="preserve"> for Business</w:t>
      </w:r>
      <w:r w:rsidRPr="00074985">
        <w:t xml:space="preserve">. Failure to do so will result in </w:t>
      </w:r>
      <w:r>
        <w:t xml:space="preserve">possible </w:t>
      </w:r>
      <w:r w:rsidRPr="00074985">
        <w:t xml:space="preserve">suspension </w:t>
      </w:r>
      <w:r>
        <w:t>or</w:t>
      </w:r>
      <w:r w:rsidRPr="00074985">
        <w:t xml:space="preserve"> withdrawal from Centrepay. </w:t>
      </w:r>
      <w:r w:rsidR="006132A6" w:rsidRPr="00074985">
        <w:t xml:space="preserve">If </w:t>
      </w:r>
      <w:r w:rsidR="00B14FFC">
        <w:t xml:space="preserve">a </w:t>
      </w:r>
      <w:r w:rsidR="00B14FFC">
        <w:lastRenderedPageBreak/>
        <w:t xml:space="preserve">customer </w:t>
      </w:r>
      <w:r w:rsidR="00F5010A">
        <w:t>has</w:t>
      </w:r>
      <w:r w:rsidR="006132A6" w:rsidRPr="00074985">
        <w:t xml:space="preserve"> problems with a business</w:t>
      </w:r>
      <w:r w:rsidR="00943AA5" w:rsidRPr="00074985">
        <w:t xml:space="preserve">, get in touch with </w:t>
      </w:r>
      <w:r w:rsidR="00F5010A">
        <w:t>Services Australia</w:t>
      </w:r>
      <w:r w:rsidR="00F5010A" w:rsidRPr="00074985">
        <w:t xml:space="preserve"> </w:t>
      </w:r>
      <w:r w:rsidR="00943AA5" w:rsidRPr="00074985">
        <w:t xml:space="preserve">immediately </w:t>
      </w:r>
      <w:r w:rsidR="006132A6" w:rsidRPr="00074985">
        <w:t xml:space="preserve">through </w:t>
      </w:r>
      <w:hyperlink r:id="rId25" w:history="1">
        <w:r w:rsidR="006132A6" w:rsidRPr="00E46F7A">
          <w:rPr>
            <w:rStyle w:val="Hyperlink"/>
            <w:rFonts w:asciiTheme="minorHAnsi" w:hAnsiTheme="minorHAnsi"/>
          </w:rPr>
          <w:t>Centrepay complaints and feedback</w:t>
        </w:r>
      </w:hyperlink>
      <w:r w:rsidR="006132A6" w:rsidRPr="00074985">
        <w:t>.</w:t>
      </w:r>
    </w:p>
    <w:p w14:paraId="67DAE447" w14:textId="03A0D8FA" w:rsidR="008370D1" w:rsidRDefault="008370D1" w:rsidP="00B13D76">
      <w:r w:rsidRPr="00074985">
        <w:t xml:space="preserve">If you </w:t>
      </w:r>
      <w:r w:rsidR="005633AE">
        <w:t xml:space="preserve">or a customer </w:t>
      </w:r>
      <w:r w:rsidRPr="00074985">
        <w:t xml:space="preserve">think a business is committing fraud against Centrepay, you should report it. Find </w:t>
      </w:r>
      <w:r w:rsidR="00B14FFC">
        <w:t xml:space="preserve">out </w:t>
      </w:r>
      <w:r w:rsidRPr="00074985">
        <w:t>more information on</w:t>
      </w:r>
      <w:r w:rsidR="00F5010A">
        <w:t xml:space="preserve"> </w:t>
      </w:r>
      <w:hyperlink r:id="rId26" w:history="1">
        <w:r w:rsidRPr="00E46F7A">
          <w:rPr>
            <w:rStyle w:val="Hyperlink"/>
            <w:rFonts w:asciiTheme="minorHAnsi" w:hAnsiTheme="minorHAnsi"/>
          </w:rPr>
          <w:t>how to report fraud</w:t>
        </w:r>
      </w:hyperlink>
      <w:r w:rsidRPr="00074985">
        <w:t>.</w:t>
      </w:r>
    </w:p>
    <w:p w14:paraId="67DA46F3" w14:textId="647F9C7F" w:rsidR="00F367FF" w:rsidRPr="00074985" w:rsidRDefault="00F367FF" w:rsidP="00516809">
      <w:pPr>
        <w:pStyle w:val="Heading2"/>
      </w:pPr>
      <w:bookmarkStart w:id="92" w:name="_Toc211365548"/>
      <w:r w:rsidRPr="00074985">
        <w:t xml:space="preserve">How is Services Australia </w:t>
      </w:r>
      <w:r w:rsidR="00824C2B">
        <w:t>making sure</w:t>
      </w:r>
      <w:r w:rsidR="00824C2B" w:rsidRPr="00074985">
        <w:t xml:space="preserve"> </w:t>
      </w:r>
      <w:r w:rsidRPr="00074985">
        <w:t xml:space="preserve">businesses comply with the </w:t>
      </w:r>
      <w:r w:rsidR="00824C2B" w:rsidRPr="00074985">
        <w:t xml:space="preserve">Centrepay </w:t>
      </w:r>
      <w:r w:rsidR="00824C2B" w:rsidRPr="001F7217">
        <w:t>Terms of Use</w:t>
      </w:r>
      <w:r w:rsidRPr="00074985">
        <w:t>?</w:t>
      </w:r>
      <w:bookmarkEnd w:id="92"/>
    </w:p>
    <w:p w14:paraId="051C161A" w14:textId="09D2E677" w:rsidR="00F367FF" w:rsidRDefault="00EE0ACD" w:rsidP="00B13D76">
      <w:r>
        <w:t>Services Australia</w:t>
      </w:r>
      <w:r w:rsidRPr="00074985">
        <w:t xml:space="preserve"> </w:t>
      </w:r>
      <w:r>
        <w:t>is</w:t>
      </w:r>
      <w:r w:rsidR="00F367FF">
        <w:t xml:space="preserve"> strengthening </w:t>
      </w:r>
      <w:r>
        <w:t xml:space="preserve">Centrepay </w:t>
      </w:r>
      <w:r w:rsidR="00F367FF">
        <w:t>compliance processes by:</w:t>
      </w:r>
    </w:p>
    <w:p w14:paraId="030D3492" w14:textId="77777777" w:rsidR="00D01273" w:rsidRDefault="00D81E77" w:rsidP="0062095B">
      <w:pPr>
        <w:pStyle w:val="ListParagraph"/>
      </w:pPr>
      <w:r w:rsidRPr="00824C2B">
        <w:t>e</w:t>
      </w:r>
      <w:r w:rsidR="00F367FF" w:rsidRPr="00824C2B">
        <w:t>xpanding and increasing compliance reviews</w:t>
      </w:r>
    </w:p>
    <w:p w14:paraId="2125CB4C" w14:textId="03329FA7" w:rsidR="00F367FF" w:rsidRPr="00824C2B" w:rsidRDefault="00C86064" w:rsidP="0062095B">
      <w:pPr>
        <w:pStyle w:val="ListParagraph"/>
      </w:pPr>
      <w:r w:rsidRPr="00824C2B">
        <w:t>contacting more businesses and making sure they are complying with their obligations</w:t>
      </w:r>
    </w:p>
    <w:p w14:paraId="60B6104D" w14:textId="77777777" w:rsidR="00D01273" w:rsidRDefault="00D81E77" w:rsidP="0062095B">
      <w:pPr>
        <w:pStyle w:val="ListParagraph"/>
      </w:pPr>
      <w:r w:rsidRPr="00824C2B">
        <w:t>i</w:t>
      </w:r>
      <w:r w:rsidR="00F367FF" w:rsidRPr="00824C2B">
        <w:t>mproving how we use data to identify current and emerging risks</w:t>
      </w:r>
    </w:p>
    <w:p w14:paraId="5B3966A9" w14:textId="6C30657C" w:rsidR="00F367FF" w:rsidRPr="00824C2B" w:rsidRDefault="00D01273" w:rsidP="0062095B">
      <w:pPr>
        <w:pStyle w:val="ListParagraph"/>
      </w:pPr>
      <w:r w:rsidRPr="00824C2B">
        <w:t>improving how we use data to</w:t>
      </w:r>
      <w:r w:rsidR="00F367FF" w:rsidRPr="00824C2B">
        <w:t xml:space="preserve"> identify non-compliance</w:t>
      </w:r>
    </w:p>
    <w:p w14:paraId="4BE2C519" w14:textId="52C42FCC" w:rsidR="00467BA5" w:rsidRDefault="00D81E77" w:rsidP="0062095B">
      <w:pPr>
        <w:pStyle w:val="ListParagraph"/>
      </w:pPr>
      <w:r w:rsidRPr="00824C2B">
        <w:t>i</w:t>
      </w:r>
      <w:r w:rsidR="00F367FF" w:rsidRPr="00824C2B">
        <w:t>mproving how we share information and cooperate with other government agencies.</w:t>
      </w:r>
    </w:p>
    <w:p w14:paraId="49FABD83" w14:textId="4C2C9202" w:rsidR="00467BA5" w:rsidRPr="00074985" w:rsidRDefault="00467BA5" w:rsidP="00516809">
      <w:pPr>
        <w:pStyle w:val="Heading2"/>
      </w:pPr>
      <w:bookmarkStart w:id="93" w:name="_Toc211365549"/>
      <w:r>
        <w:t>A customer thinks a business has changed their deductions. What should I tell them if they don’t agree with the change</w:t>
      </w:r>
      <w:r w:rsidRPr="00074985">
        <w:t>?</w:t>
      </w:r>
      <w:bookmarkEnd w:id="93"/>
    </w:p>
    <w:p w14:paraId="20DE4DD6" w14:textId="1C3EE335" w:rsidR="00427402" w:rsidRDefault="00427402" w:rsidP="00427402">
      <w:r>
        <w:t>Customers may see some changes particularly around the addition of mandatory conditions.</w:t>
      </w:r>
      <w:r w:rsidRPr="00427402">
        <w:t xml:space="preserve"> </w:t>
      </w:r>
      <w:r>
        <w:t>Businesses must make changes to some deductions. By making the changes they ensure compliance with the Centrepay Terms of Use.</w:t>
      </w:r>
    </w:p>
    <w:p w14:paraId="4D707588" w14:textId="620EF96D" w:rsidR="00427402" w:rsidRDefault="00427402" w:rsidP="00427402">
      <w:r>
        <w:t>A customer should t</w:t>
      </w:r>
      <w:r w:rsidRPr="00B31AFE">
        <w:t xml:space="preserve">alk to the business if </w:t>
      </w:r>
      <w:r>
        <w:t>they</w:t>
      </w:r>
      <w:r w:rsidRPr="00B31AFE">
        <w:t xml:space="preserve"> have feedback or concerns. </w:t>
      </w:r>
      <w:r>
        <w:t>They</w:t>
      </w:r>
      <w:r w:rsidRPr="00B31AFE">
        <w:t xml:space="preserve"> can also contact </w:t>
      </w:r>
      <w:r>
        <w:t>Services Australia</w:t>
      </w:r>
      <w:r w:rsidRPr="00B31AFE">
        <w:t xml:space="preserve"> on</w:t>
      </w:r>
      <w:r>
        <w:t xml:space="preserve"> </w:t>
      </w:r>
      <w:r w:rsidRPr="00B31AFE">
        <w:t>1800 132 468 or</w:t>
      </w:r>
      <w:r>
        <w:t xml:space="preserve"> submit a complaint </w:t>
      </w:r>
      <w:hyperlink r:id="rId27" w:history="1">
        <w:r w:rsidRPr="00E46F7A">
          <w:rPr>
            <w:rStyle w:val="Hyperlink"/>
            <w:rFonts w:asciiTheme="minorHAnsi" w:hAnsiTheme="minorHAnsi"/>
          </w:rPr>
          <w:t>online</w:t>
        </w:r>
      </w:hyperlink>
      <w:r>
        <w:t>.</w:t>
      </w:r>
    </w:p>
    <w:p w14:paraId="5EC438AF" w14:textId="1FD4857F" w:rsidR="00273199" w:rsidRDefault="00427402" w:rsidP="00B13D76">
      <w:r>
        <w:t>Remind customers that a</w:t>
      </w:r>
      <w:r w:rsidR="00273199">
        <w:t xml:space="preserve"> </w:t>
      </w:r>
      <w:r w:rsidR="00A924EF">
        <w:t xml:space="preserve">business </w:t>
      </w:r>
      <w:r>
        <w:t xml:space="preserve">must get their </w:t>
      </w:r>
      <w:r w:rsidR="00A924EF">
        <w:t xml:space="preserve">consent </w:t>
      </w:r>
      <w:r w:rsidR="00B31AFE" w:rsidRPr="00B31AFE">
        <w:t>before</w:t>
      </w:r>
      <w:r w:rsidR="00273199">
        <w:t>:</w:t>
      </w:r>
    </w:p>
    <w:p w14:paraId="71EC40BE" w14:textId="370D4A85" w:rsidR="00273199" w:rsidRDefault="00A924EF" w:rsidP="0062095B">
      <w:pPr>
        <w:pStyle w:val="ListParagraph"/>
      </w:pPr>
      <w:r>
        <w:t xml:space="preserve">starting or </w:t>
      </w:r>
      <w:r w:rsidR="005E32BF">
        <w:t xml:space="preserve">increasing </w:t>
      </w:r>
      <w:r>
        <w:t>a deduction</w:t>
      </w:r>
    </w:p>
    <w:p w14:paraId="4867C5A8" w14:textId="53A1341B" w:rsidR="00B31AFE" w:rsidRDefault="005E32BF" w:rsidP="0062095B">
      <w:pPr>
        <w:pStyle w:val="ListParagraph"/>
      </w:pPr>
      <w:r>
        <w:t>increas</w:t>
      </w:r>
      <w:r w:rsidR="00273199">
        <w:t>ing</w:t>
      </w:r>
      <w:r>
        <w:t xml:space="preserve"> a target amount or extend</w:t>
      </w:r>
      <w:r w:rsidR="00273199">
        <w:t>ing</w:t>
      </w:r>
      <w:r>
        <w:t xml:space="preserve"> an end-date.</w:t>
      </w:r>
    </w:p>
    <w:p w14:paraId="1EDDCD05" w14:textId="6B146BEE" w:rsidR="00885751" w:rsidRPr="00B31AFE" w:rsidRDefault="00885751" w:rsidP="00B13D76">
      <w:r>
        <w:t xml:space="preserve">The following examples </w:t>
      </w:r>
      <w:r w:rsidR="00E15070">
        <w:t xml:space="preserve">show </w:t>
      </w:r>
      <w:r>
        <w:t xml:space="preserve">what </w:t>
      </w:r>
      <w:r w:rsidR="003F0369">
        <w:t>c</w:t>
      </w:r>
      <w:r>
        <w:t>ould happen if a deduction is changed</w:t>
      </w:r>
      <w:r w:rsidR="00C86064">
        <w:t xml:space="preserve"> by the business</w:t>
      </w:r>
      <w:r w:rsidR="00E15070">
        <w:t>.</w:t>
      </w:r>
    </w:p>
    <w:p w14:paraId="7D4EE5B0" w14:textId="77777777" w:rsidR="00B31AFE" w:rsidRPr="00B33E81" w:rsidRDefault="00B31AFE" w:rsidP="006F5F23">
      <w:pPr>
        <w:rPr>
          <w:bCs/>
        </w:rPr>
      </w:pPr>
      <w:r w:rsidRPr="006F5F23">
        <w:rPr>
          <w:b/>
          <w:bCs/>
        </w:rPr>
        <w:t>Example 1</w:t>
      </w:r>
    </w:p>
    <w:p w14:paraId="2B5DDBA3" w14:textId="2B34A8B0" w:rsidR="004842CE" w:rsidRDefault="00A924EF" w:rsidP="00B13D76">
      <w:r>
        <w:t>Loz</w:t>
      </w:r>
      <w:r w:rsidR="00B31AFE" w:rsidRPr="00B31AFE">
        <w:t xml:space="preserve"> has a $50 deduction to pay for a whitegoods purchase. </w:t>
      </w:r>
      <w:r>
        <w:t>Loz</w:t>
      </w:r>
      <w:r w:rsidR="00B31AFE" w:rsidRPr="00B31AFE">
        <w:t xml:space="preserve"> notices th</w:t>
      </w:r>
      <w:r w:rsidR="003F0369">
        <w:t>e</w:t>
      </w:r>
      <w:r w:rsidR="00B31AFE" w:rsidRPr="00B31AFE">
        <w:t xml:space="preserve"> deduction has stopped. The business has stopped the deduction because </w:t>
      </w:r>
      <w:r>
        <w:t xml:space="preserve">Loz has </w:t>
      </w:r>
      <w:r w:rsidR="005E32BF">
        <w:t xml:space="preserve">fully </w:t>
      </w:r>
      <w:r>
        <w:t>paid</w:t>
      </w:r>
      <w:r w:rsidR="005E32BF">
        <w:t xml:space="preserve"> for the purchase</w:t>
      </w:r>
      <w:r w:rsidR="003F0369">
        <w:t xml:space="preserve">. </w:t>
      </w:r>
      <w:r>
        <w:t xml:space="preserve">Loz </w:t>
      </w:r>
      <w:r w:rsidR="00B31AFE" w:rsidRPr="00B31AFE">
        <w:t xml:space="preserve">is </w:t>
      </w:r>
      <w:r>
        <w:t xml:space="preserve">now </w:t>
      </w:r>
      <w:r w:rsidR="00B31AFE" w:rsidRPr="00B31AFE">
        <w:t>accruing credit with the business through the recurring deductions.</w:t>
      </w:r>
    </w:p>
    <w:p w14:paraId="438970F5" w14:textId="6D9F73B7" w:rsidR="00E15070" w:rsidRDefault="00B31AFE" w:rsidP="00B13D76">
      <w:r w:rsidRPr="00B31AFE">
        <w:t xml:space="preserve">The business </w:t>
      </w:r>
      <w:r w:rsidR="00DD045C">
        <w:t xml:space="preserve">can stop the deduction without Loz’s consent but </w:t>
      </w:r>
      <w:r w:rsidRPr="00B31AFE">
        <w:t xml:space="preserve">should talk with </w:t>
      </w:r>
      <w:r w:rsidR="007F0D86">
        <w:t>them</w:t>
      </w:r>
      <w:r w:rsidR="005121D7">
        <w:t xml:space="preserve"> before</w:t>
      </w:r>
      <w:r w:rsidRPr="00B31AFE">
        <w:t xml:space="preserve"> making </w:t>
      </w:r>
      <w:r w:rsidR="00DD045C">
        <w:t xml:space="preserve">the </w:t>
      </w:r>
      <w:r w:rsidRPr="00B31AFE">
        <w:t>changes to the deduction.</w:t>
      </w:r>
    </w:p>
    <w:p w14:paraId="56CE7B2F" w14:textId="192722FA" w:rsidR="00B31AFE" w:rsidRPr="00B31AFE" w:rsidRDefault="00B31AFE" w:rsidP="00B13D76">
      <w:r w:rsidRPr="00B31AFE">
        <w:t xml:space="preserve">As the deduction </w:t>
      </w:r>
      <w:r w:rsidR="00A924EF">
        <w:t>is</w:t>
      </w:r>
      <w:r w:rsidRPr="00B31AFE">
        <w:t xml:space="preserve"> for a service reason that is no longer eligible for Centrepay, </w:t>
      </w:r>
      <w:r w:rsidR="00E15070">
        <w:t>the</w:t>
      </w:r>
      <w:r w:rsidR="00E15070" w:rsidRPr="00B31AFE">
        <w:t xml:space="preserve"> </w:t>
      </w:r>
      <w:r w:rsidRPr="00B31AFE">
        <w:t xml:space="preserve">deduction </w:t>
      </w:r>
      <w:r w:rsidR="009E57B0">
        <w:t>cannot</w:t>
      </w:r>
      <w:r w:rsidR="00C86064">
        <w:t xml:space="preserve"> be restarted</w:t>
      </w:r>
      <w:r w:rsidRPr="00B31AFE">
        <w:t>.</w:t>
      </w:r>
    </w:p>
    <w:p w14:paraId="4A58A9CB" w14:textId="77777777" w:rsidR="00B31AFE" w:rsidRPr="00B33E81" w:rsidRDefault="00B31AFE" w:rsidP="006F5F23">
      <w:pPr>
        <w:rPr>
          <w:bCs/>
        </w:rPr>
      </w:pPr>
      <w:r w:rsidRPr="006F5F23">
        <w:rPr>
          <w:b/>
          <w:bCs/>
        </w:rPr>
        <w:t>Example 2</w:t>
      </w:r>
    </w:p>
    <w:p w14:paraId="3ED4CEFA" w14:textId="0D758F17" w:rsidR="003F0369" w:rsidRDefault="00C86064" w:rsidP="00B13D76">
      <w:r>
        <w:t>Jimmy</w:t>
      </w:r>
      <w:r w:rsidR="00B31AFE" w:rsidRPr="00B31AFE">
        <w:t xml:space="preserve"> notices that their </w:t>
      </w:r>
      <w:r w:rsidR="004842CE">
        <w:t xml:space="preserve">deduction </w:t>
      </w:r>
      <w:r>
        <w:t xml:space="preserve">for food </w:t>
      </w:r>
      <w:r w:rsidR="00B31AFE" w:rsidRPr="00B31AFE">
        <w:t xml:space="preserve">has not </w:t>
      </w:r>
      <w:r w:rsidR="00A924EF">
        <w:t>been taken</w:t>
      </w:r>
      <w:r>
        <w:t xml:space="preserve"> from</w:t>
      </w:r>
      <w:r w:rsidR="00B31AFE" w:rsidRPr="00B31AFE">
        <w:t xml:space="preserve"> their Centrelink payment</w:t>
      </w:r>
      <w:r>
        <w:t xml:space="preserve"> by the </w:t>
      </w:r>
      <w:r w:rsidR="00A924EF">
        <w:t>RR Community Store</w:t>
      </w:r>
      <w:r w:rsidR="00B31AFE" w:rsidRPr="00B31AFE">
        <w:t xml:space="preserve">. </w:t>
      </w:r>
      <w:r>
        <w:t>Jimmy</w:t>
      </w:r>
      <w:r w:rsidR="00B31AFE" w:rsidRPr="00B31AFE">
        <w:t xml:space="preserve"> contact</w:t>
      </w:r>
      <w:r>
        <w:t>s</w:t>
      </w:r>
      <w:r w:rsidR="00B31AFE" w:rsidRPr="00B31AFE">
        <w:t xml:space="preserve"> the business, who </w:t>
      </w:r>
      <w:r w:rsidR="003F0369">
        <w:t>tells</w:t>
      </w:r>
      <w:r w:rsidR="003F0369" w:rsidRPr="00B31AFE">
        <w:t xml:space="preserve"> </w:t>
      </w:r>
      <w:r w:rsidR="00B31AFE" w:rsidRPr="00B31AFE">
        <w:t xml:space="preserve">them </w:t>
      </w:r>
      <w:r>
        <w:t xml:space="preserve">that </w:t>
      </w:r>
      <w:r w:rsidR="00B31AFE" w:rsidRPr="00B31AFE">
        <w:t xml:space="preserve">the deduction </w:t>
      </w:r>
      <w:r w:rsidR="00A924EF">
        <w:t>has stopped</w:t>
      </w:r>
      <w:r w:rsidR="00B31AFE" w:rsidRPr="00B31AFE">
        <w:t xml:space="preserve"> because the credit balance has reached $1</w:t>
      </w:r>
      <w:r>
        <w:t>,</w:t>
      </w:r>
      <w:r w:rsidR="00B31AFE" w:rsidRPr="00B31AFE">
        <w:t>000.</w:t>
      </w:r>
    </w:p>
    <w:p w14:paraId="0B766777" w14:textId="71FF16A8" w:rsidR="003F0369" w:rsidRDefault="00C86064" w:rsidP="00B13D76">
      <w:r>
        <w:t>Jimmy</w:t>
      </w:r>
      <w:r w:rsidR="00B31AFE" w:rsidRPr="00B31AFE">
        <w:t xml:space="preserve"> has not purchased goods from the store for 3 months and the balance is too high.</w:t>
      </w:r>
    </w:p>
    <w:p w14:paraId="4676A3EB" w14:textId="023F1A31" w:rsidR="00B31AFE" w:rsidRPr="00B31AFE" w:rsidRDefault="00C86064" w:rsidP="00B13D76">
      <w:r>
        <w:t>Jimmy</w:t>
      </w:r>
      <w:r w:rsidR="00B31AFE" w:rsidRPr="00B31AFE">
        <w:t xml:space="preserve"> can use the credit to purchase </w:t>
      </w:r>
      <w:r>
        <w:t>food</w:t>
      </w:r>
      <w:r w:rsidR="003F0369">
        <w:t xml:space="preserve">. </w:t>
      </w:r>
      <w:r w:rsidR="00923019">
        <w:t>Alternatively,</w:t>
      </w:r>
      <w:r w:rsidR="003F0369">
        <w:t xml:space="preserve"> they can</w:t>
      </w:r>
      <w:r w:rsidR="00B31AFE" w:rsidRPr="00B31AFE">
        <w:t xml:space="preserve"> </w:t>
      </w:r>
      <w:r w:rsidR="003F0369">
        <w:t xml:space="preserve">ask </w:t>
      </w:r>
      <w:r w:rsidR="003F0369" w:rsidRPr="00B31AFE">
        <w:t>the business</w:t>
      </w:r>
      <w:r w:rsidR="003F0369">
        <w:t xml:space="preserve"> to refund their </w:t>
      </w:r>
      <w:r w:rsidR="00B31AFE" w:rsidRPr="00B31AFE">
        <w:t>credit.</w:t>
      </w:r>
    </w:p>
    <w:p w14:paraId="507B39AC" w14:textId="77777777" w:rsidR="00B31AFE" w:rsidRPr="00B33E81" w:rsidRDefault="00B31AFE" w:rsidP="006F5F23">
      <w:pPr>
        <w:rPr>
          <w:bCs/>
        </w:rPr>
      </w:pPr>
      <w:r w:rsidRPr="006F5F23">
        <w:rPr>
          <w:b/>
          <w:bCs/>
        </w:rPr>
        <w:t>Example 3</w:t>
      </w:r>
    </w:p>
    <w:p w14:paraId="629C439E" w14:textId="29EFE7C8" w:rsidR="004842CE" w:rsidRDefault="00C86064" w:rsidP="00B13D76">
      <w:r>
        <w:t>Zac</w:t>
      </w:r>
      <w:r w:rsidR="00B31AFE" w:rsidRPr="00B31AFE">
        <w:t xml:space="preserve"> has a recurring utilities deduction for $100. </w:t>
      </w:r>
      <w:r w:rsidR="004842CE">
        <w:t xml:space="preserve">Over time, </w:t>
      </w:r>
      <w:r>
        <w:t>Zac</w:t>
      </w:r>
      <w:r w:rsidR="004842CE">
        <w:t xml:space="preserve"> ha</w:t>
      </w:r>
      <w:r>
        <w:t xml:space="preserve">s </w:t>
      </w:r>
      <w:r w:rsidR="003F0369">
        <w:t xml:space="preserve">built up </w:t>
      </w:r>
      <w:r w:rsidR="00B31AFE" w:rsidRPr="00B31AFE">
        <w:t xml:space="preserve">a credit </w:t>
      </w:r>
      <w:r w:rsidR="003F0369">
        <w:t xml:space="preserve">of </w:t>
      </w:r>
      <w:r w:rsidR="003F0369" w:rsidRPr="00B31AFE">
        <w:t>$1,500</w:t>
      </w:r>
      <w:r w:rsidR="00923019">
        <w:t xml:space="preserve"> </w:t>
      </w:r>
      <w:r w:rsidR="00B31AFE" w:rsidRPr="00B31AFE">
        <w:t>with the business.</w:t>
      </w:r>
    </w:p>
    <w:p w14:paraId="6741488B" w14:textId="3A8FF798" w:rsidR="006E37BE" w:rsidRDefault="00B31AFE" w:rsidP="00B13D76">
      <w:r w:rsidRPr="00B31AFE">
        <w:t xml:space="preserve">The utility provider has cancelled the deduction and contacts </w:t>
      </w:r>
      <w:r w:rsidR="00C86064">
        <w:t>Zac</w:t>
      </w:r>
      <w:r w:rsidRPr="00B31AFE">
        <w:t xml:space="preserve"> to </w:t>
      </w:r>
      <w:r w:rsidR="00C86064">
        <w:t>refund his credit</w:t>
      </w:r>
      <w:r w:rsidRPr="00B31AFE">
        <w:t xml:space="preserve">. </w:t>
      </w:r>
      <w:r w:rsidR="00C86064">
        <w:t>Zac</w:t>
      </w:r>
      <w:r w:rsidRPr="00B31AFE">
        <w:t xml:space="preserve"> request</w:t>
      </w:r>
      <w:r w:rsidR="00C86064">
        <w:t>s that</w:t>
      </w:r>
      <w:r w:rsidRPr="00B31AFE">
        <w:t xml:space="preserve"> the provide</w:t>
      </w:r>
      <w:r w:rsidR="00C86064">
        <w:t>r</w:t>
      </w:r>
      <w:r w:rsidRPr="00B31AFE">
        <w:t xml:space="preserve"> keep the credit for future bills, so they are ahead of their repayments.</w:t>
      </w:r>
    </w:p>
    <w:p w14:paraId="03DFBB35" w14:textId="07EDF3A1" w:rsidR="006E37BE" w:rsidRDefault="006C1BE1" w:rsidP="00516809">
      <w:pPr>
        <w:pStyle w:val="Heading2"/>
      </w:pPr>
      <w:bookmarkStart w:id="94" w:name="_Toc211365550"/>
      <w:r>
        <w:lastRenderedPageBreak/>
        <w:t>Can a</w:t>
      </w:r>
      <w:r w:rsidR="006E37BE">
        <w:t xml:space="preserve"> customer</w:t>
      </w:r>
      <w:r>
        <w:t xml:space="preserve"> i</w:t>
      </w:r>
      <w:r w:rsidR="006E37BE">
        <w:t>ncrease their existing deduction amount to finish their payments earlier</w:t>
      </w:r>
      <w:r w:rsidR="00872957">
        <w:t xml:space="preserve"> </w:t>
      </w:r>
      <w:r w:rsidR="00E64157">
        <w:t>for goods and services in</w:t>
      </w:r>
      <w:r w:rsidR="00872957">
        <w:t xml:space="preserve"> service reason being removed</w:t>
      </w:r>
      <w:r w:rsidR="006E37BE">
        <w:t>?</w:t>
      </w:r>
      <w:bookmarkEnd w:id="94"/>
    </w:p>
    <w:p w14:paraId="229A60E7" w14:textId="1769149A" w:rsidR="00C91558" w:rsidRDefault="00EE0ACD" w:rsidP="00B13D76">
      <w:r>
        <w:t xml:space="preserve">From </w:t>
      </w:r>
      <w:r w:rsidR="006E37BE" w:rsidRPr="006F5F23">
        <w:t>3 November 2025</w:t>
      </w:r>
      <w:r w:rsidR="006E37BE" w:rsidRPr="00074985">
        <w:t>, existing deductions cannot be increased</w:t>
      </w:r>
      <w:r w:rsidR="006E37BE">
        <w:t>. They can only be maintained or decreased</w:t>
      </w:r>
      <w:r w:rsidR="002233A3">
        <w:t>.</w:t>
      </w:r>
      <w:r w:rsidR="000E0B2A">
        <w:t xml:space="preserve"> </w:t>
      </w:r>
      <w:r w:rsidR="00C86064">
        <w:t>Customers should carefully consider any changes they make to their deductions.</w:t>
      </w:r>
    </w:p>
    <w:p w14:paraId="76F4B154" w14:textId="5774DC06" w:rsidR="00DD045C" w:rsidRDefault="00210EDE" w:rsidP="00B13D76">
      <w:r>
        <w:t>Customers</w:t>
      </w:r>
      <w:r w:rsidR="00DD045C">
        <w:t xml:space="preserve"> can use alternative methods to pay money to the business at any time. </w:t>
      </w:r>
    </w:p>
    <w:p w14:paraId="1B073E6E" w14:textId="28FBF745" w:rsidR="008B1B92" w:rsidRDefault="008B1B92" w:rsidP="00B13D76">
      <w:r>
        <w:t>N</w:t>
      </w:r>
      <w:r w:rsidR="004B7B63">
        <w:t xml:space="preserve">ote that </w:t>
      </w:r>
      <w:r>
        <w:t xml:space="preserve">by </w:t>
      </w:r>
      <w:r w:rsidR="004B7B63">
        <w:t>decreasing deduction amount</w:t>
      </w:r>
      <w:r>
        <w:t>s</w:t>
      </w:r>
      <w:r w:rsidR="001476D0">
        <w:t xml:space="preserve">, </w:t>
      </w:r>
      <w:r>
        <w:t>it will take</w:t>
      </w:r>
      <w:r w:rsidR="004B7B63">
        <w:t xml:space="preserve"> a customer </w:t>
      </w:r>
      <w:r>
        <w:t xml:space="preserve">longer </w:t>
      </w:r>
      <w:r w:rsidR="004B7B63">
        <w:t xml:space="preserve">to pay off the goods or services they </w:t>
      </w:r>
      <w:r>
        <w:t>bought</w:t>
      </w:r>
      <w:r w:rsidR="004B7B63">
        <w:t>.</w:t>
      </w:r>
    </w:p>
    <w:p w14:paraId="15F1B7EF" w14:textId="33F29C30" w:rsidR="004B7B63" w:rsidRDefault="004B7B63" w:rsidP="00B13D76">
      <w:r>
        <w:t xml:space="preserve">For a deduction aligned to a </w:t>
      </w:r>
      <w:r w:rsidR="008B1B92">
        <w:t xml:space="preserve">removed </w:t>
      </w:r>
      <w:r>
        <w:t>service reason, this may extend their deduction past</w:t>
      </w:r>
      <w:r w:rsidR="008B1B92">
        <w:t xml:space="preserve"> </w:t>
      </w:r>
      <w:r w:rsidRPr="006F5F23">
        <w:t>1 November 2026</w:t>
      </w:r>
      <w:r>
        <w:t>.</w:t>
      </w:r>
      <w:r w:rsidR="008B1B92">
        <w:t xml:space="preserve"> </w:t>
      </w:r>
      <w:r>
        <w:t xml:space="preserve">If this happens, the business and customer will need to make </w:t>
      </w:r>
      <w:r w:rsidR="008B1B92">
        <w:t>other</w:t>
      </w:r>
      <w:r>
        <w:t xml:space="preserve"> arrangements to pay off the remaining amount</w:t>
      </w:r>
      <w:r w:rsidR="008B1B92">
        <w:t>. Centrepay cannot be used from 1 November 2026</w:t>
      </w:r>
      <w:r>
        <w:t>.</w:t>
      </w:r>
    </w:p>
    <w:p w14:paraId="2AFE1924" w14:textId="5FEBF0EF" w:rsidR="009E1FD5" w:rsidRPr="00F24922" w:rsidRDefault="009E1FD5" w:rsidP="00516809">
      <w:pPr>
        <w:pStyle w:val="Heading2"/>
        <w:rPr>
          <w:u w:val="single"/>
        </w:rPr>
      </w:pPr>
      <w:bookmarkStart w:id="95" w:name="_Toc211365551"/>
      <w:r w:rsidRPr="00F24922">
        <w:t>Are there further reforms planned for Centrepay?</w:t>
      </w:r>
      <w:bookmarkEnd w:id="95"/>
    </w:p>
    <w:p w14:paraId="6AFCA4AF" w14:textId="73EA85A7" w:rsidR="00FA45F7" w:rsidRDefault="00FA45F7" w:rsidP="00B13D76">
      <w:r>
        <w:t xml:space="preserve">Services Australia </w:t>
      </w:r>
      <w:r w:rsidR="00742BFE">
        <w:t>want</w:t>
      </w:r>
      <w:r>
        <w:t>s</w:t>
      </w:r>
      <w:r w:rsidR="00742BFE">
        <w:t xml:space="preserve"> to make sure that</w:t>
      </w:r>
      <w:r w:rsidR="009E1FD5">
        <w:t xml:space="preserve"> Centrepay </w:t>
      </w:r>
      <w:r>
        <w:t>keeps serving</w:t>
      </w:r>
      <w:r w:rsidR="00742BFE">
        <w:t xml:space="preserve"> as an effective budgeting</w:t>
      </w:r>
      <w:r w:rsidR="001E17D8">
        <w:t xml:space="preserve"> tool</w:t>
      </w:r>
      <w:r>
        <w:t>.</w:t>
      </w:r>
    </w:p>
    <w:p w14:paraId="616EFF5D" w14:textId="75187CE3" w:rsidR="006132A6" w:rsidRPr="00F24922" w:rsidRDefault="00FA45F7" w:rsidP="00B13D76">
      <w:r>
        <w:t>As such</w:t>
      </w:r>
      <w:r w:rsidR="001476D0">
        <w:t xml:space="preserve">, </w:t>
      </w:r>
      <w:r>
        <w:t xml:space="preserve">Services Australia will keep </w:t>
      </w:r>
      <w:r w:rsidR="00742BFE">
        <w:t>looking at ways to improve the service.</w:t>
      </w:r>
    </w:p>
    <w:sectPr w:rsidR="006132A6" w:rsidRPr="00F24922" w:rsidSect="008D6987">
      <w:headerReference w:type="first" r:id="rId28"/>
      <w:pgSz w:w="11906" w:h="16838"/>
      <w:pgMar w:top="993" w:right="1080" w:bottom="851" w:left="1080"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AAB1" w14:textId="77777777" w:rsidR="00C97E64" w:rsidRDefault="00C97E64" w:rsidP="00B13D76">
      <w:r>
        <w:separator/>
      </w:r>
    </w:p>
  </w:endnote>
  <w:endnote w:type="continuationSeparator" w:id="0">
    <w:p w14:paraId="3EFEEAD1" w14:textId="77777777" w:rsidR="00C97E64" w:rsidRDefault="00C97E64" w:rsidP="00B1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219C" w14:textId="77777777" w:rsidR="00EA3764" w:rsidRDefault="00EA3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772702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E4E8E2B" w14:textId="2E5A970C" w:rsidR="00C81EA8" w:rsidRPr="00142581" w:rsidRDefault="00142581" w:rsidP="0081709B">
            <w:pPr>
              <w:pStyle w:val="Footer"/>
              <w:tabs>
                <w:tab w:val="clear" w:pos="9026"/>
                <w:tab w:val="right" w:pos="7655"/>
              </w:tabs>
              <w:rPr>
                <w:sz w:val="18"/>
                <w:szCs w:val="18"/>
              </w:rPr>
            </w:pPr>
            <w:r w:rsidRPr="00142581">
              <w:rPr>
                <w:sz w:val="18"/>
                <w:szCs w:val="18"/>
              </w:rPr>
              <w:t xml:space="preserve">Page </w:t>
            </w:r>
            <w:r w:rsidRPr="00142581">
              <w:rPr>
                <w:b/>
                <w:bCs/>
                <w:sz w:val="18"/>
                <w:szCs w:val="18"/>
              </w:rPr>
              <w:fldChar w:fldCharType="begin"/>
            </w:r>
            <w:r w:rsidRPr="00142581">
              <w:rPr>
                <w:b/>
                <w:bCs/>
                <w:sz w:val="18"/>
                <w:szCs w:val="18"/>
              </w:rPr>
              <w:instrText xml:space="preserve"> PAGE </w:instrText>
            </w:r>
            <w:r w:rsidRPr="00142581">
              <w:rPr>
                <w:b/>
                <w:bCs/>
                <w:sz w:val="18"/>
                <w:szCs w:val="18"/>
              </w:rPr>
              <w:fldChar w:fldCharType="separate"/>
            </w:r>
            <w:r w:rsidRPr="00142581">
              <w:rPr>
                <w:b/>
                <w:bCs/>
                <w:noProof/>
                <w:sz w:val="18"/>
                <w:szCs w:val="18"/>
              </w:rPr>
              <w:t>2</w:t>
            </w:r>
            <w:r w:rsidRPr="00142581">
              <w:rPr>
                <w:b/>
                <w:bCs/>
                <w:sz w:val="18"/>
                <w:szCs w:val="18"/>
              </w:rPr>
              <w:fldChar w:fldCharType="end"/>
            </w:r>
            <w:r w:rsidRPr="00142581">
              <w:rPr>
                <w:sz w:val="18"/>
                <w:szCs w:val="18"/>
              </w:rPr>
              <w:t xml:space="preserve"> of </w:t>
            </w:r>
            <w:r w:rsidRPr="00142581">
              <w:rPr>
                <w:b/>
                <w:bCs/>
                <w:sz w:val="18"/>
                <w:szCs w:val="18"/>
              </w:rPr>
              <w:fldChar w:fldCharType="begin"/>
            </w:r>
            <w:r w:rsidRPr="00142581">
              <w:rPr>
                <w:b/>
                <w:bCs/>
                <w:sz w:val="18"/>
                <w:szCs w:val="18"/>
              </w:rPr>
              <w:instrText xml:space="preserve"> NUMPAGES  </w:instrText>
            </w:r>
            <w:r w:rsidRPr="00142581">
              <w:rPr>
                <w:b/>
                <w:bCs/>
                <w:sz w:val="18"/>
                <w:szCs w:val="18"/>
              </w:rPr>
              <w:fldChar w:fldCharType="separate"/>
            </w:r>
            <w:r w:rsidRPr="00142581">
              <w:rPr>
                <w:b/>
                <w:bCs/>
                <w:noProof/>
                <w:sz w:val="18"/>
                <w:szCs w:val="18"/>
              </w:rPr>
              <w:t>2</w:t>
            </w:r>
            <w:r w:rsidRPr="00142581">
              <w:rPr>
                <w:b/>
                <w:bCs/>
                <w:sz w:val="18"/>
                <w:szCs w:val="18"/>
              </w:rPr>
              <w:fldChar w:fldCharType="end"/>
            </w:r>
            <w:r w:rsidR="00EA3764" w:rsidRPr="0081709B">
              <w:rPr>
                <w:sz w:val="18"/>
                <w:szCs w:val="18"/>
              </w:rPr>
              <w:tab/>
            </w:r>
            <w:r w:rsidR="00EA3764" w:rsidRPr="0081709B">
              <w:rPr>
                <w:sz w:val="18"/>
                <w:szCs w:val="18"/>
              </w:rPr>
              <w:tab/>
            </w:r>
            <w:r w:rsidR="00330C58" w:rsidRPr="0081709B">
              <w:rPr>
                <w:sz w:val="18"/>
                <w:szCs w:val="18"/>
              </w:rPr>
              <w:tab/>
            </w:r>
            <w:r w:rsidR="00EA3764" w:rsidRPr="0081709B">
              <w:rPr>
                <w:sz w:val="18"/>
                <w:szCs w:val="18"/>
              </w:rPr>
              <w:t>Services Australia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D0FB" w14:textId="77777777" w:rsidR="00EA3764" w:rsidRDefault="00EA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22DF" w14:textId="77777777" w:rsidR="00C97E64" w:rsidRDefault="00C97E64" w:rsidP="00B13D76">
      <w:r>
        <w:separator/>
      </w:r>
    </w:p>
  </w:footnote>
  <w:footnote w:type="continuationSeparator" w:id="0">
    <w:p w14:paraId="76D45D10" w14:textId="77777777" w:rsidR="00C97E64" w:rsidRDefault="00C97E64" w:rsidP="00B1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DD5" w14:textId="77777777" w:rsidR="00EA3764" w:rsidRDefault="00EA3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727A" w14:textId="4E77DC54" w:rsidR="00C81EA8" w:rsidRDefault="14E21F87" w:rsidP="00C81EA8">
    <w:pPr>
      <w:pStyle w:val="Header"/>
      <w:jc w:val="right"/>
    </w:pPr>
    <w:r>
      <w:t>Centrepay advocate FAQs   Nov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306F" w14:textId="47926428" w:rsidR="00F24922" w:rsidRDefault="005C0618" w:rsidP="008D6987">
    <w:pPr>
      <w:pStyle w:val="Header"/>
    </w:pPr>
    <w:r>
      <w:rPr>
        <w:noProof/>
      </w:rPr>
      <w:drawing>
        <wp:inline distT="0" distB="0" distL="0" distR="0" wp14:anchorId="5619373C" wp14:editId="2068D76F">
          <wp:extent cx="2236484" cy="610716"/>
          <wp:effectExtent l="0" t="0" r="0" b="0"/>
          <wp:docPr id="1497403260"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0"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4D86" w14:textId="0EE9141C" w:rsidR="005C0618" w:rsidRDefault="005C0618" w:rsidP="006F5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B2"/>
    <w:multiLevelType w:val="hybridMultilevel"/>
    <w:tmpl w:val="9252B9CE"/>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1" w15:restartNumberingAfterBreak="0">
    <w:nsid w:val="06E81D78"/>
    <w:multiLevelType w:val="hybridMultilevel"/>
    <w:tmpl w:val="F49CC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F1DF6"/>
    <w:multiLevelType w:val="hybridMultilevel"/>
    <w:tmpl w:val="1ABCEE60"/>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3" w15:restartNumberingAfterBreak="0">
    <w:nsid w:val="09635C53"/>
    <w:multiLevelType w:val="multilevel"/>
    <w:tmpl w:val="44D6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A223B"/>
    <w:multiLevelType w:val="hybridMultilevel"/>
    <w:tmpl w:val="E662E94C"/>
    <w:lvl w:ilvl="0" w:tplc="9B243EBE">
      <w:start w:val="1"/>
      <w:numFmt w:val="decimal"/>
      <w:lvlText w:val="%1."/>
      <w:lvlJc w:val="left"/>
      <w:pPr>
        <w:ind w:left="1020" w:hanging="360"/>
      </w:pPr>
    </w:lvl>
    <w:lvl w:ilvl="1" w:tplc="91F83B4C">
      <w:start w:val="1"/>
      <w:numFmt w:val="decimal"/>
      <w:lvlText w:val="%2."/>
      <w:lvlJc w:val="left"/>
      <w:pPr>
        <w:ind w:left="1020" w:hanging="360"/>
      </w:pPr>
    </w:lvl>
    <w:lvl w:ilvl="2" w:tplc="4022A2FC">
      <w:start w:val="1"/>
      <w:numFmt w:val="decimal"/>
      <w:lvlText w:val="%3."/>
      <w:lvlJc w:val="left"/>
      <w:pPr>
        <w:ind w:left="1020" w:hanging="360"/>
      </w:pPr>
    </w:lvl>
    <w:lvl w:ilvl="3" w:tplc="4BB8412E">
      <w:start w:val="1"/>
      <w:numFmt w:val="decimal"/>
      <w:lvlText w:val="%4."/>
      <w:lvlJc w:val="left"/>
      <w:pPr>
        <w:ind w:left="1020" w:hanging="360"/>
      </w:pPr>
    </w:lvl>
    <w:lvl w:ilvl="4" w:tplc="FB2EDFD6">
      <w:start w:val="1"/>
      <w:numFmt w:val="decimal"/>
      <w:lvlText w:val="%5."/>
      <w:lvlJc w:val="left"/>
      <w:pPr>
        <w:ind w:left="1020" w:hanging="360"/>
      </w:pPr>
    </w:lvl>
    <w:lvl w:ilvl="5" w:tplc="9FA4BFE2">
      <w:start w:val="1"/>
      <w:numFmt w:val="decimal"/>
      <w:lvlText w:val="%6."/>
      <w:lvlJc w:val="left"/>
      <w:pPr>
        <w:ind w:left="1020" w:hanging="360"/>
      </w:pPr>
    </w:lvl>
    <w:lvl w:ilvl="6" w:tplc="D7B60BB6">
      <w:start w:val="1"/>
      <w:numFmt w:val="decimal"/>
      <w:lvlText w:val="%7."/>
      <w:lvlJc w:val="left"/>
      <w:pPr>
        <w:ind w:left="1020" w:hanging="360"/>
      </w:pPr>
    </w:lvl>
    <w:lvl w:ilvl="7" w:tplc="ACDC0492">
      <w:start w:val="1"/>
      <w:numFmt w:val="decimal"/>
      <w:lvlText w:val="%8."/>
      <w:lvlJc w:val="left"/>
      <w:pPr>
        <w:ind w:left="1020" w:hanging="360"/>
      </w:pPr>
    </w:lvl>
    <w:lvl w:ilvl="8" w:tplc="92F0993A">
      <w:start w:val="1"/>
      <w:numFmt w:val="decimal"/>
      <w:lvlText w:val="%9."/>
      <w:lvlJc w:val="left"/>
      <w:pPr>
        <w:ind w:left="1020" w:hanging="360"/>
      </w:pPr>
    </w:lvl>
  </w:abstractNum>
  <w:abstractNum w:abstractNumId="5" w15:restartNumberingAfterBreak="0">
    <w:nsid w:val="10DD307F"/>
    <w:multiLevelType w:val="hybridMultilevel"/>
    <w:tmpl w:val="43B4B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6322E"/>
    <w:multiLevelType w:val="hybridMultilevel"/>
    <w:tmpl w:val="989036C4"/>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7" w15:restartNumberingAfterBreak="0">
    <w:nsid w:val="18B03F2E"/>
    <w:multiLevelType w:val="hybridMultilevel"/>
    <w:tmpl w:val="CCE859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54466F"/>
    <w:multiLevelType w:val="hybridMultilevel"/>
    <w:tmpl w:val="367A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C11B0"/>
    <w:multiLevelType w:val="hybridMultilevel"/>
    <w:tmpl w:val="79B8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482B18"/>
    <w:multiLevelType w:val="hybridMultilevel"/>
    <w:tmpl w:val="74822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F064D5"/>
    <w:multiLevelType w:val="hybridMultilevel"/>
    <w:tmpl w:val="07D6FF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1C0B77"/>
    <w:multiLevelType w:val="hybridMultilevel"/>
    <w:tmpl w:val="1278F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8F6975"/>
    <w:multiLevelType w:val="hybridMultilevel"/>
    <w:tmpl w:val="1146FF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C77506"/>
    <w:multiLevelType w:val="hybridMultilevel"/>
    <w:tmpl w:val="B4C68676"/>
    <w:lvl w:ilvl="0" w:tplc="6396D61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30427E"/>
    <w:multiLevelType w:val="hybridMultilevel"/>
    <w:tmpl w:val="4358E4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3C0E6F"/>
    <w:multiLevelType w:val="hybridMultilevel"/>
    <w:tmpl w:val="B19E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D4D681B"/>
    <w:multiLevelType w:val="hybridMultilevel"/>
    <w:tmpl w:val="43B25E0E"/>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F76547"/>
    <w:multiLevelType w:val="hybridMultilevel"/>
    <w:tmpl w:val="48F8CB9C"/>
    <w:lvl w:ilvl="0" w:tplc="A9C222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281267"/>
    <w:multiLevelType w:val="hybridMultilevel"/>
    <w:tmpl w:val="3B0EF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840A9"/>
    <w:multiLevelType w:val="hybridMultilevel"/>
    <w:tmpl w:val="B0E864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7AD0349"/>
    <w:multiLevelType w:val="hybridMultilevel"/>
    <w:tmpl w:val="E18EC72A"/>
    <w:lvl w:ilvl="0" w:tplc="6DBC30F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6A54B6"/>
    <w:multiLevelType w:val="hybridMultilevel"/>
    <w:tmpl w:val="068EF9D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4A641F12"/>
    <w:multiLevelType w:val="hybridMultilevel"/>
    <w:tmpl w:val="59DA7FE0"/>
    <w:lvl w:ilvl="0" w:tplc="0C090001">
      <w:start w:val="1"/>
      <w:numFmt w:val="bullet"/>
      <w:lvlText w:val=""/>
      <w:lvlJc w:val="left"/>
      <w:pPr>
        <w:ind w:left="1130" w:hanging="360"/>
      </w:pPr>
      <w:rPr>
        <w:rFonts w:ascii="Symbol" w:hAnsi="Symbol"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4" w15:restartNumberingAfterBreak="0">
    <w:nsid w:val="4A741AE0"/>
    <w:multiLevelType w:val="hybridMultilevel"/>
    <w:tmpl w:val="3B3CCB06"/>
    <w:lvl w:ilvl="0" w:tplc="185E231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3B3257"/>
    <w:multiLevelType w:val="hybridMultilevel"/>
    <w:tmpl w:val="239EEE1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594180"/>
    <w:multiLevelType w:val="hybridMultilevel"/>
    <w:tmpl w:val="318047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86318DA"/>
    <w:multiLevelType w:val="hybridMultilevel"/>
    <w:tmpl w:val="4F886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D4754B"/>
    <w:multiLevelType w:val="hybridMultilevel"/>
    <w:tmpl w:val="7980AEAE"/>
    <w:lvl w:ilvl="0" w:tplc="69DCB14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FA3D44"/>
    <w:multiLevelType w:val="hybridMultilevel"/>
    <w:tmpl w:val="55B6B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26464DE"/>
    <w:multiLevelType w:val="hybridMultilevel"/>
    <w:tmpl w:val="E3EC7B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3980811"/>
    <w:multiLevelType w:val="hybridMultilevel"/>
    <w:tmpl w:val="5718A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E21659"/>
    <w:multiLevelType w:val="hybridMultilevel"/>
    <w:tmpl w:val="F9920A0E"/>
    <w:lvl w:ilvl="0" w:tplc="325AFBF0">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622C6E"/>
    <w:multiLevelType w:val="hybridMultilevel"/>
    <w:tmpl w:val="5F7EF546"/>
    <w:lvl w:ilvl="0" w:tplc="2190017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02DE"/>
    <w:multiLevelType w:val="hybridMultilevel"/>
    <w:tmpl w:val="BE600DEA"/>
    <w:lvl w:ilvl="0" w:tplc="9DECD3D2">
      <w:start w:val="12"/>
      <w:numFmt w:val="decimal"/>
      <w:lvlText w:val="%1."/>
      <w:lvlJc w:val="left"/>
      <w:pPr>
        <w:ind w:left="878" w:hanging="51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D425A3"/>
    <w:multiLevelType w:val="hybridMultilevel"/>
    <w:tmpl w:val="375896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7793F43"/>
    <w:multiLevelType w:val="hybridMultilevel"/>
    <w:tmpl w:val="6B18D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F5758D"/>
    <w:multiLevelType w:val="hybridMultilevel"/>
    <w:tmpl w:val="6AEC7AB8"/>
    <w:lvl w:ilvl="0" w:tplc="42064C7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B73A43"/>
    <w:multiLevelType w:val="hybridMultilevel"/>
    <w:tmpl w:val="4D7876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A31EB6"/>
    <w:multiLevelType w:val="hybridMultilevel"/>
    <w:tmpl w:val="D37A81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321A9"/>
    <w:multiLevelType w:val="hybridMultilevel"/>
    <w:tmpl w:val="E2742852"/>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2727496">
    <w:abstractNumId w:val="26"/>
  </w:num>
  <w:num w:numId="2" w16cid:durableId="660154764">
    <w:abstractNumId w:val="5"/>
  </w:num>
  <w:num w:numId="3" w16cid:durableId="2035690251">
    <w:abstractNumId w:val="6"/>
  </w:num>
  <w:num w:numId="4" w16cid:durableId="1066302632">
    <w:abstractNumId w:val="0"/>
  </w:num>
  <w:num w:numId="5" w16cid:durableId="1042293765">
    <w:abstractNumId w:val="2"/>
  </w:num>
  <w:num w:numId="6" w16cid:durableId="1150291528">
    <w:abstractNumId w:val="33"/>
  </w:num>
  <w:num w:numId="7" w16cid:durableId="1613518064">
    <w:abstractNumId w:val="14"/>
  </w:num>
  <w:num w:numId="8" w16cid:durableId="1822379451">
    <w:abstractNumId w:val="28"/>
  </w:num>
  <w:num w:numId="9" w16cid:durableId="329677556">
    <w:abstractNumId w:val="21"/>
  </w:num>
  <w:num w:numId="10" w16cid:durableId="291131635">
    <w:abstractNumId w:val="17"/>
  </w:num>
  <w:num w:numId="11" w16cid:durableId="967008548">
    <w:abstractNumId w:val="27"/>
  </w:num>
  <w:num w:numId="12" w16cid:durableId="339043270">
    <w:abstractNumId w:val="29"/>
  </w:num>
  <w:num w:numId="13" w16cid:durableId="765347691">
    <w:abstractNumId w:val="13"/>
  </w:num>
  <w:num w:numId="14" w16cid:durableId="1021589264">
    <w:abstractNumId w:val="16"/>
  </w:num>
  <w:num w:numId="15" w16cid:durableId="1915361325">
    <w:abstractNumId w:val="15"/>
  </w:num>
  <w:num w:numId="16" w16cid:durableId="11297732">
    <w:abstractNumId w:val="8"/>
  </w:num>
  <w:num w:numId="17" w16cid:durableId="763305043">
    <w:abstractNumId w:val="20"/>
  </w:num>
  <w:num w:numId="18" w16cid:durableId="352221526">
    <w:abstractNumId w:val="10"/>
  </w:num>
  <w:num w:numId="19" w16cid:durableId="854806828">
    <w:abstractNumId w:val="24"/>
  </w:num>
  <w:num w:numId="20" w16cid:durableId="1943226743">
    <w:abstractNumId w:val="25"/>
  </w:num>
  <w:num w:numId="21" w16cid:durableId="1174030528">
    <w:abstractNumId w:val="12"/>
  </w:num>
  <w:num w:numId="22" w16cid:durableId="1049497362">
    <w:abstractNumId w:val="31"/>
  </w:num>
  <w:num w:numId="23" w16cid:durableId="1604804731">
    <w:abstractNumId w:val="38"/>
  </w:num>
  <w:num w:numId="24" w16cid:durableId="1125998580">
    <w:abstractNumId w:val="30"/>
  </w:num>
  <w:num w:numId="25" w16cid:durableId="214852078">
    <w:abstractNumId w:val="11"/>
  </w:num>
  <w:num w:numId="26" w16cid:durableId="139612251">
    <w:abstractNumId w:val="7"/>
  </w:num>
  <w:num w:numId="27" w16cid:durableId="1440678773">
    <w:abstractNumId w:val="22"/>
  </w:num>
  <w:num w:numId="28" w16cid:durableId="685591969">
    <w:abstractNumId w:val="34"/>
  </w:num>
  <w:num w:numId="29" w16cid:durableId="333148423">
    <w:abstractNumId w:val="40"/>
  </w:num>
  <w:num w:numId="30" w16cid:durableId="90780448">
    <w:abstractNumId w:val="39"/>
  </w:num>
  <w:num w:numId="31" w16cid:durableId="1491678029">
    <w:abstractNumId w:val="3"/>
  </w:num>
  <w:num w:numId="32" w16cid:durableId="1681547200">
    <w:abstractNumId w:val="1"/>
  </w:num>
  <w:num w:numId="33" w16cid:durableId="32314213">
    <w:abstractNumId w:val="19"/>
  </w:num>
  <w:num w:numId="34" w16cid:durableId="2031448255">
    <w:abstractNumId w:val="9"/>
  </w:num>
  <w:num w:numId="35" w16cid:durableId="321201176">
    <w:abstractNumId w:val="36"/>
  </w:num>
  <w:num w:numId="36" w16cid:durableId="413017883">
    <w:abstractNumId w:val="35"/>
  </w:num>
  <w:num w:numId="37" w16cid:durableId="901138444">
    <w:abstractNumId w:val="23"/>
  </w:num>
  <w:num w:numId="38" w16cid:durableId="793988250">
    <w:abstractNumId w:val="32"/>
  </w:num>
  <w:num w:numId="39" w16cid:durableId="1624572862">
    <w:abstractNumId w:val="18"/>
  </w:num>
  <w:num w:numId="40" w16cid:durableId="758991328">
    <w:abstractNumId w:val="24"/>
  </w:num>
  <w:num w:numId="41" w16cid:durableId="1759984984">
    <w:abstractNumId w:val="4"/>
  </w:num>
  <w:num w:numId="42" w16cid:durableId="21352457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CD"/>
    <w:rsid w:val="00004E1B"/>
    <w:rsid w:val="00005233"/>
    <w:rsid w:val="00032C8F"/>
    <w:rsid w:val="000337ED"/>
    <w:rsid w:val="0003428A"/>
    <w:rsid w:val="000343D6"/>
    <w:rsid w:val="00035686"/>
    <w:rsid w:val="00035E7A"/>
    <w:rsid w:val="00041761"/>
    <w:rsid w:val="000435C5"/>
    <w:rsid w:val="00044C6A"/>
    <w:rsid w:val="000530CF"/>
    <w:rsid w:val="000534E4"/>
    <w:rsid w:val="00063CCA"/>
    <w:rsid w:val="00071F76"/>
    <w:rsid w:val="00074985"/>
    <w:rsid w:val="0007628C"/>
    <w:rsid w:val="00081719"/>
    <w:rsid w:val="000869EE"/>
    <w:rsid w:val="000922D8"/>
    <w:rsid w:val="000935FE"/>
    <w:rsid w:val="00095BF0"/>
    <w:rsid w:val="00097057"/>
    <w:rsid w:val="000A0539"/>
    <w:rsid w:val="000A59BF"/>
    <w:rsid w:val="000A7D9E"/>
    <w:rsid w:val="000B2674"/>
    <w:rsid w:val="000C7838"/>
    <w:rsid w:val="000E05C2"/>
    <w:rsid w:val="000E0B2A"/>
    <w:rsid w:val="000E7E83"/>
    <w:rsid w:val="000F7F16"/>
    <w:rsid w:val="001020B9"/>
    <w:rsid w:val="00106F3A"/>
    <w:rsid w:val="00115074"/>
    <w:rsid w:val="00142581"/>
    <w:rsid w:val="001476D0"/>
    <w:rsid w:val="00156D9A"/>
    <w:rsid w:val="00157884"/>
    <w:rsid w:val="00160776"/>
    <w:rsid w:val="00161CBE"/>
    <w:rsid w:val="00165FAB"/>
    <w:rsid w:val="001739B7"/>
    <w:rsid w:val="00194A57"/>
    <w:rsid w:val="001B16D6"/>
    <w:rsid w:val="001B5AB2"/>
    <w:rsid w:val="001B629B"/>
    <w:rsid w:val="001C1AE2"/>
    <w:rsid w:val="001D1AFF"/>
    <w:rsid w:val="001D6AA6"/>
    <w:rsid w:val="001E0A62"/>
    <w:rsid w:val="001E17D8"/>
    <w:rsid w:val="001F0FF9"/>
    <w:rsid w:val="001F7217"/>
    <w:rsid w:val="00202E66"/>
    <w:rsid w:val="00205DFA"/>
    <w:rsid w:val="00210EDE"/>
    <w:rsid w:val="0022339A"/>
    <w:rsid w:val="002233A3"/>
    <w:rsid w:val="00225587"/>
    <w:rsid w:val="002271F3"/>
    <w:rsid w:val="002335E1"/>
    <w:rsid w:val="002557C5"/>
    <w:rsid w:val="002567C1"/>
    <w:rsid w:val="00256C6B"/>
    <w:rsid w:val="002627FA"/>
    <w:rsid w:val="00262EA5"/>
    <w:rsid w:val="00263E67"/>
    <w:rsid w:val="00267D54"/>
    <w:rsid w:val="00273199"/>
    <w:rsid w:val="00276DD3"/>
    <w:rsid w:val="002779BD"/>
    <w:rsid w:val="00292B07"/>
    <w:rsid w:val="002A47EF"/>
    <w:rsid w:val="002A70EB"/>
    <w:rsid w:val="002C20D3"/>
    <w:rsid w:val="002C3963"/>
    <w:rsid w:val="002D0BC3"/>
    <w:rsid w:val="002D3148"/>
    <w:rsid w:val="002D5E17"/>
    <w:rsid w:val="002E16C1"/>
    <w:rsid w:val="003008D7"/>
    <w:rsid w:val="00304F0C"/>
    <w:rsid w:val="0031467D"/>
    <w:rsid w:val="00330C58"/>
    <w:rsid w:val="00334E6F"/>
    <w:rsid w:val="0033519C"/>
    <w:rsid w:val="003403F8"/>
    <w:rsid w:val="00351AB7"/>
    <w:rsid w:val="00376A22"/>
    <w:rsid w:val="003835AF"/>
    <w:rsid w:val="00392050"/>
    <w:rsid w:val="00396779"/>
    <w:rsid w:val="003A6655"/>
    <w:rsid w:val="003A6AA5"/>
    <w:rsid w:val="003B25CD"/>
    <w:rsid w:val="003B5D05"/>
    <w:rsid w:val="003B62FE"/>
    <w:rsid w:val="003B792D"/>
    <w:rsid w:val="003B7E4D"/>
    <w:rsid w:val="003C2F1D"/>
    <w:rsid w:val="003C7654"/>
    <w:rsid w:val="003D76B7"/>
    <w:rsid w:val="003D79F8"/>
    <w:rsid w:val="003F0369"/>
    <w:rsid w:val="003F3485"/>
    <w:rsid w:val="003F608D"/>
    <w:rsid w:val="00410ADD"/>
    <w:rsid w:val="004151ED"/>
    <w:rsid w:val="0041520D"/>
    <w:rsid w:val="0042657F"/>
    <w:rsid w:val="00427402"/>
    <w:rsid w:val="00443108"/>
    <w:rsid w:val="00450751"/>
    <w:rsid w:val="00467BA5"/>
    <w:rsid w:val="00483C82"/>
    <w:rsid w:val="004842CE"/>
    <w:rsid w:val="00484889"/>
    <w:rsid w:val="00496460"/>
    <w:rsid w:val="00497E15"/>
    <w:rsid w:val="004A07C8"/>
    <w:rsid w:val="004B17EC"/>
    <w:rsid w:val="004B2FDC"/>
    <w:rsid w:val="004B5458"/>
    <w:rsid w:val="004B7B63"/>
    <w:rsid w:val="004C26A6"/>
    <w:rsid w:val="004D001F"/>
    <w:rsid w:val="004E29EF"/>
    <w:rsid w:val="004F4717"/>
    <w:rsid w:val="004F4728"/>
    <w:rsid w:val="004F59F7"/>
    <w:rsid w:val="005121D7"/>
    <w:rsid w:val="00516809"/>
    <w:rsid w:val="00524423"/>
    <w:rsid w:val="005244E0"/>
    <w:rsid w:val="00530D49"/>
    <w:rsid w:val="0053128E"/>
    <w:rsid w:val="00532664"/>
    <w:rsid w:val="00534D85"/>
    <w:rsid w:val="00537948"/>
    <w:rsid w:val="00541ACD"/>
    <w:rsid w:val="00542376"/>
    <w:rsid w:val="00553123"/>
    <w:rsid w:val="00554687"/>
    <w:rsid w:val="00561417"/>
    <w:rsid w:val="00562DC5"/>
    <w:rsid w:val="005633AE"/>
    <w:rsid w:val="005744EF"/>
    <w:rsid w:val="005820FF"/>
    <w:rsid w:val="00585ED1"/>
    <w:rsid w:val="005901A5"/>
    <w:rsid w:val="00591BCA"/>
    <w:rsid w:val="005A338F"/>
    <w:rsid w:val="005A487F"/>
    <w:rsid w:val="005A7F27"/>
    <w:rsid w:val="005B0896"/>
    <w:rsid w:val="005B58F1"/>
    <w:rsid w:val="005B59CC"/>
    <w:rsid w:val="005B655A"/>
    <w:rsid w:val="005C0618"/>
    <w:rsid w:val="005C642B"/>
    <w:rsid w:val="005D178D"/>
    <w:rsid w:val="005E32BF"/>
    <w:rsid w:val="005F6DF4"/>
    <w:rsid w:val="00607674"/>
    <w:rsid w:val="006132A6"/>
    <w:rsid w:val="0062095B"/>
    <w:rsid w:val="00623ACE"/>
    <w:rsid w:val="00625A2D"/>
    <w:rsid w:val="0062627F"/>
    <w:rsid w:val="00634D6E"/>
    <w:rsid w:val="00640E18"/>
    <w:rsid w:val="00642B60"/>
    <w:rsid w:val="00646501"/>
    <w:rsid w:val="006535F7"/>
    <w:rsid w:val="00654709"/>
    <w:rsid w:val="00661D10"/>
    <w:rsid w:val="006634DA"/>
    <w:rsid w:val="00664AC0"/>
    <w:rsid w:val="00665311"/>
    <w:rsid w:val="00672395"/>
    <w:rsid w:val="00672F3B"/>
    <w:rsid w:val="00675D36"/>
    <w:rsid w:val="00685D14"/>
    <w:rsid w:val="00686CBB"/>
    <w:rsid w:val="006A5E82"/>
    <w:rsid w:val="006B13DF"/>
    <w:rsid w:val="006B22B8"/>
    <w:rsid w:val="006B623D"/>
    <w:rsid w:val="006C0FF1"/>
    <w:rsid w:val="006C1BE1"/>
    <w:rsid w:val="006C1BE4"/>
    <w:rsid w:val="006C2B08"/>
    <w:rsid w:val="006C6EC0"/>
    <w:rsid w:val="006D1155"/>
    <w:rsid w:val="006D43DB"/>
    <w:rsid w:val="006D5396"/>
    <w:rsid w:val="006E37BE"/>
    <w:rsid w:val="006F5F23"/>
    <w:rsid w:val="006F6B94"/>
    <w:rsid w:val="007003D0"/>
    <w:rsid w:val="00701B57"/>
    <w:rsid w:val="00705220"/>
    <w:rsid w:val="00713A98"/>
    <w:rsid w:val="00715301"/>
    <w:rsid w:val="007211C9"/>
    <w:rsid w:val="00722838"/>
    <w:rsid w:val="0073136C"/>
    <w:rsid w:val="00734826"/>
    <w:rsid w:val="0073654E"/>
    <w:rsid w:val="0074137A"/>
    <w:rsid w:val="00742BFE"/>
    <w:rsid w:val="007519A2"/>
    <w:rsid w:val="00763D61"/>
    <w:rsid w:val="00764952"/>
    <w:rsid w:val="00764DAD"/>
    <w:rsid w:val="00786C48"/>
    <w:rsid w:val="00794755"/>
    <w:rsid w:val="007A0928"/>
    <w:rsid w:val="007A6C05"/>
    <w:rsid w:val="007B2905"/>
    <w:rsid w:val="007B786E"/>
    <w:rsid w:val="007D6333"/>
    <w:rsid w:val="007D7833"/>
    <w:rsid w:val="007E01F9"/>
    <w:rsid w:val="007F0D86"/>
    <w:rsid w:val="007F2625"/>
    <w:rsid w:val="00802B8E"/>
    <w:rsid w:val="00802D2A"/>
    <w:rsid w:val="0080339F"/>
    <w:rsid w:val="00806A5F"/>
    <w:rsid w:val="00816F58"/>
    <w:rsid w:val="0081709B"/>
    <w:rsid w:val="00820A9B"/>
    <w:rsid w:val="00823662"/>
    <w:rsid w:val="00824C2B"/>
    <w:rsid w:val="00834900"/>
    <w:rsid w:val="00835EC6"/>
    <w:rsid w:val="0083703A"/>
    <w:rsid w:val="008370D1"/>
    <w:rsid w:val="008516F2"/>
    <w:rsid w:val="008526BB"/>
    <w:rsid w:val="0085756D"/>
    <w:rsid w:val="00862DDE"/>
    <w:rsid w:val="00865B3C"/>
    <w:rsid w:val="00872957"/>
    <w:rsid w:val="00874826"/>
    <w:rsid w:val="0088259B"/>
    <w:rsid w:val="0088357F"/>
    <w:rsid w:val="00885751"/>
    <w:rsid w:val="00894076"/>
    <w:rsid w:val="008B1B92"/>
    <w:rsid w:val="008B2963"/>
    <w:rsid w:val="008B3E93"/>
    <w:rsid w:val="008C2EB3"/>
    <w:rsid w:val="008D5297"/>
    <w:rsid w:val="008D5A45"/>
    <w:rsid w:val="008D6987"/>
    <w:rsid w:val="008D7EDC"/>
    <w:rsid w:val="008E0535"/>
    <w:rsid w:val="008F0922"/>
    <w:rsid w:val="008F5E92"/>
    <w:rsid w:val="009074C3"/>
    <w:rsid w:val="00916954"/>
    <w:rsid w:val="00923019"/>
    <w:rsid w:val="00934D3C"/>
    <w:rsid w:val="009366A8"/>
    <w:rsid w:val="00943AA5"/>
    <w:rsid w:val="00955F02"/>
    <w:rsid w:val="00960E49"/>
    <w:rsid w:val="009712E0"/>
    <w:rsid w:val="00971B3A"/>
    <w:rsid w:val="00983F68"/>
    <w:rsid w:val="00990DB8"/>
    <w:rsid w:val="009938FC"/>
    <w:rsid w:val="009A2228"/>
    <w:rsid w:val="009A526A"/>
    <w:rsid w:val="009A6DD1"/>
    <w:rsid w:val="009B571B"/>
    <w:rsid w:val="009C09FE"/>
    <w:rsid w:val="009C1EB7"/>
    <w:rsid w:val="009C5E2D"/>
    <w:rsid w:val="009D113C"/>
    <w:rsid w:val="009E1FD5"/>
    <w:rsid w:val="009E57B0"/>
    <w:rsid w:val="009F094D"/>
    <w:rsid w:val="009F2E33"/>
    <w:rsid w:val="009F7EE0"/>
    <w:rsid w:val="00A07E40"/>
    <w:rsid w:val="00A12080"/>
    <w:rsid w:val="00A120C7"/>
    <w:rsid w:val="00A13D76"/>
    <w:rsid w:val="00A14C92"/>
    <w:rsid w:val="00A20FAA"/>
    <w:rsid w:val="00A226F5"/>
    <w:rsid w:val="00A23EFA"/>
    <w:rsid w:val="00A30F38"/>
    <w:rsid w:val="00A36E22"/>
    <w:rsid w:val="00A47B74"/>
    <w:rsid w:val="00A50C0C"/>
    <w:rsid w:val="00A7349B"/>
    <w:rsid w:val="00A83E9E"/>
    <w:rsid w:val="00A850F3"/>
    <w:rsid w:val="00A924EF"/>
    <w:rsid w:val="00A94697"/>
    <w:rsid w:val="00A97A40"/>
    <w:rsid w:val="00AB301C"/>
    <w:rsid w:val="00AB7FC6"/>
    <w:rsid w:val="00AC0817"/>
    <w:rsid w:val="00AC5E78"/>
    <w:rsid w:val="00AC5EDD"/>
    <w:rsid w:val="00AC7945"/>
    <w:rsid w:val="00AD2FD2"/>
    <w:rsid w:val="00AE23D2"/>
    <w:rsid w:val="00AE304D"/>
    <w:rsid w:val="00AE6BA6"/>
    <w:rsid w:val="00AE7719"/>
    <w:rsid w:val="00AF309D"/>
    <w:rsid w:val="00B05B93"/>
    <w:rsid w:val="00B06A68"/>
    <w:rsid w:val="00B12316"/>
    <w:rsid w:val="00B13D76"/>
    <w:rsid w:val="00B14FFC"/>
    <w:rsid w:val="00B23A84"/>
    <w:rsid w:val="00B2688F"/>
    <w:rsid w:val="00B27EE0"/>
    <w:rsid w:val="00B31AFE"/>
    <w:rsid w:val="00B33E81"/>
    <w:rsid w:val="00B3459F"/>
    <w:rsid w:val="00B34D11"/>
    <w:rsid w:val="00B34F42"/>
    <w:rsid w:val="00B56665"/>
    <w:rsid w:val="00B629D6"/>
    <w:rsid w:val="00B751CB"/>
    <w:rsid w:val="00B765EB"/>
    <w:rsid w:val="00B8249C"/>
    <w:rsid w:val="00B87845"/>
    <w:rsid w:val="00BA116B"/>
    <w:rsid w:val="00BB7815"/>
    <w:rsid w:val="00BC1901"/>
    <w:rsid w:val="00BC1C7F"/>
    <w:rsid w:val="00BD1CFD"/>
    <w:rsid w:val="00BD3318"/>
    <w:rsid w:val="00BE5472"/>
    <w:rsid w:val="00BE5DD9"/>
    <w:rsid w:val="00C04A18"/>
    <w:rsid w:val="00C15DD4"/>
    <w:rsid w:val="00C1638E"/>
    <w:rsid w:val="00C201EA"/>
    <w:rsid w:val="00C25170"/>
    <w:rsid w:val="00C404AF"/>
    <w:rsid w:val="00C45C6E"/>
    <w:rsid w:val="00C52790"/>
    <w:rsid w:val="00C5343A"/>
    <w:rsid w:val="00C560E2"/>
    <w:rsid w:val="00C61380"/>
    <w:rsid w:val="00C72BAA"/>
    <w:rsid w:val="00C81EA8"/>
    <w:rsid w:val="00C86064"/>
    <w:rsid w:val="00C8670C"/>
    <w:rsid w:val="00C91558"/>
    <w:rsid w:val="00C97E64"/>
    <w:rsid w:val="00CA1425"/>
    <w:rsid w:val="00CB505F"/>
    <w:rsid w:val="00CB5F80"/>
    <w:rsid w:val="00CE5968"/>
    <w:rsid w:val="00CF7EA7"/>
    <w:rsid w:val="00D01273"/>
    <w:rsid w:val="00D0690B"/>
    <w:rsid w:val="00D14288"/>
    <w:rsid w:val="00D2055C"/>
    <w:rsid w:val="00D24C39"/>
    <w:rsid w:val="00D25772"/>
    <w:rsid w:val="00D30BC2"/>
    <w:rsid w:val="00D425E4"/>
    <w:rsid w:val="00D452E7"/>
    <w:rsid w:val="00D51CF4"/>
    <w:rsid w:val="00D52960"/>
    <w:rsid w:val="00D653E3"/>
    <w:rsid w:val="00D66012"/>
    <w:rsid w:val="00D700A6"/>
    <w:rsid w:val="00D701BA"/>
    <w:rsid w:val="00D77CA4"/>
    <w:rsid w:val="00D80AE8"/>
    <w:rsid w:val="00D81E77"/>
    <w:rsid w:val="00D9462D"/>
    <w:rsid w:val="00D9523A"/>
    <w:rsid w:val="00DA1F0B"/>
    <w:rsid w:val="00DB479F"/>
    <w:rsid w:val="00DB7388"/>
    <w:rsid w:val="00DD045C"/>
    <w:rsid w:val="00DD0B98"/>
    <w:rsid w:val="00DD1CCD"/>
    <w:rsid w:val="00DD4957"/>
    <w:rsid w:val="00DD6848"/>
    <w:rsid w:val="00DF14EE"/>
    <w:rsid w:val="00DF1A03"/>
    <w:rsid w:val="00DF3DEA"/>
    <w:rsid w:val="00E018E2"/>
    <w:rsid w:val="00E05CB0"/>
    <w:rsid w:val="00E13B7D"/>
    <w:rsid w:val="00E14B24"/>
    <w:rsid w:val="00E15070"/>
    <w:rsid w:val="00E1585F"/>
    <w:rsid w:val="00E20730"/>
    <w:rsid w:val="00E2289A"/>
    <w:rsid w:val="00E25CF4"/>
    <w:rsid w:val="00E315A1"/>
    <w:rsid w:val="00E41C08"/>
    <w:rsid w:val="00E41D70"/>
    <w:rsid w:val="00E4470C"/>
    <w:rsid w:val="00E46F7A"/>
    <w:rsid w:val="00E5073C"/>
    <w:rsid w:val="00E64157"/>
    <w:rsid w:val="00E802BC"/>
    <w:rsid w:val="00E81083"/>
    <w:rsid w:val="00E83E16"/>
    <w:rsid w:val="00E844E0"/>
    <w:rsid w:val="00EA3764"/>
    <w:rsid w:val="00EA4EB8"/>
    <w:rsid w:val="00EC15B4"/>
    <w:rsid w:val="00EC7AA1"/>
    <w:rsid w:val="00ED1956"/>
    <w:rsid w:val="00EE0ACD"/>
    <w:rsid w:val="00EE2D7F"/>
    <w:rsid w:val="00EE66B0"/>
    <w:rsid w:val="00EE7007"/>
    <w:rsid w:val="00EF0553"/>
    <w:rsid w:val="00EF1F6A"/>
    <w:rsid w:val="00EF2D60"/>
    <w:rsid w:val="00F019C2"/>
    <w:rsid w:val="00F0313A"/>
    <w:rsid w:val="00F03E3C"/>
    <w:rsid w:val="00F064BD"/>
    <w:rsid w:val="00F07669"/>
    <w:rsid w:val="00F11098"/>
    <w:rsid w:val="00F24922"/>
    <w:rsid w:val="00F27785"/>
    <w:rsid w:val="00F32F72"/>
    <w:rsid w:val="00F33B14"/>
    <w:rsid w:val="00F367FF"/>
    <w:rsid w:val="00F40F6B"/>
    <w:rsid w:val="00F46DD5"/>
    <w:rsid w:val="00F5010A"/>
    <w:rsid w:val="00F54CBD"/>
    <w:rsid w:val="00F55B94"/>
    <w:rsid w:val="00F56014"/>
    <w:rsid w:val="00F605C8"/>
    <w:rsid w:val="00F654AD"/>
    <w:rsid w:val="00F70626"/>
    <w:rsid w:val="00F7254F"/>
    <w:rsid w:val="00F8528C"/>
    <w:rsid w:val="00F85CCE"/>
    <w:rsid w:val="00F878E3"/>
    <w:rsid w:val="00F947D4"/>
    <w:rsid w:val="00FA45F7"/>
    <w:rsid w:val="00FA51B3"/>
    <w:rsid w:val="00FC051A"/>
    <w:rsid w:val="00FC3CEE"/>
    <w:rsid w:val="00FC54E1"/>
    <w:rsid w:val="00FD1C45"/>
    <w:rsid w:val="00FD281B"/>
    <w:rsid w:val="00FE2A15"/>
    <w:rsid w:val="00FE55B8"/>
    <w:rsid w:val="00FF0AE9"/>
    <w:rsid w:val="00FF1475"/>
    <w:rsid w:val="00FF55FA"/>
    <w:rsid w:val="00FF6C45"/>
    <w:rsid w:val="14E21F87"/>
    <w:rsid w:val="16BDF783"/>
    <w:rsid w:val="229F3478"/>
    <w:rsid w:val="3939E91F"/>
    <w:rsid w:val="3CD3A45A"/>
    <w:rsid w:val="44142D5F"/>
    <w:rsid w:val="68FE5848"/>
    <w:rsid w:val="7ECFA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4928"/>
  <w15:chartTrackingRefBased/>
  <w15:docId w15:val="{29C55379-54E5-43B2-B688-0FCC2BC6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33"/>
    <w:pPr>
      <w:spacing w:before="80" w:after="80" w:line="240" w:lineRule="auto"/>
    </w:pPr>
    <w:rPr>
      <w:rFonts w:ascii="Aptos" w:hAnsi="Aptos"/>
    </w:rPr>
  </w:style>
  <w:style w:type="paragraph" w:styleId="Heading1">
    <w:name w:val="heading 1"/>
    <w:basedOn w:val="Normal"/>
    <w:next w:val="Normal"/>
    <w:link w:val="Heading1Char"/>
    <w:autoRedefine/>
    <w:uiPriority w:val="9"/>
    <w:qFormat/>
    <w:rsid w:val="008526BB"/>
    <w:pPr>
      <w:keepNext/>
      <w:keepLines/>
      <w:outlineLvl w:val="0"/>
    </w:pPr>
    <w:rPr>
      <w:rFonts w:asciiTheme="majorHAnsi" w:eastAsiaTheme="majorEastAsia" w:hAnsiTheme="majorHAnsi" w:cstheme="majorBidi"/>
      <w:b/>
      <w:bCs/>
      <w:color w:val="0D0D0D" w:themeColor="text1" w:themeTint="F2"/>
      <w:sz w:val="36"/>
      <w:szCs w:val="36"/>
    </w:rPr>
  </w:style>
  <w:style w:type="paragraph" w:styleId="Heading2">
    <w:name w:val="heading 2"/>
    <w:basedOn w:val="Normal"/>
    <w:next w:val="Normal"/>
    <w:link w:val="Heading2Char"/>
    <w:autoRedefine/>
    <w:uiPriority w:val="9"/>
    <w:unhideWhenUsed/>
    <w:qFormat/>
    <w:rsid w:val="00516809"/>
    <w:pPr>
      <w:keepNext/>
      <w:keepLines/>
      <w:numPr>
        <w:numId w:val="38"/>
      </w:numPr>
      <w:spacing w:before="240" w:after="120"/>
      <w:ind w:left="426" w:hanging="426"/>
      <w:outlineLvl w:val="1"/>
    </w:pPr>
    <w:rPr>
      <w:rFonts w:asciiTheme="majorHAnsi" w:eastAsiaTheme="majorEastAsia" w:hAnsiTheme="majorHAnsi" w:cstheme="majorBidi"/>
      <w:b/>
      <w:color w:val="3B3838" w:themeColor="background2" w:themeShade="40"/>
      <w:sz w:val="28"/>
      <w:szCs w:val="32"/>
    </w:rPr>
  </w:style>
  <w:style w:type="paragraph" w:styleId="Heading3">
    <w:name w:val="heading 3"/>
    <w:basedOn w:val="Normal"/>
    <w:next w:val="Normal"/>
    <w:link w:val="Heading3Char"/>
    <w:autoRedefine/>
    <w:uiPriority w:val="9"/>
    <w:unhideWhenUsed/>
    <w:qFormat/>
    <w:rsid w:val="008B3E93"/>
    <w:pPr>
      <w:keepNext/>
      <w:keepLines/>
      <w:spacing w:before="240" w:after="120"/>
      <w:outlineLvl w:val="2"/>
    </w:pPr>
    <w:rPr>
      <w:rFonts w:eastAsiaTheme="minorEastAsia" w:cstheme="majorBidi"/>
      <w:b/>
      <w:color w:val="171717" w:themeColor="background2" w:themeShade="1A"/>
      <w:sz w:val="28"/>
      <w:szCs w:val="28"/>
    </w:rPr>
  </w:style>
  <w:style w:type="paragraph" w:styleId="Heading4">
    <w:name w:val="heading 4"/>
    <w:basedOn w:val="Normal"/>
    <w:next w:val="Normal"/>
    <w:link w:val="Heading4Char"/>
    <w:autoRedefine/>
    <w:uiPriority w:val="9"/>
    <w:unhideWhenUsed/>
    <w:qFormat/>
    <w:rsid w:val="008B3E93"/>
    <w:pPr>
      <w:keepNext/>
      <w:keepLines/>
      <w:spacing w:after="40"/>
      <w:outlineLvl w:val="3"/>
    </w:pPr>
    <w:rPr>
      <w:rFonts w:eastAsiaTheme="majorEastAsia" w:cstheme="majorBidi"/>
      <w:b/>
      <w:iCs/>
      <w:color w:val="171717" w:themeColor="background2" w:themeShade="1A"/>
      <w:szCs w:val="20"/>
    </w:rPr>
  </w:style>
  <w:style w:type="paragraph" w:styleId="Heading5">
    <w:name w:val="heading 5"/>
    <w:basedOn w:val="Normal"/>
    <w:next w:val="Normal"/>
    <w:link w:val="Heading5Char"/>
    <w:uiPriority w:val="9"/>
    <w:semiHidden/>
    <w:unhideWhenUsed/>
    <w:qFormat/>
    <w:rsid w:val="003B25CD"/>
    <w:pPr>
      <w:keepNext/>
      <w:keepLines/>
      <w:spacing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B2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BB"/>
    <w:rPr>
      <w:rFonts w:asciiTheme="majorHAnsi" w:eastAsiaTheme="majorEastAsia" w:hAnsiTheme="majorHAnsi" w:cstheme="majorBidi"/>
      <w:b/>
      <w:bCs/>
      <w:color w:val="0D0D0D" w:themeColor="text1" w:themeTint="F2"/>
      <w:sz w:val="36"/>
      <w:szCs w:val="36"/>
    </w:rPr>
  </w:style>
  <w:style w:type="character" w:customStyle="1" w:styleId="Heading2Char">
    <w:name w:val="Heading 2 Char"/>
    <w:basedOn w:val="DefaultParagraphFont"/>
    <w:link w:val="Heading2"/>
    <w:uiPriority w:val="9"/>
    <w:rsid w:val="00516809"/>
    <w:rPr>
      <w:rFonts w:asciiTheme="majorHAnsi" w:eastAsiaTheme="majorEastAsia" w:hAnsiTheme="majorHAnsi" w:cstheme="majorBidi"/>
      <w:b/>
      <w:color w:val="3B3838" w:themeColor="background2" w:themeShade="40"/>
      <w:sz w:val="28"/>
      <w:szCs w:val="32"/>
    </w:rPr>
  </w:style>
  <w:style w:type="character" w:customStyle="1" w:styleId="Heading3Char">
    <w:name w:val="Heading 3 Char"/>
    <w:basedOn w:val="DefaultParagraphFont"/>
    <w:link w:val="Heading3"/>
    <w:uiPriority w:val="9"/>
    <w:rsid w:val="008B3E93"/>
    <w:rPr>
      <w:rFonts w:ascii="Aptos" w:eastAsiaTheme="minorEastAsia" w:hAnsi="Aptos" w:cstheme="majorBidi"/>
      <w:b/>
      <w:color w:val="171717" w:themeColor="background2" w:themeShade="1A"/>
      <w:sz w:val="28"/>
      <w:szCs w:val="28"/>
    </w:rPr>
  </w:style>
  <w:style w:type="character" w:customStyle="1" w:styleId="Heading4Char">
    <w:name w:val="Heading 4 Char"/>
    <w:basedOn w:val="DefaultParagraphFont"/>
    <w:link w:val="Heading4"/>
    <w:uiPriority w:val="9"/>
    <w:rsid w:val="008B3E93"/>
    <w:rPr>
      <w:rFonts w:ascii="Aptos" w:eastAsiaTheme="majorEastAsia" w:hAnsi="Aptos" w:cstheme="majorBidi"/>
      <w:b/>
      <w:iCs/>
      <w:color w:val="171717" w:themeColor="background2" w:themeShade="1A"/>
      <w:szCs w:val="20"/>
    </w:rPr>
  </w:style>
  <w:style w:type="character" w:customStyle="1" w:styleId="Heading5Char">
    <w:name w:val="Heading 5 Char"/>
    <w:basedOn w:val="DefaultParagraphFont"/>
    <w:link w:val="Heading5"/>
    <w:uiPriority w:val="9"/>
    <w:semiHidden/>
    <w:rsid w:val="003B25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B2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5CD"/>
    <w:rPr>
      <w:rFonts w:eastAsiaTheme="majorEastAsia" w:cstheme="majorBidi"/>
      <w:color w:val="272727" w:themeColor="text1" w:themeTint="D8"/>
    </w:rPr>
  </w:style>
  <w:style w:type="paragraph" w:styleId="Title">
    <w:name w:val="Title"/>
    <w:basedOn w:val="Normal"/>
    <w:next w:val="Normal"/>
    <w:link w:val="TitleChar"/>
    <w:uiPriority w:val="10"/>
    <w:qFormat/>
    <w:rsid w:val="003B25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autoRedefine/>
    <w:uiPriority w:val="11"/>
    <w:qFormat/>
    <w:rsid w:val="009F2E33"/>
    <w:pPr>
      <w:numPr>
        <w:ilvl w:val="1"/>
      </w:numPr>
    </w:pPr>
    <w:rPr>
      <w:rFonts w:eastAsiaTheme="majorEastAsia" w:cstheme="majorBidi"/>
      <w:b/>
      <w:spacing w:val="15"/>
      <w:szCs w:val="28"/>
    </w:rPr>
  </w:style>
  <w:style w:type="character" w:customStyle="1" w:styleId="SubtitleChar">
    <w:name w:val="Subtitle Char"/>
    <w:basedOn w:val="DefaultParagraphFont"/>
    <w:link w:val="Subtitle"/>
    <w:uiPriority w:val="11"/>
    <w:rsid w:val="009F2E33"/>
    <w:rPr>
      <w:rFonts w:ascii="Aptos" w:eastAsiaTheme="majorEastAsia" w:hAnsi="Aptos" w:cstheme="majorBidi"/>
      <w:b/>
      <w:spacing w:val="15"/>
      <w:szCs w:val="28"/>
    </w:rPr>
  </w:style>
  <w:style w:type="paragraph" w:styleId="Quote">
    <w:name w:val="Quote"/>
    <w:basedOn w:val="Normal"/>
    <w:next w:val="Normal"/>
    <w:link w:val="QuoteChar"/>
    <w:uiPriority w:val="29"/>
    <w:qFormat/>
    <w:rsid w:val="003B25CD"/>
    <w:pPr>
      <w:spacing w:before="160"/>
      <w:jc w:val="center"/>
    </w:pPr>
    <w:rPr>
      <w:i/>
      <w:iCs/>
      <w:color w:val="404040" w:themeColor="text1" w:themeTint="BF"/>
    </w:rPr>
  </w:style>
  <w:style w:type="character" w:customStyle="1" w:styleId="QuoteChar">
    <w:name w:val="Quote Char"/>
    <w:basedOn w:val="DefaultParagraphFont"/>
    <w:link w:val="Quote"/>
    <w:uiPriority w:val="29"/>
    <w:rsid w:val="003B25CD"/>
    <w:rPr>
      <w:i/>
      <w:iCs/>
      <w:color w:val="404040" w:themeColor="text1" w:themeTint="BF"/>
    </w:rPr>
  </w:style>
  <w:style w:type="paragraph" w:styleId="ListParagraph">
    <w:name w:val="List Paragraph"/>
    <w:basedOn w:val="Normal"/>
    <w:autoRedefine/>
    <w:uiPriority w:val="34"/>
    <w:qFormat/>
    <w:rsid w:val="0062095B"/>
    <w:pPr>
      <w:numPr>
        <w:numId w:val="42"/>
      </w:numPr>
      <w:contextualSpacing/>
    </w:pPr>
  </w:style>
  <w:style w:type="character" w:styleId="IntenseEmphasis">
    <w:name w:val="Intense Emphasis"/>
    <w:basedOn w:val="DefaultParagraphFont"/>
    <w:uiPriority w:val="21"/>
    <w:qFormat/>
    <w:rsid w:val="003B25CD"/>
    <w:rPr>
      <w:i/>
      <w:iCs/>
      <w:color w:val="2E74B5" w:themeColor="accent1" w:themeShade="BF"/>
    </w:rPr>
  </w:style>
  <w:style w:type="paragraph" w:styleId="IntenseQuote">
    <w:name w:val="Intense Quote"/>
    <w:basedOn w:val="Normal"/>
    <w:next w:val="Normal"/>
    <w:link w:val="IntenseQuoteChar"/>
    <w:uiPriority w:val="30"/>
    <w:qFormat/>
    <w:rsid w:val="003B25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B25CD"/>
    <w:rPr>
      <w:i/>
      <w:iCs/>
      <w:color w:val="2E74B5" w:themeColor="accent1" w:themeShade="BF"/>
    </w:rPr>
  </w:style>
  <w:style w:type="character" w:styleId="IntenseReference">
    <w:name w:val="Intense Reference"/>
    <w:basedOn w:val="DefaultParagraphFont"/>
    <w:uiPriority w:val="32"/>
    <w:qFormat/>
    <w:rsid w:val="003B25CD"/>
    <w:rPr>
      <w:b/>
      <w:bCs/>
      <w:smallCaps/>
      <w:color w:val="2E74B5" w:themeColor="accent1" w:themeShade="BF"/>
      <w:spacing w:val="5"/>
    </w:rPr>
  </w:style>
  <w:style w:type="character" w:styleId="Hyperlink">
    <w:name w:val="Hyperlink"/>
    <w:basedOn w:val="DefaultParagraphFont"/>
    <w:uiPriority w:val="99"/>
    <w:unhideWhenUsed/>
    <w:rsid w:val="00AC0817"/>
    <w:rPr>
      <w:color w:val="0563C1" w:themeColor="hyperlink"/>
      <w:u w:val="single"/>
    </w:rPr>
  </w:style>
  <w:style w:type="paragraph" w:styleId="TOCHeading">
    <w:name w:val="TOC Heading"/>
    <w:basedOn w:val="Heading1"/>
    <w:next w:val="Normal"/>
    <w:uiPriority w:val="39"/>
    <w:unhideWhenUsed/>
    <w:qFormat/>
    <w:rsid w:val="00AC0817"/>
    <w:pPr>
      <w:spacing w:before="240" w:after="0"/>
      <w:outlineLvl w:val="9"/>
    </w:pPr>
    <w:rPr>
      <w:kern w:val="0"/>
      <w:sz w:val="32"/>
      <w:szCs w:val="32"/>
      <w:lang w:val="en-US" w:eastAsia="en-US"/>
      <w14:ligatures w14:val="none"/>
    </w:rPr>
  </w:style>
  <w:style w:type="paragraph" w:styleId="TOC2">
    <w:name w:val="toc 2"/>
    <w:basedOn w:val="Normal"/>
    <w:next w:val="Normal"/>
    <w:autoRedefine/>
    <w:uiPriority w:val="39"/>
    <w:unhideWhenUsed/>
    <w:rsid w:val="00AC0817"/>
    <w:pPr>
      <w:spacing w:after="100"/>
      <w:ind w:left="220"/>
    </w:pPr>
    <w:rPr>
      <w:lang w:eastAsia="en-US"/>
    </w:rPr>
  </w:style>
  <w:style w:type="paragraph" w:styleId="TOC3">
    <w:name w:val="toc 3"/>
    <w:basedOn w:val="Normal"/>
    <w:next w:val="Normal"/>
    <w:autoRedefine/>
    <w:uiPriority w:val="39"/>
    <w:unhideWhenUsed/>
    <w:rsid w:val="00AC0817"/>
    <w:pPr>
      <w:spacing w:after="100"/>
      <w:ind w:left="440"/>
    </w:pPr>
    <w:rPr>
      <w:lang w:eastAsia="en-US"/>
    </w:rPr>
  </w:style>
  <w:style w:type="paragraph" w:styleId="TOC1">
    <w:name w:val="toc 1"/>
    <w:basedOn w:val="Normal"/>
    <w:next w:val="Normal"/>
    <w:autoRedefine/>
    <w:uiPriority w:val="39"/>
    <w:unhideWhenUsed/>
    <w:rsid w:val="00AC0817"/>
    <w:pPr>
      <w:tabs>
        <w:tab w:val="right" w:leader="dot" w:pos="9736"/>
      </w:tabs>
      <w:spacing w:after="100"/>
    </w:pPr>
    <w:rPr>
      <w:rFonts w:ascii="Roboto" w:hAnsi="Roboto"/>
      <w:noProof/>
      <w:sz w:val="20"/>
      <w:szCs w:val="20"/>
      <w:lang w:eastAsia="en-US"/>
    </w:rPr>
  </w:style>
  <w:style w:type="character" w:styleId="CommentReference">
    <w:name w:val="annotation reference"/>
    <w:basedOn w:val="DefaultParagraphFont"/>
    <w:uiPriority w:val="99"/>
    <w:semiHidden/>
    <w:unhideWhenUsed/>
    <w:rsid w:val="00E1585F"/>
    <w:rPr>
      <w:sz w:val="16"/>
      <w:szCs w:val="16"/>
    </w:rPr>
  </w:style>
  <w:style w:type="paragraph" w:styleId="CommentText">
    <w:name w:val="annotation text"/>
    <w:basedOn w:val="Normal"/>
    <w:link w:val="CommentTextChar"/>
    <w:uiPriority w:val="99"/>
    <w:unhideWhenUsed/>
    <w:rsid w:val="00E1585F"/>
    <w:rPr>
      <w:sz w:val="20"/>
      <w:szCs w:val="20"/>
      <w:lang w:eastAsia="en-US"/>
    </w:rPr>
  </w:style>
  <w:style w:type="character" w:customStyle="1" w:styleId="CommentTextChar">
    <w:name w:val="Comment Text Char"/>
    <w:basedOn w:val="DefaultParagraphFont"/>
    <w:link w:val="CommentText"/>
    <w:uiPriority w:val="99"/>
    <w:rsid w:val="00E1585F"/>
    <w:rPr>
      <w:sz w:val="20"/>
      <w:szCs w:val="20"/>
      <w:lang w:eastAsia="en-US"/>
    </w:rPr>
  </w:style>
  <w:style w:type="paragraph" w:styleId="CommentSubject">
    <w:name w:val="annotation subject"/>
    <w:basedOn w:val="CommentText"/>
    <w:next w:val="CommentText"/>
    <w:link w:val="CommentSubjectChar"/>
    <w:uiPriority w:val="99"/>
    <w:semiHidden/>
    <w:unhideWhenUsed/>
    <w:rsid w:val="00B2688F"/>
    <w:rPr>
      <w:b/>
      <w:bCs/>
      <w:lang w:eastAsia="ko-KR"/>
    </w:rPr>
  </w:style>
  <w:style w:type="character" w:customStyle="1" w:styleId="CommentSubjectChar">
    <w:name w:val="Comment Subject Char"/>
    <w:basedOn w:val="CommentTextChar"/>
    <w:link w:val="CommentSubject"/>
    <w:uiPriority w:val="99"/>
    <w:semiHidden/>
    <w:rsid w:val="00B2688F"/>
    <w:rPr>
      <w:b/>
      <w:bCs/>
      <w:sz w:val="20"/>
      <w:szCs w:val="20"/>
      <w:lang w:eastAsia="en-US"/>
    </w:rPr>
  </w:style>
  <w:style w:type="paragraph" w:styleId="NoSpacing">
    <w:name w:val="No Spacing"/>
    <w:uiPriority w:val="1"/>
    <w:qFormat/>
    <w:rsid w:val="00B8249C"/>
    <w:pPr>
      <w:spacing w:after="0" w:line="240" w:lineRule="auto"/>
    </w:pPr>
  </w:style>
  <w:style w:type="table" w:styleId="TableGrid">
    <w:name w:val="Table Grid"/>
    <w:basedOn w:val="TableNormal"/>
    <w:uiPriority w:val="59"/>
    <w:rsid w:val="00A850F3"/>
    <w:pPr>
      <w:spacing w:after="0" w:line="240" w:lineRule="auto"/>
    </w:pPr>
    <w:rPr>
      <w:rFonts w:ascii="Tms Rmn" w:eastAsia="Times New Roman" w:hAnsi="Tms Rm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665"/>
    <w:rPr>
      <w:color w:val="605E5C"/>
      <w:shd w:val="clear" w:color="auto" w:fill="E1DFDD"/>
    </w:rPr>
  </w:style>
  <w:style w:type="paragraph" w:styleId="Revision">
    <w:name w:val="Revision"/>
    <w:hidden/>
    <w:uiPriority w:val="99"/>
    <w:semiHidden/>
    <w:rsid w:val="00DF14EE"/>
    <w:pPr>
      <w:spacing w:after="0" w:line="240" w:lineRule="auto"/>
    </w:pPr>
  </w:style>
  <w:style w:type="paragraph" w:styleId="Header">
    <w:name w:val="header"/>
    <w:basedOn w:val="Normal"/>
    <w:link w:val="HeaderChar"/>
    <w:uiPriority w:val="99"/>
    <w:unhideWhenUsed/>
    <w:rsid w:val="00EF0553"/>
    <w:pPr>
      <w:tabs>
        <w:tab w:val="center" w:pos="4513"/>
        <w:tab w:val="right" w:pos="9026"/>
      </w:tabs>
      <w:spacing w:after="0"/>
    </w:pPr>
  </w:style>
  <w:style w:type="character" w:customStyle="1" w:styleId="HeaderChar">
    <w:name w:val="Header Char"/>
    <w:basedOn w:val="DefaultParagraphFont"/>
    <w:link w:val="Header"/>
    <w:uiPriority w:val="99"/>
    <w:rsid w:val="00EF0553"/>
  </w:style>
  <w:style w:type="paragraph" w:styleId="Footer">
    <w:name w:val="footer"/>
    <w:basedOn w:val="Normal"/>
    <w:link w:val="FooterChar"/>
    <w:uiPriority w:val="99"/>
    <w:unhideWhenUsed/>
    <w:rsid w:val="00EF0553"/>
    <w:pPr>
      <w:tabs>
        <w:tab w:val="center" w:pos="4513"/>
        <w:tab w:val="right" w:pos="9026"/>
      </w:tabs>
      <w:spacing w:after="0"/>
    </w:pPr>
  </w:style>
  <w:style w:type="character" w:customStyle="1" w:styleId="FooterChar">
    <w:name w:val="Footer Char"/>
    <w:basedOn w:val="DefaultParagraphFont"/>
    <w:link w:val="Footer"/>
    <w:uiPriority w:val="99"/>
    <w:rsid w:val="00EF0553"/>
  </w:style>
  <w:style w:type="character" w:styleId="FollowedHyperlink">
    <w:name w:val="FollowedHyperlink"/>
    <w:basedOn w:val="DefaultParagraphFont"/>
    <w:uiPriority w:val="99"/>
    <w:semiHidden/>
    <w:unhideWhenUsed/>
    <w:rsid w:val="00A226F5"/>
    <w:rPr>
      <w:color w:val="954F72" w:themeColor="followedHyperlink"/>
      <w:u w:val="single"/>
    </w:rPr>
  </w:style>
  <w:style w:type="paragraph" w:styleId="NormalWeb">
    <w:name w:val="Normal (Web)"/>
    <w:basedOn w:val="Normal"/>
    <w:uiPriority w:val="99"/>
    <w:semiHidden/>
    <w:unhideWhenUsed/>
    <w:rsid w:val="006D43DB"/>
    <w:rPr>
      <w:rFonts w:ascii="Times New Roman" w:hAnsi="Times New Roman" w:cs="Times New Roman"/>
      <w:sz w:val="24"/>
      <w:szCs w:val="24"/>
    </w:rPr>
  </w:style>
  <w:style w:type="paragraph" w:customStyle="1" w:styleId="L0Normal">
    <w:name w:val="L0.Normal"/>
    <w:basedOn w:val="Normal"/>
    <w:link w:val="L0NormalChar"/>
    <w:qFormat/>
    <w:rsid w:val="007A6C05"/>
    <w:pPr>
      <w:widowControl w:val="0"/>
      <w:overflowPunct w:val="0"/>
      <w:autoSpaceDE w:val="0"/>
      <w:autoSpaceDN w:val="0"/>
      <w:adjustRightInd w:val="0"/>
      <w:spacing w:before="100" w:after="0"/>
      <w:textAlignment w:val="baseline"/>
    </w:pPr>
    <w:rPr>
      <w:rFonts w:ascii="Arial" w:eastAsia="Times New Roman" w:hAnsi="Arial" w:cs="Times New Roman"/>
      <w:kern w:val="0"/>
      <w:sz w:val="20"/>
      <w:szCs w:val="20"/>
      <w:lang w:eastAsia="en-AU"/>
      <w14:ligatures w14:val="none"/>
    </w:rPr>
  </w:style>
  <w:style w:type="character" w:customStyle="1" w:styleId="L0NormalChar">
    <w:name w:val="L0.Normal Char"/>
    <w:basedOn w:val="DefaultParagraphFont"/>
    <w:link w:val="L0Normal"/>
    <w:rsid w:val="007A6C05"/>
    <w:rPr>
      <w:rFonts w:ascii="Arial" w:eastAsia="Times New Roman" w:hAnsi="Arial" w:cs="Times New Roman"/>
      <w:kern w:val="0"/>
      <w:sz w:val="20"/>
      <w:szCs w:val="20"/>
      <w:lang w:eastAsia="en-AU"/>
      <w14:ligatures w14:val="none"/>
    </w:rPr>
  </w:style>
  <w:style w:type="paragraph" w:customStyle="1" w:styleId="paragraph">
    <w:name w:val="paragraph"/>
    <w:basedOn w:val="Normal"/>
    <w:rsid w:val="008D7EDC"/>
    <w:pPr>
      <w:spacing w:before="100" w:beforeAutospacing="1" w:after="100" w:afterAutospacing="1"/>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7389">
      <w:bodyDiv w:val="1"/>
      <w:marLeft w:val="0"/>
      <w:marRight w:val="0"/>
      <w:marTop w:val="0"/>
      <w:marBottom w:val="0"/>
      <w:divBdr>
        <w:top w:val="none" w:sz="0" w:space="0" w:color="auto"/>
        <w:left w:val="none" w:sz="0" w:space="0" w:color="auto"/>
        <w:bottom w:val="none" w:sz="0" w:space="0" w:color="auto"/>
        <w:right w:val="none" w:sz="0" w:space="0" w:color="auto"/>
      </w:divBdr>
    </w:div>
    <w:div w:id="359627936">
      <w:bodyDiv w:val="1"/>
      <w:marLeft w:val="0"/>
      <w:marRight w:val="0"/>
      <w:marTop w:val="0"/>
      <w:marBottom w:val="0"/>
      <w:divBdr>
        <w:top w:val="none" w:sz="0" w:space="0" w:color="auto"/>
        <w:left w:val="none" w:sz="0" w:space="0" w:color="auto"/>
        <w:bottom w:val="none" w:sz="0" w:space="0" w:color="auto"/>
        <w:right w:val="none" w:sz="0" w:space="0" w:color="auto"/>
      </w:divBdr>
    </w:div>
    <w:div w:id="510028073">
      <w:bodyDiv w:val="1"/>
      <w:marLeft w:val="0"/>
      <w:marRight w:val="0"/>
      <w:marTop w:val="0"/>
      <w:marBottom w:val="0"/>
      <w:divBdr>
        <w:top w:val="none" w:sz="0" w:space="0" w:color="auto"/>
        <w:left w:val="none" w:sz="0" w:space="0" w:color="auto"/>
        <w:bottom w:val="none" w:sz="0" w:space="0" w:color="auto"/>
        <w:right w:val="none" w:sz="0" w:space="0" w:color="auto"/>
      </w:divBdr>
    </w:div>
    <w:div w:id="515852621">
      <w:bodyDiv w:val="1"/>
      <w:marLeft w:val="0"/>
      <w:marRight w:val="0"/>
      <w:marTop w:val="0"/>
      <w:marBottom w:val="0"/>
      <w:divBdr>
        <w:top w:val="none" w:sz="0" w:space="0" w:color="auto"/>
        <w:left w:val="none" w:sz="0" w:space="0" w:color="auto"/>
        <w:bottom w:val="none" w:sz="0" w:space="0" w:color="auto"/>
        <w:right w:val="none" w:sz="0" w:space="0" w:color="auto"/>
      </w:divBdr>
    </w:div>
    <w:div w:id="1142044954">
      <w:bodyDiv w:val="1"/>
      <w:marLeft w:val="0"/>
      <w:marRight w:val="0"/>
      <w:marTop w:val="0"/>
      <w:marBottom w:val="0"/>
      <w:divBdr>
        <w:top w:val="none" w:sz="0" w:space="0" w:color="auto"/>
        <w:left w:val="none" w:sz="0" w:space="0" w:color="auto"/>
        <w:bottom w:val="none" w:sz="0" w:space="0" w:color="auto"/>
        <w:right w:val="none" w:sz="0" w:space="0" w:color="auto"/>
      </w:divBdr>
    </w:div>
    <w:div w:id="1523978096">
      <w:bodyDiv w:val="1"/>
      <w:marLeft w:val="0"/>
      <w:marRight w:val="0"/>
      <w:marTop w:val="0"/>
      <w:marBottom w:val="0"/>
      <w:divBdr>
        <w:top w:val="none" w:sz="0" w:space="0" w:color="auto"/>
        <w:left w:val="none" w:sz="0" w:space="0" w:color="auto"/>
        <w:bottom w:val="none" w:sz="0" w:space="0" w:color="auto"/>
        <w:right w:val="none" w:sz="0" w:space="0" w:color="auto"/>
      </w:divBdr>
    </w:div>
    <w:div w:id="1642467547">
      <w:bodyDiv w:val="1"/>
      <w:marLeft w:val="0"/>
      <w:marRight w:val="0"/>
      <w:marTop w:val="0"/>
      <w:marBottom w:val="0"/>
      <w:divBdr>
        <w:top w:val="none" w:sz="0" w:space="0" w:color="auto"/>
        <w:left w:val="none" w:sz="0" w:space="0" w:color="auto"/>
        <w:bottom w:val="none" w:sz="0" w:space="0" w:color="auto"/>
        <w:right w:val="none" w:sz="0" w:space="0" w:color="auto"/>
      </w:divBdr>
    </w:div>
    <w:div w:id="1682388776">
      <w:bodyDiv w:val="1"/>
      <w:marLeft w:val="0"/>
      <w:marRight w:val="0"/>
      <w:marTop w:val="0"/>
      <w:marBottom w:val="0"/>
      <w:divBdr>
        <w:top w:val="none" w:sz="0" w:space="0" w:color="auto"/>
        <w:left w:val="none" w:sz="0" w:space="0" w:color="auto"/>
        <w:bottom w:val="none" w:sz="0" w:space="0" w:color="auto"/>
        <w:right w:val="none" w:sz="0" w:space="0" w:color="auto"/>
      </w:divBdr>
    </w:div>
    <w:div w:id="1724324997">
      <w:bodyDiv w:val="1"/>
      <w:marLeft w:val="0"/>
      <w:marRight w:val="0"/>
      <w:marTop w:val="0"/>
      <w:marBottom w:val="0"/>
      <w:divBdr>
        <w:top w:val="none" w:sz="0" w:space="0" w:color="auto"/>
        <w:left w:val="none" w:sz="0" w:space="0" w:color="auto"/>
        <w:bottom w:val="none" w:sz="0" w:space="0" w:color="auto"/>
        <w:right w:val="none" w:sz="0" w:space="0" w:color="auto"/>
      </w:divBdr>
    </w:div>
    <w:div w:id="20728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ervicesaustralia.gov.au/centrepay-goods-and-services?context=22366" TargetMode="External"/><Relationship Id="rId26" Type="http://schemas.openxmlformats.org/officeDocument/2006/relationships/hyperlink" Target="https://www.servicesaustralia.gov.au/reporting-fraud" TargetMode="External"/><Relationship Id="rId3" Type="http://schemas.openxmlformats.org/officeDocument/2006/relationships/customXml" Target="../customXml/item3.xml"/><Relationship Id="rId21" Type="http://schemas.openxmlformats.org/officeDocument/2006/relationships/hyperlink" Target="https://findus.servicesaustrali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ervicesaustralia.gov.au/centrepay-complaints-and-feedback?context=22366"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ervicesaustralia.gov.au/phone-us?context=641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centrepay-reform?context=23256" TargetMode="External"/><Relationship Id="rId24" Type="http://schemas.openxmlformats.org/officeDocument/2006/relationships/hyperlink" Target="https://www.servicesaustralia.gov.au/getting-financial-help-and-information?context=6027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rvicesaustralia.gov.au/agents-and-access-point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servicesaustralia.gov.au/centrepay-goods-and-services?context=223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ervicesaustralia.gov.au/indigenous-service-officers?context=21" TargetMode="External"/><Relationship Id="rId27" Type="http://schemas.openxmlformats.org/officeDocument/2006/relationships/hyperlink" Target="https://www.servicesaustralia.gov.au/centrepay-complaints-and-feedback?context=22366"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dbc20c2d2150e958d0edd95915eba3fa">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0e9c57e1795068c35801a1317a316d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a415e6-e861-499c-b863-0e74d60c9b03" xsi:nil="true"/>
    <lcf76f155ced4ddcb4097134ff3c332f xmlns="38b7459e-eee1-4203-af9f-c5496284dcdf">
      <Terms xmlns="http://schemas.microsoft.com/office/infopath/2007/PartnerControls"/>
    </lcf76f155ced4ddcb4097134ff3c332f>
    <SharedWithUsers xmlns="bda415e6-e861-499c-b863-0e74d60c9b0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264CE-66CC-44F0-B7B2-55F47E44F6D6}"/>
</file>

<file path=customXml/itemProps2.xml><?xml version="1.0" encoding="utf-8"?>
<ds:datastoreItem xmlns:ds="http://schemas.openxmlformats.org/officeDocument/2006/customXml" ds:itemID="{7C27253D-B74C-45A7-9F06-B8C4B72F0B32}">
  <ds:schemaRefs>
    <ds:schemaRef ds:uri="http://schemas.openxmlformats.org/officeDocument/2006/bibliography"/>
  </ds:schemaRefs>
</ds:datastoreItem>
</file>

<file path=customXml/itemProps3.xml><?xml version="1.0" encoding="utf-8"?>
<ds:datastoreItem xmlns:ds="http://schemas.openxmlformats.org/officeDocument/2006/customXml" ds:itemID="{825F1B2A-CB63-4A63-879E-78A8570CE5DB}">
  <ds:schemaRefs>
    <ds:schemaRef ds:uri="http://schemas.microsoft.com/office/2006/metadata/properties"/>
    <ds:schemaRef ds:uri="http://schemas.microsoft.com/office/infopath/2007/PartnerControls"/>
    <ds:schemaRef ds:uri="http://schemas.microsoft.com/sharepoint/v3"/>
    <ds:schemaRef ds:uri="bda415e6-e861-499c-b863-0e74d60c9b03"/>
    <ds:schemaRef ds:uri="38b7459e-eee1-4203-af9f-c5496284dcdf"/>
  </ds:schemaRefs>
</ds:datastoreItem>
</file>

<file path=customXml/itemProps4.xml><?xml version="1.0" encoding="utf-8"?>
<ds:datastoreItem xmlns:ds="http://schemas.openxmlformats.org/officeDocument/2006/customXml" ds:itemID="{5966E3EE-AC71-44F5-9F96-68699CF41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3363</Words>
  <Characters>19175</Characters>
  <Application>Microsoft Office Word</Application>
  <DocSecurity>0</DocSecurity>
  <Lines>159</Lines>
  <Paragraphs>44</Paragraphs>
  <ScaleCrop>false</ScaleCrop>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centrepay-reform-frequently-asked-questions-for-advocates</dc:title>
  <dc:subject/>
  <dc:creator>Services Australia</dc:creator>
  <cp:keywords/>
  <dc:description/>
  <dcterms:created xsi:type="dcterms:W3CDTF">2025-11-04T01:11:00Z</dcterms:created>
  <dcterms:modified xsi:type="dcterms:W3CDTF">2025-11-04T01:11:00Z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y fmtid="{D5CDD505-2E9C-101B-9397-08002B2CF9AE}" pid="3" name="MediaServiceImageTags">
    <vt:lpwstr/>
  </property>
  <property fmtid="{D5CDD505-2E9C-101B-9397-08002B2CF9AE}" pid="4" name="Order">
    <vt:r8>4643100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