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1CD1" w14:textId="4079C807" w:rsidR="00A03448" w:rsidRPr="007E5951" w:rsidRDefault="00C71D9F" w:rsidP="00A03448">
      <w:pPr>
        <w:pStyle w:val="SATitle"/>
      </w:pPr>
      <w:bookmarkStart w:id="0" w:name="_Toc142718988"/>
      <w:r>
        <w:t>Services Australia net zero action plan</w:t>
      </w:r>
    </w:p>
    <w:p w14:paraId="6C8050A5" w14:textId="1AFB877E" w:rsidR="00A03448" w:rsidRPr="00D37F9F" w:rsidRDefault="00C71D9F" w:rsidP="00A03448">
      <w:pPr>
        <w:pStyle w:val="SASubtitle"/>
      </w:pPr>
      <w:r>
        <w:t xml:space="preserve">Achieving net zero greenhouse gas emissions </w:t>
      </w:r>
      <w:r>
        <w:br/>
        <w:t>in the APS by 2030</w:t>
      </w:r>
    </w:p>
    <w:p w14:paraId="11A2B82A" w14:textId="66EF9E66" w:rsidR="00A03448" w:rsidRDefault="005567E1" w:rsidP="00A03448">
      <w:pPr>
        <w:pStyle w:val="SADate"/>
      </w:pPr>
      <w:r>
        <w:t>January 2026</w:t>
      </w:r>
    </w:p>
    <w:p w14:paraId="334D2DC7" w14:textId="77777777" w:rsidR="00071D2C" w:rsidRDefault="00071D2C" w:rsidP="00071D2C">
      <w:pPr>
        <w:pStyle w:val="SABodytext"/>
      </w:pPr>
    </w:p>
    <w:p w14:paraId="32E1E8CF" w14:textId="77777777" w:rsidR="00D54BDA" w:rsidRDefault="00D54BDA" w:rsidP="00071D2C">
      <w:pPr>
        <w:pStyle w:val="SABodytext"/>
      </w:pPr>
    </w:p>
    <w:p w14:paraId="1FAD2BE9" w14:textId="2F92DC85" w:rsidR="00D54BDA" w:rsidRDefault="003D6FA5" w:rsidP="00071D2C">
      <w:pPr>
        <w:pStyle w:val="SABodytext"/>
        <w:sectPr w:rsidR="00D54BDA" w:rsidSect="00B13119">
          <w:headerReference w:type="default" r:id="rId7"/>
          <w:footerReference w:type="default" r:id="rId8"/>
          <w:headerReference w:type="first" r:id="rId9"/>
          <w:pgSz w:w="11906" w:h="16838" w:code="9"/>
          <w:pgMar w:top="1321" w:right="964" w:bottom="1134" w:left="964" w:header="284" w:footer="510" w:gutter="0"/>
          <w:cols w:space="708"/>
          <w:titlePg/>
          <w:docGrid w:linePitch="360"/>
        </w:sectPr>
      </w:pPr>
      <w:r>
        <w:rPr>
          <w:noProof/>
        </w:rPr>
        <mc:AlternateContent>
          <mc:Choice Requires="wps">
            <w:drawing>
              <wp:anchor distT="45720" distB="45720" distL="114300" distR="114300" simplePos="0" relativeHeight="251659264" behindDoc="0" locked="0" layoutInCell="1" allowOverlap="1" wp14:anchorId="05EEC0A1" wp14:editId="33609337">
                <wp:simplePos x="0" y="0"/>
                <wp:positionH relativeFrom="page">
                  <wp:posOffset>0</wp:posOffset>
                </wp:positionH>
                <wp:positionV relativeFrom="paragraph">
                  <wp:posOffset>4728210</wp:posOffset>
                </wp:positionV>
                <wp:extent cx="3283585" cy="371475"/>
                <wp:effectExtent l="0" t="0" r="6350" b="952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371475"/>
                        </a:xfrm>
                        <a:prstGeom prst="rect">
                          <a:avLst/>
                        </a:prstGeom>
                        <a:solidFill>
                          <a:schemeClr val="accent2"/>
                        </a:solidFill>
                        <a:ln w="9525">
                          <a:noFill/>
                          <a:miter lim="800000"/>
                          <a:headEnd/>
                          <a:tailEnd/>
                        </a:ln>
                      </wps:spPr>
                      <wps:txbx>
                        <w:txbxContent>
                          <w:p w14:paraId="40F40180" w14:textId="77777777" w:rsidR="00A03448" w:rsidRPr="00301877" w:rsidRDefault="00A03448" w:rsidP="00A03448">
                            <w:pPr>
                              <w:pStyle w:val="SADiv-Branchname"/>
                              <w:rPr>
                                <w:color w:val="auto"/>
                              </w:rPr>
                            </w:pPr>
                            <w:r>
                              <w:rPr>
                                <w:color w:val="auto"/>
                              </w:rPr>
                              <w:t>PROPERTY AND CORPORATE SUPPORT BRANCH</w:t>
                            </w:r>
                          </w:p>
                          <w:p w14:paraId="3FFD202E" w14:textId="77777777" w:rsidR="00D54BDA" w:rsidRDefault="00D54BDA" w:rsidP="00D54BDA"/>
                        </w:txbxContent>
                      </wps:txbx>
                      <wps:bodyPr rot="0" vert="horz" wrap="none" lIns="720000" tIns="36000" rIns="21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EEC0A1" id="_x0000_t202" coordsize="21600,21600" o:spt="202" path="m,l,21600r21600,l21600,xe">
                <v:stroke joinstyle="miter"/>
                <v:path gradientshapeok="t" o:connecttype="rect"/>
              </v:shapetype>
              <v:shape id="Text Box 2" o:spid="_x0000_s1026" type="#_x0000_t202" alt="&quot;&quot;" style="position:absolute;margin-left:0;margin-top:372.3pt;width:258.55pt;height:29.2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s9EQIAAPsDAAAOAAAAZHJzL2Uyb0RvYy54bWysU1Fv0zAQfkfiP1h+p2lTupWo6TQ6hpA2&#10;QBr8ANdxGgvbZ529JuXXc3aybsAbIg+WL3f+7u677zZXgzXsqDBocDVfzOacKSeh0e5Q8+/fbt+s&#10;OQtRuEYYcKrmJxX41fb1q03vK1VCB6ZRyAjEhar3Ne9i9FVRBNkpK8IMvHLkbAGtiGTioWhQ9IRu&#10;TVHO5xdFD9h4BKlCoL83o5NvM37bKhm/tG1QkZmaU20xn5jPfTqL7UZUBxS+03IqQ/xDFVZoR0nP&#10;UDciCvaI+i8oqyVCgDbOJNgC2lZLlXugbhbzP7p56IRXuRciJ/gzTeH/wcrPxwf/FVkc3sNAA8xN&#10;BH8H8kdgDnadcAd1jQh9p0RDiReJsqL3oZqeJqpDFRLIvr+HhoYsHiNkoKFFm1ihPhmh0wBOZ9LV&#10;EJmkn8tyvVytV5xJ8i0vF28vVzmFqJ5eewzxowLL0qXmSEPN6OJ4F2KqRlRPISlZAKObW21MNpKQ&#10;1M4gOwqSgJBSuVhOCX6LNI71NX+3KlcZ3EGCyPKwOpJGjbY1X8/TN6omEfLBNTkkCm3GOxVj3MRQ&#10;ImWkJw77gQITU3toTsQVwqhF2h26dIA/OetJhzV3tCicmU+O2L4kjVM+FrO1vMgGZqNcjNb+pUs4&#10;SVA1lxE5G41dzHJPZDi4psm0OpP2XMtULSksczltQ5LwSztHPe/s9hcAAAD//wMAUEsDBBQABgAI&#10;AAAAIQC2FF4r4AAAAAgBAAAPAAAAZHJzL2Rvd25yZXYueG1sTI9LT8MwEITvSPwHa5G4oNYJ9EXI&#10;pqKVECeE+jjAzY2XOG28jmK3Cf8ec4LjaEYz3+TLwTbiQp2vHSOk4wQEcel0zRXCfvcyWoDwQbFW&#10;jWNC+CYPy+L6KleZdj1v6LINlYgl7DOFYEJoMyl9acgqP3YtcfS+XGdViLKrpO5UH8ttI++TZCat&#10;qjkuGNXS2lB52p4twuPK9Pv3j/Xm7fOkp0d/NK93doV4ezM8P4EINIS/MPziR3QoItPBnVl70SDE&#10;IwFhPpnMQER7ms5TEAeERfKQgixy+f9A8QMAAP//AwBQSwECLQAUAAYACAAAACEAtoM4kv4AAADh&#10;AQAAEwAAAAAAAAAAAAAAAAAAAAAAW0NvbnRlbnRfVHlwZXNdLnhtbFBLAQItABQABgAIAAAAIQA4&#10;/SH/1gAAAJQBAAALAAAAAAAAAAAAAAAAAC8BAABfcmVscy8ucmVsc1BLAQItABQABgAIAAAAIQC4&#10;kQs9EQIAAPsDAAAOAAAAAAAAAAAAAAAAAC4CAABkcnMvZTJvRG9jLnhtbFBLAQItABQABgAIAAAA&#10;IQC2FF4r4AAAAAgBAAAPAAAAAAAAAAAAAAAAAGsEAABkcnMvZG93bnJldi54bWxQSwUGAAAAAAQA&#10;BADzAAAAeAUAAAAA&#10;" fillcolor="#1b365d [3205]" stroked="f">
                <v:textbox inset="20mm,1mm,6mm,1mm">
                  <w:txbxContent>
                    <w:p w14:paraId="40F40180" w14:textId="77777777" w:rsidR="00A03448" w:rsidRPr="00301877" w:rsidRDefault="00A03448" w:rsidP="00A03448">
                      <w:pPr>
                        <w:pStyle w:val="SADiv-Branchname"/>
                        <w:rPr>
                          <w:color w:val="auto"/>
                        </w:rPr>
                      </w:pPr>
                      <w:r>
                        <w:rPr>
                          <w:color w:val="auto"/>
                        </w:rPr>
                        <w:t>PROPERTY AND CORPORATE SUPPORT BRANCH</w:t>
                      </w:r>
                    </w:p>
                    <w:p w14:paraId="3FFD202E" w14:textId="77777777" w:rsidR="00D54BDA" w:rsidRDefault="00D54BDA" w:rsidP="00D54BDA"/>
                  </w:txbxContent>
                </v:textbox>
                <w10:wrap type="square" anchorx="page"/>
              </v:shape>
            </w:pict>
          </mc:Fallback>
        </mc:AlternateContent>
      </w:r>
    </w:p>
    <w:bookmarkEnd w:id="0" w:displacedByCustomXml="next"/>
    <w:sdt>
      <w:sdtPr>
        <w:rPr>
          <w:rFonts w:ascii="Times New Roman" w:eastAsia="Times New Roman" w:hAnsi="Times New Roman" w:cs="Times New Roman"/>
          <w:b w:val="0"/>
          <w:caps/>
          <w:color w:val="auto"/>
          <w:sz w:val="24"/>
          <w:szCs w:val="24"/>
          <w:lang w:val="en-AU" w:eastAsia="en-AU"/>
        </w:rPr>
        <w:id w:val="-192460845"/>
        <w:docPartObj>
          <w:docPartGallery w:val="Table of Contents"/>
          <w:docPartUnique/>
        </w:docPartObj>
      </w:sdtPr>
      <w:sdtEndPr>
        <w:rPr>
          <w:bCs/>
          <w:caps w:val="0"/>
          <w:noProof/>
        </w:rPr>
      </w:sdtEndPr>
      <w:sdtContent>
        <w:p w14:paraId="517A53E6" w14:textId="77777777" w:rsidR="00437E65" w:rsidRDefault="00437E65">
          <w:pPr>
            <w:pStyle w:val="TOCHeading"/>
          </w:pPr>
          <w:r>
            <w:t>C</w:t>
          </w:r>
          <w:r w:rsidR="00216A32">
            <w:t>ontents</w:t>
          </w:r>
        </w:p>
        <w:p w14:paraId="3D96B851" w14:textId="395FDF56" w:rsidR="00960488" w:rsidRDefault="00216A32">
          <w:pPr>
            <w:pStyle w:val="TOC1"/>
            <w:rPr>
              <w:rFonts w:asciiTheme="minorHAnsi" w:eastAsiaTheme="minorEastAsia" w:hAnsiTheme="minorHAnsi" w:cstheme="minorBidi"/>
              <w:b w:val="0"/>
              <w:kern w:val="2"/>
              <w14:ligatures w14:val="standardContextual"/>
            </w:rPr>
          </w:pPr>
          <w:r>
            <w:rPr>
              <w:rFonts w:cs="Times New Roman"/>
              <w:b w:val="0"/>
              <w:noProof w:val="0"/>
              <w:sz w:val="22"/>
            </w:rPr>
            <w:fldChar w:fldCharType="begin"/>
          </w:r>
          <w:r>
            <w:instrText xml:space="preserve"> TOC \o "2-3" \h \z \t "Heading 1,1,SA Heading level 1,1" </w:instrText>
          </w:r>
          <w:r>
            <w:rPr>
              <w:rFonts w:cs="Times New Roman"/>
              <w:b w:val="0"/>
              <w:noProof w:val="0"/>
              <w:sz w:val="22"/>
            </w:rPr>
            <w:fldChar w:fldCharType="separate"/>
          </w:r>
          <w:hyperlink w:anchor="_Toc218750535" w:history="1">
            <w:r w:rsidR="00960488" w:rsidRPr="00CD7383">
              <w:rPr>
                <w:rStyle w:val="Hyperlink"/>
              </w:rPr>
              <w:t>Purpose</w:t>
            </w:r>
            <w:r w:rsidR="00960488">
              <w:rPr>
                <w:webHidden/>
              </w:rPr>
              <w:tab/>
            </w:r>
            <w:r w:rsidR="00960488">
              <w:rPr>
                <w:webHidden/>
              </w:rPr>
              <w:fldChar w:fldCharType="begin"/>
            </w:r>
            <w:r w:rsidR="00960488">
              <w:rPr>
                <w:webHidden/>
              </w:rPr>
              <w:instrText xml:space="preserve"> PAGEREF _Toc218750535 \h </w:instrText>
            </w:r>
            <w:r w:rsidR="00960488">
              <w:rPr>
                <w:webHidden/>
              </w:rPr>
            </w:r>
            <w:r w:rsidR="00960488">
              <w:rPr>
                <w:webHidden/>
              </w:rPr>
              <w:fldChar w:fldCharType="separate"/>
            </w:r>
            <w:r w:rsidR="00960488">
              <w:rPr>
                <w:webHidden/>
              </w:rPr>
              <w:t>3</w:t>
            </w:r>
            <w:r w:rsidR="00960488">
              <w:rPr>
                <w:webHidden/>
              </w:rPr>
              <w:fldChar w:fldCharType="end"/>
            </w:r>
          </w:hyperlink>
        </w:p>
        <w:p w14:paraId="5A29DC9B" w14:textId="770AFDB5" w:rsidR="00960488" w:rsidRDefault="00960488">
          <w:pPr>
            <w:pStyle w:val="TOC1"/>
            <w:rPr>
              <w:rFonts w:asciiTheme="minorHAnsi" w:eastAsiaTheme="minorEastAsia" w:hAnsiTheme="minorHAnsi" w:cstheme="minorBidi"/>
              <w:b w:val="0"/>
              <w:kern w:val="2"/>
              <w14:ligatures w14:val="standardContextual"/>
            </w:rPr>
          </w:pPr>
          <w:hyperlink w:anchor="_Toc218750536" w:history="1">
            <w:r w:rsidRPr="00CD7383">
              <w:rPr>
                <w:rStyle w:val="Hyperlink"/>
              </w:rPr>
              <w:t>Net zero greenhouse gas emissions</w:t>
            </w:r>
            <w:r>
              <w:rPr>
                <w:webHidden/>
              </w:rPr>
              <w:tab/>
            </w:r>
            <w:r>
              <w:rPr>
                <w:webHidden/>
              </w:rPr>
              <w:fldChar w:fldCharType="begin"/>
            </w:r>
            <w:r>
              <w:rPr>
                <w:webHidden/>
              </w:rPr>
              <w:instrText xml:space="preserve"> PAGEREF _Toc218750536 \h </w:instrText>
            </w:r>
            <w:r>
              <w:rPr>
                <w:webHidden/>
              </w:rPr>
            </w:r>
            <w:r>
              <w:rPr>
                <w:webHidden/>
              </w:rPr>
              <w:fldChar w:fldCharType="separate"/>
            </w:r>
            <w:r>
              <w:rPr>
                <w:webHidden/>
              </w:rPr>
              <w:t>3</w:t>
            </w:r>
            <w:r>
              <w:rPr>
                <w:webHidden/>
              </w:rPr>
              <w:fldChar w:fldCharType="end"/>
            </w:r>
          </w:hyperlink>
        </w:p>
        <w:p w14:paraId="130116B4" w14:textId="442A57CA" w:rsidR="00960488" w:rsidRDefault="00960488">
          <w:pPr>
            <w:pStyle w:val="TOC1"/>
            <w:rPr>
              <w:rFonts w:asciiTheme="minorHAnsi" w:eastAsiaTheme="minorEastAsia" w:hAnsiTheme="minorHAnsi" w:cstheme="minorBidi"/>
              <w:b w:val="0"/>
              <w:kern w:val="2"/>
              <w14:ligatures w14:val="standardContextual"/>
            </w:rPr>
          </w:pPr>
          <w:hyperlink w:anchor="_Toc218750537" w:history="1">
            <w:r w:rsidRPr="00CD7383">
              <w:rPr>
                <w:rStyle w:val="Hyperlink"/>
              </w:rPr>
              <w:t>Current state</w:t>
            </w:r>
            <w:r>
              <w:rPr>
                <w:webHidden/>
              </w:rPr>
              <w:tab/>
            </w:r>
            <w:r>
              <w:rPr>
                <w:webHidden/>
              </w:rPr>
              <w:fldChar w:fldCharType="begin"/>
            </w:r>
            <w:r>
              <w:rPr>
                <w:webHidden/>
              </w:rPr>
              <w:instrText xml:space="preserve"> PAGEREF _Toc218750537 \h </w:instrText>
            </w:r>
            <w:r>
              <w:rPr>
                <w:webHidden/>
              </w:rPr>
            </w:r>
            <w:r>
              <w:rPr>
                <w:webHidden/>
              </w:rPr>
              <w:fldChar w:fldCharType="separate"/>
            </w:r>
            <w:r>
              <w:rPr>
                <w:webHidden/>
              </w:rPr>
              <w:t>3</w:t>
            </w:r>
            <w:r>
              <w:rPr>
                <w:webHidden/>
              </w:rPr>
              <w:fldChar w:fldCharType="end"/>
            </w:r>
          </w:hyperlink>
        </w:p>
        <w:p w14:paraId="2BD0BC8D" w14:textId="103D751B" w:rsidR="00960488" w:rsidRDefault="00960488">
          <w:pPr>
            <w:pStyle w:val="TOC2"/>
            <w:rPr>
              <w:rFonts w:asciiTheme="minorHAnsi" w:eastAsiaTheme="minorEastAsia" w:hAnsiTheme="minorHAnsi" w:cstheme="minorBidi"/>
              <w:noProof/>
              <w:kern w:val="2"/>
              <w:sz w:val="24"/>
              <w14:ligatures w14:val="standardContextual"/>
            </w:rPr>
          </w:pPr>
          <w:hyperlink w:anchor="_Toc218750538" w:history="1">
            <w:r w:rsidRPr="00CD7383">
              <w:rPr>
                <w:rStyle w:val="Hyperlink"/>
                <w:noProof/>
              </w:rPr>
              <w:t>Environmental sustainability</w:t>
            </w:r>
            <w:r>
              <w:rPr>
                <w:noProof/>
                <w:webHidden/>
              </w:rPr>
              <w:tab/>
            </w:r>
            <w:r>
              <w:rPr>
                <w:noProof/>
                <w:webHidden/>
              </w:rPr>
              <w:fldChar w:fldCharType="begin"/>
            </w:r>
            <w:r>
              <w:rPr>
                <w:noProof/>
                <w:webHidden/>
              </w:rPr>
              <w:instrText xml:space="preserve"> PAGEREF _Toc218750538 \h </w:instrText>
            </w:r>
            <w:r>
              <w:rPr>
                <w:noProof/>
                <w:webHidden/>
              </w:rPr>
            </w:r>
            <w:r>
              <w:rPr>
                <w:noProof/>
                <w:webHidden/>
              </w:rPr>
              <w:fldChar w:fldCharType="separate"/>
            </w:r>
            <w:r>
              <w:rPr>
                <w:noProof/>
                <w:webHidden/>
              </w:rPr>
              <w:t>4</w:t>
            </w:r>
            <w:r>
              <w:rPr>
                <w:noProof/>
                <w:webHidden/>
              </w:rPr>
              <w:fldChar w:fldCharType="end"/>
            </w:r>
          </w:hyperlink>
        </w:p>
        <w:p w14:paraId="01DE39CE" w14:textId="5A761C2B"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39" w:history="1">
            <w:r w:rsidRPr="00CD7383">
              <w:rPr>
                <w:rStyle w:val="Hyperlink"/>
                <w:noProof/>
              </w:rPr>
              <w:t>Building performance</w:t>
            </w:r>
            <w:r>
              <w:rPr>
                <w:noProof/>
                <w:webHidden/>
              </w:rPr>
              <w:tab/>
            </w:r>
            <w:r>
              <w:rPr>
                <w:noProof/>
                <w:webHidden/>
              </w:rPr>
              <w:fldChar w:fldCharType="begin"/>
            </w:r>
            <w:r>
              <w:rPr>
                <w:noProof/>
                <w:webHidden/>
              </w:rPr>
              <w:instrText xml:space="preserve"> PAGEREF _Toc218750539 \h </w:instrText>
            </w:r>
            <w:r>
              <w:rPr>
                <w:noProof/>
                <w:webHidden/>
              </w:rPr>
            </w:r>
            <w:r>
              <w:rPr>
                <w:noProof/>
                <w:webHidden/>
              </w:rPr>
              <w:fldChar w:fldCharType="separate"/>
            </w:r>
            <w:r>
              <w:rPr>
                <w:noProof/>
                <w:webHidden/>
              </w:rPr>
              <w:t>4</w:t>
            </w:r>
            <w:r>
              <w:rPr>
                <w:noProof/>
                <w:webHidden/>
              </w:rPr>
              <w:fldChar w:fldCharType="end"/>
            </w:r>
          </w:hyperlink>
        </w:p>
        <w:p w14:paraId="455C3960" w14:textId="6E00A0A3"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0" w:history="1">
            <w:r w:rsidRPr="00CD7383">
              <w:rPr>
                <w:rStyle w:val="Hyperlink"/>
                <w:noProof/>
              </w:rPr>
              <w:t>Other measures</w:t>
            </w:r>
            <w:r>
              <w:rPr>
                <w:noProof/>
                <w:webHidden/>
              </w:rPr>
              <w:tab/>
            </w:r>
            <w:r>
              <w:rPr>
                <w:noProof/>
                <w:webHidden/>
              </w:rPr>
              <w:fldChar w:fldCharType="begin"/>
            </w:r>
            <w:r>
              <w:rPr>
                <w:noProof/>
                <w:webHidden/>
              </w:rPr>
              <w:instrText xml:space="preserve"> PAGEREF _Toc218750540 \h </w:instrText>
            </w:r>
            <w:r>
              <w:rPr>
                <w:noProof/>
                <w:webHidden/>
              </w:rPr>
            </w:r>
            <w:r>
              <w:rPr>
                <w:noProof/>
                <w:webHidden/>
              </w:rPr>
              <w:fldChar w:fldCharType="separate"/>
            </w:r>
            <w:r>
              <w:rPr>
                <w:noProof/>
                <w:webHidden/>
              </w:rPr>
              <w:t>5</w:t>
            </w:r>
            <w:r>
              <w:rPr>
                <w:noProof/>
                <w:webHidden/>
              </w:rPr>
              <w:fldChar w:fldCharType="end"/>
            </w:r>
          </w:hyperlink>
        </w:p>
        <w:p w14:paraId="7E11F1CA" w14:textId="3875F98B" w:rsidR="00960488" w:rsidRDefault="00960488">
          <w:pPr>
            <w:pStyle w:val="TOC2"/>
            <w:rPr>
              <w:rFonts w:asciiTheme="minorHAnsi" w:eastAsiaTheme="minorEastAsia" w:hAnsiTheme="minorHAnsi" w:cstheme="minorBidi"/>
              <w:noProof/>
              <w:kern w:val="2"/>
              <w:sz w:val="24"/>
              <w14:ligatures w14:val="standardContextual"/>
            </w:rPr>
          </w:pPr>
          <w:hyperlink w:anchor="_Toc218750541" w:history="1">
            <w:r w:rsidRPr="00CD7383">
              <w:rPr>
                <w:rStyle w:val="Hyperlink"/>
                <w:noProof/>
              </w:rPr>
              <w:t>Key actions to achieve net zero emissions</w:t>
            </w:r>
            <w:r>
              <w:rPr>
                <w:noProof/>
                <w:webHidden/>
              </w:rPr>
              <w:tab/>
            </w:r>
            <w:r>
              <w:rPr>
                <w:noProof/>
                <w:webHidden/>
              </w:rPr>
              <w:fldChar w:fldCharType="begin"/>
            </w:r>
            <w:r>
              <w:rPr>
                <w:noProof/>
                <w:webHidden/>
              </w:rPr>
              <w:instrText xml:space="preserve"> PAGEREF _Toc218750541 \h </w:instrText>
            </w:r>
            <w:r>
              <w:rPr>
                <w:noProof/>
                <w:webHidden/>
              </w:rPr>
            </w:r>
            <w:r>
              <w:rPr>
                <w:noProof/>
                <w:webHidden/>
              </w:rPr>
              <w:fldChar w:fldCharType="separate"/>
            </w:r>
            <w:r>
              <w:rPr>
                <w:noProof/>
                <w:webHidden/>
              </w:rPr>
              <w:t>6</w:t>
            </w:r>
            <w:r>
              <w:rPr>
                <w:noProof/>
                <w:webHidden/>
              </w:rPr>
              <w:fldChar w:fldCharType="end"/>
            </w:r>
          </w:hyperlink>
        </w:p>
        <w:p w14:paraId="1175C207" w14:textId="284C66B0" w:rsidR="00960488" w:rsidRDefault="00960488">
          <w:pPr>
            <w:pStyle w:val="TOC2"/>
            <w:rPr>
              <w:rFonts w:asciiTheme="minorHAnsi" w:eastAsiaTheme="minorEastAsia" w:hAnsiTheme="minorHAnsi" w:cstheme="minorBidi"/>
              <w:noProof/>
              <w:kern w:val="2"/>
              <w:sz w:val="24"/>
              <w14:ligatures w14:val="standardContextual"/>
            </w:rPr>
          </w:pPr>
          <w:hyperlink w:anchor="_Toc218750542" w:history="1">
            <w:r w:rsidRPr="00CD7383">
              <w:rPr>
                <w:rStyle w:val="Hyperlink"/>
                <w:noProof/>
              </w:rPr>
              <w:t>Key initiatives we’ve undertaken to achieve net zero emissions</w:t>
            </w:r>
            <w:r>
              <w:rPr>
                <w:noProof/>
                <w:webHidden/>
              </w:rPr>
              <w:tab/>
            </w:r>
            <w:r>
              <w:rPr>
                <w:noProof/>
                <w:webHidden/>
              </w:rPr>
              <w:fldChar w:fldCharType="begin"/>
            </w:r>
            <w:r>
              <w:rPr>
                <w:noProof/>
                <w:webHidden/>
              </w:rPr>
              <w:instrText xml:space="preserve"> PAGEREF _Toc218750542 \h </w:instrText>
            </w:r>
            <w:r>
              <w:rPr>
                <w:noProof/>
                <w:webHidden/>
              </w:rPr>
            </w:r>
            <w:r>
              <w:rPr>
                <w:noProof/>
                <w:webHidden/>
              </w:rPr>
              <w:fldChar w:fldCharType="separate"/>
            </w:r>
            <w:r>
              <w:rPr>
                <w:noProof/>
                <w:webHidden/>
              </w:rPr>
              <w:t>7</w:t>
            </w:r>
            <w:r>
              <w:rPr>
                <w:noProof/>
                <w:webHidden/>
              </w:rPr>
              <w:fldChar w:fldCharType="end"/>
            </w:r>
          </w:hyperlink>
        </w:p>
        <w:p w14:paraId="6DA152E4" w14:textId="6BB5424E"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3" w:history="1">
            <w:r w:rsidRPr="00CD7383">
              <w:rPr>
                <w:rStyle w:val="Hyperlink"/>
                <w:noProof/>
              </w:rPr>
              <w:t>Summary of progress</w:t>
            </w:r>
            <w:r>
              <w:rPr>
                <w:noProof/>
                <w:webHidden/>
              </w:rPr>
              <w:tab/>
            </w:r>
            <w:r>
              <w:rPr>
                <w:noProof/>
                <w:webHidden/>
              </w:rPr>
              <w:fldChar w:fldCharType="begin"/>
            </w:r>
            <w:r>
              <w:rPr>
                <w:noProof/>
                <w:webHidden/>
              </w:rPr>
              <w:instrText xml:space="preserve"> PAGEREF _Toc218750543 \h </w:instrText>
            </w:r>
            <w:r>
              <w:rPr>
                <w:noProof/>
                <w:webHidden/>
              </w:rPr>
            </w:r>
            <w:r>
              <w:rPr>
                <w:noProof/>
                <w:webHidden/>
              </w:rPr>
              <w:fldChar w:fldCharType="separate"/>
            </w:r>
            <w:r>
              <w:rPr>
                <w:noProof/>
                <w:webHidden/>
              </w:rPr>
              <w:t>7</w:t>
            </w:r>
            <w:r>
              <w:rPr>
                <w:noProof/>
                <w:webHidden/>
              </w:rPr>
              <w:fldChar w:fldCharType="end"/>
            </w:r>
          </w:hyperlink>
        </w:p>
        <w:p w14:paraId="60F5F88D" w14:textId="3C2AB9FD"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4" w:history="1">
            <w:r w:rsidRPr="00CD7383">
              <w:rPr>
                <w:rStyle w:val="Hyperlink"/>
                <w:noProof/>
              </w:rPr>
              <w:t>Renewable energy procurement</w:t>
            </w:r>
            <w:r>
              <w:rPr>
                <w:noProof/>
                <w:webHidden/>
              </w:rPr>
              <w:tab/>
            </w:r>
            <w:r>
              <w:rPr>
                <w:noProof/>
                <w:webHidden/>
              </w:rPr>
              <w:fldChar w:fldCharType="begin"/>
            </w:r>
            <w:r>
              <w:rPr>
                <w:noProof/>
                <w:webHidden/>
              </w:rPr>
              <w:instrText xml:space="preserve"> PAGEREF _Toc218750544 \h </w:instrText>
            </w:r>
            <w:r>
              <w:rPr>
                <w:noProof/>
                <w:webHidden/>
              </w:rPr>
            </w:r>
            <w:r>
              <w:rPr>
                <w:noProof/>
                <w:webHidden/>
              </w:rPr>
              <w:fldChar w:fldCharType="separate"/>
            </w:r>
            <w:r>
              <w:rPr>
                <w:noProof/>
                <w:webHidden/>
              </w:rPr>
              <w:t>8</w:t>
            </w:r>
            <w:r>
              <w:rPr>
                <w:noProof/>
                <w:webHidden/>
              </w:rPr>
              <w:fldChar w:fldCharType="end"/>
            </w:r>
          </w:hyperlink>
        </w:p>
        <w:p w14:paraId="574D1FA6" w14:textId="551CCA61"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5" w:history="1">
            <w:r w:rsidRPr="00CD7383">
              <w:rPr>
                <w:rStyle w:val="Hyperlink"/>
                <w:noProof/>
              </w:rPr>
              <w:t>Solar photovoltaic (PV) upgrades</w:t>
            </w:r>
            <w:r>
              <w:rPr>
                <w:noProof/>
                <w:webHidden/>
              </w:rPr>
              <w:tab/>
            </w:r>
            <w:r>
              <w:rPr>
                <w:noProof/>
                <w:webHidden/>
              </w:rPr>
              <w:fldChar w:fldCharType="begin"/>
            </w:r>
            <w:r>
              <w:rPr>
                <w:noProof/>
                <w:webHidden/>
              </w:rPr>
              <w:instrText xml:space="preserve"> PAGEREF _Toc218750545 \h </w:instrText>
            </w:r>
            <w:r>
              <w:rPr>
                <w:noProof/>
                <w:webHidden/>
              </w:rPr>
            </w:r>
            <w:r>
              <w:rPr>
                <w:noProof/>
                <w:webHidden/>
              </w:rPr>
              <w:fldChar w:fldCharType="separate"/>
            </w:r>
            <w:r>
              <w:rPr>
                <w:noProof/>
                <w:webHidden/>
              </w:rPr>
              <w:t>9</w:t>
            </w:r>
            <w:r>
              <w:rPr>
                <w:noProof/>
                <w:webHidden/>
              </w:rPr>
              <w:fldChar w:fldCharType="end"/>
            </w:r>
          </w:hyperlink>
        </w:p>
        <w:p w14:paraId="44C408C2" w14:textId="4E494F42"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6" w:history="1">
            <w:r w:rsidRPr="00CD7383">
              <w:rPr>
                <w:rStyle w:val="Hyperlink"/>
                <w:noProof/>
              </w:rPr>
              <w:t>LED lighting upgrades</w:t>
            </w:r>
            <w:r>
              <w:rPr>
                <w:noProof/>
                <w:webHidden/>
              </w:rPr>
              <w:tab/>
            </w:r>
            <w:r>
              <w:rPr>
                <w:noProof/>
                <w:webHidden/>
              </w:rPr>
              <w:fldChar w:fldCharType="begin"/>
            </w:r>
            <w:r>
              <w:rPr>
                <w:noProof/>
                <w:webHidden/>
              </w:rPr>
              <w:instrText xml:space="preserve"> PAGEREF _Toc218750546 \h </w:instrText>
            </w:r>
            <w:r>
              <w:rPr>
                <w:noProof/>
                <w:webHidden/>
              </w:rPr>
            </w:r>
            <w:r>
              <w:rPr>
                <w:noProof/>
                <w:webHidden/>
              </w:rPr>
              <w:fldChar w:fldCharType="separate"/>
            </w:r>
            <w:r>
              <w:rPr>
                <w:noProof/>
                <w:webHidden/>
              </w:rPr>
              <w:t>10</w:t>
            </w:r>
            <w:r>
              <w:rPr>
                <w:noProof/>
                <w:webHidden/>
              </w:rPr>
              <w:fldChar w:fldCharType="end"/>
            </w:r>
          </w:hyperlink>
        </w:p>
        <w:p w14:paraId="2F90D212" w14:textId="5AAC701B"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7" w:history="1">
            <w:r w:rsidRPr="00CD7383">
              <w:rPr>
                <w:rStyle w:val="Hyperlink"/>
                <w:noProof/>
              </w:rPr>
              <w:t>Improving building performance</w:t>
            </w:r>
            <w:r>
              <w:rPr>
                <w:noProof/>
                <w:webHidden/>
              </w:rPr>
              <w:tab/>
            </w:r>
            <w:r>
              <w:rPr>
                <w:noProof/>
                <w:webHidden/>
              </w:rPr>
              <w:fldChar w:fldCharType="begin"/>
            </w:r>
            <w:r>
              <w:rPr>
                <w:noProof/>
                <w:webHidden/>
              </w:rPr>
              <w:instrText xml:space="preserve"> PAGEREF _Toc218750547 \h </w:instrText>
            </w:r>
            <w:r>
              <w:rPr>
                <w:noProof/>
                <w:webHidden/>
              </w:rPr>
            </w:r>
            <w:r>
              <w:rPr>
                <w:noProof/>
                <w:webHidden/>
              </w:rPr>
              <w:fldChar w:fldCharType="separate"/>
            </w:r>
            <w:r>
              <w:rPr>
                <w:noProof/>
                <w:webHidden/>
              </w:rPr>
              <w:t>11</w:t>
            </w:r>
            <w:r>
              <w:rPr>
                <w:noProof/>
                <w:webHidden/>
              </w:rPr>
              <w:fldChar w:fldCharType="end"/>
            </w:r>
          </w:hyperlink>
        </w:p>
        <w:p w14:paraId="61D7BCFA" w14:textId="02DF0D08"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8" w:history="1">
            <w:r w:rsidRPr="00CD7383">
              <w:rPr>
                <w:rStyle w:val="Hyperlink"/>
                <w:noProof/>
              </w:rPr>
              <w:t>Fleet transition and charging infrastructure</w:t>
            </w:r>
            <w:r>
              <w:rPr>
                <w:noProof/>
                <w:webHidden/>
              </w:rPr>
              <w:tab/>
            </w:r>
            <w:r>
              <w:rPr>
                <w:noProof/>
                <w:webHidden/>
              </w:rPr>
              <w:fldChar w:fldCharType="begin"/>
            </w:r>
            <w:r>
              <w:rPr>
                <w:noProof/>
                <w:webHidden/>
              </w:rPr>
              <w:instrText xml:space="preserve"> PAGEREF _Toc218750548 \h </w:instrText>
            </w:r>
            <w:r>
              <w:rPr>
                <w:noProof/>
                <w:webHidden/>
              </w:rPr>
            </w:r>
            <w:r>
              <w:rPr>
                <w:noProof/>
                <w:webHidden/>
              </w:rPr>
              <w:fldChar w:fldCharType="separate"/>
            </w:r>
            <w:r>
              <w:rPr>
                <w:noProof/>
                <w:webHidden/>
              </w:rPr>
              <w:t>12</w:t>
            </w:r>
            <w:r>
              <w:rPr>
                <w:noProof/>
                <w:webHidden/>
              </w:rPr>
              <w:fldChar w:fldCharType="end"/>
            </w:r>
          </w:hyperlink>
        </w:p>
        <w:p w14:paraId="2C79A4C1" w14:textId="204B412D"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49" w:history="1">
            <w:r w:rsidRPr="00CD7383">
              <w:rPr>
                <w:rStyle w:val="Hyperlink"/>
                <w:noProof/>
              </w:rPr>
              <w:t>Sustainable procurement</w:t>
            </w:r>
            <w:r>
              <w:rPr>
                <w:noProof/>
                <w:webHidden/>
              </w:rPr>
              <w:tab/>
            </w:r>
            <w:r>
              <w:rPr>
                <w:noProof/>
                <w:webHidden/>
              </w:rPr>
              <w:fldChar w:fldCharType="begin"/>
            </w:r>
            <w:r>
              <w:rPr>
                <w:noProof/>
                <w:webHidden/>
              </w:rPr>
              <w:instrText xml:space="preserve"> PAGEREF _Toc218750549 \h </w:instrText>
            </w:r>
            <w:r>
              <w:rPr>
                <w:noProof/>
                <w:webHidden/>
              </w:rPr>
            </w:r>
            <w:r>
              <w:rPr>
                <w:noProof/>
                <w:webHidden/>
              </w:rPr>
              <w:fldChar w:fldCharType="separate"/>
            </w:r>
            <w:r>
              <w:rPr>
                <w:noProof/>
                <w:webHidden/>
              </w:rPr>
              <w:t>13</w:t>
            </w:r>
            <w:r>
              <w:rPr>
                <w:noProof/>
                <w:webHidden/>
              </w:rPr>
              <w:fldChar w:fldCharType="end"/>
            </w:r>
          </w:hyperlink>
        </w:p>
        <w:p w14:paraId="51B24319" w14:textId="3D23E5AE"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50" w:history="1">
            <w:r w:rsidRPr="00CD7383">
              <w:rPr>
                <w:rStyle w:val="Hyperlink"/>
                <w:noProof/>
              </w:rPr>
              <w:t>Data centre transition</w:t>
            </w:r>
            <w:r>
              <w:rPr>
                <w:noProof/>
                <w:webHidden/>
              </w:rPr>
              <w:tab/>
            </w:r>
            <w:r>
              <w:rPr>
                <w:noProof/>
                <w:webHidden/>
              </w:rPr>
              <w:fldChar w:fldCharType="begin"/>
            </w:r>
            <w:r>
              <w:rPr>
                <w:noProof/>
                <w:webHidden/>
              </w:rPr>
              <w:instrText xml:space="preserve"> PAGEREF _Toc218750550 \h </w:instrText>
            </w:r>
            <w:r>
              <w:rPr>
                <w:noProof/>
                <w:webHidden/>
              </w:rPr>
            </w:r>
            <w:r>
              <w:rPr>
                <w:noProof/>
                <w:webHidden/>
              </w:rPr>
              <w:fldChar w:fldCharType="separate"/>
            </w:r>
            <w:r>
              <w:rPr>
                <w:noProof/>
                <w:webHidden/>
              </w:rPr>
              <w:t>14</w:t>
            </w:r>
            <w:r>
              <w:rPr>
                <w:noProof/>
                <w:webHidden/>
              </w:rPr>
              <w:fldChar w:fldCharType="end"/>
            </w:r>
          </w:hyperlink>
        </w:p>
        <w:p w14:paraId="3EC4FEC2" w14:textId="187905BE"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51" w:history="1">
            <w:r w:rsidRPr="00CD7383">
              <w:rPr>
                <w:rStyle w:val="Hyperlink"/>
                <w:noProof/>
              </w:rPr>
              <w:t>Carbon offsets</w:t>
            </w:r>
            <w:r>
              <w:rPr>
                <w:noProof/>
                <w:webHidden/>
              </w:rPr>
              <w:tab/>
            </w:r>
            <w:r>
              <w:rPr>
                <w:noProof/>
                <w:webHidden/>
              </w:rPr>
              <w:fldChar w:fldCharType="begin"/>
            </w:r>
            <w:r>
              <w:rPr>
                <w:noProof/>
                <w:webHidden/>
              </w:rPr>
              <w:instrText xml:space="preserve"> PAGEREF _Toc218750551 \h </w:instrText>
            </w:r>
            <w:r>
              <w:rPr>
                <w:noProof/>
                <w:webHidden/>
              </w:rPr>
            </w:r>
            <w:r>
              <w:rPr>
                <w:noProof/>
                <w:webHidden/>
              </w:rPr>
              <w:fldChar w:fldCharType="separate"/>
            </w:r>
            <w:r>
              <w:rPr>
                <w:noProof/>
                <w:webHidden/>
              </w:rPr>
              <w:t>14</w:t>
            </w:r>
            <w:r>
              <w:rPr>
                <w:noProof/>
                <w:webHidden/>
              </w:rPr>
              <w:fldChar w:fldCharType="end"/>
            </w:r>
          </w:hyperlink>
        </w:p>
        <w:p w14:paraId="266E28CD" w14:textId="5FF6ED4F" w:rsidR="00960488" w:rsidRDefault="00960488">
          <w:pPr>
            <w:pStyle w:val="TOC2"/>
            <w:rPr>
              <w:rFonts w:asciiTheme="minorHAnsi" w:eastAsiaTheme="minorEastAsia" w:hAnsiTheme="minorHAnsi" w:cstheme="minorBidi"/>
              <w:noProof/>
              <w:kern w:val="2"/>
              <w:sz w:val="24"/>
              <w14:ligatures w14:val="standardContextual"/>
            </w:rPr>
          </w:pPr>
          <w:hyperlink w:anchor="_Toc218750552" w:history="1">
            <w:r w:rsidRPr="00CD7383">
              <w:rPr>
                <w:rStyle w:val="Hyperlink"/>
                <w:noProof/>
              </w:rPr>
              <w:t>Additional initiatives</w:t>
            </w:r>
            <w:r>
              <w:rPr>
                <w:noProof/>
                <w:webHidden/>
              </w:rPr>
              <w:tab/>
            </w:r>
            <w:r>
              <w:rPr>
                <w:noProof/>
                <w:webHidden/>
              </w:rPr>
              <w:fldChar w:fldCharType="begin"/>
            </w:r>
            <w:r>
              <w:rPr>
                <w:noProof/>
                <w:webHidden/>
              </w:rPr>
              <w:instrText xml:space="preserve"> PAGEREF _Toc218750552 \h </w:instrText>
            </w:r>
            <w:r>
              <w:rPr>
                <w:noProof/>
                <w:webHidden/>
              </w:rPr>
            </w:r>
            <w:r>
              <w:rPr>
                <w:noProof/>
                <w:webHidden/>
              </w:rPr>
              <w:fldChar w:fldCharType="separate"/>
            </w:r>
            <w:r>
              <w:rPr>
                <w:noProof/>
                <w:webHidden/>
              </w:rPr>
              <w:t>14</w:t>
            </w:r>
            <w:r>
              <w:rPr>
                <w:noProof/>
                <w:webHidden/>
              </w:rPr>
              <w:fldChar w:fldCharType="end"/>
            </w:r>
          </w:hyperlink>
        </w:p>
        <w:p w14:paraId="6B200F85" w14:textId="188AE85B"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53" w:history="1">
            <w:r w:rsidRPr="00CD7383">
              <w:rPr>
                <w:rStyle w:val="Hyperlink"/>
                <w:noProof/>
              </w:rPr>
              <w:t>Agency reporting and monitoring requirements</w:t>
            </w:r>
            <w:r>
              <w:rPr>
                <w:noProof/>
                <w:webHidden/>
              </w:rPr>
              <w:tab/>
            </w:r>
            <w:r>
              <w:rPr>
                <w:noProof/>
                <w:webHidden/>
              </w:rPr>
              <w:fldChar w:fldCharType="begin"/>
            </w:r>
            <w:r>
              <w:rPr>
                <w:noProof/>
                <w:webHidden/>
              </w:rPr>
              <w:instrText xml:space="preserve"> PAGEREF _Toc218750553 \h </w:instrText>
            </w:r>
            <w:r>
              <w:rPr>
                <w:noProof/>
                <w:webHidden/>
              </w:rPr>
            </w:r>
            <w:r>
              <w:rPr>
                <w:noProof/>
                <w:webHidden/>
              </w:rPr>
              <w:fldChar w:fldCharType="separate"/>
            </w:r>
            <w:r>
              <w:rPr>
                <w:noProof/>
                <w:webHidden/>
              </w:rPr>
              <w:t>16</w:t>
            </w:r>
            <w:r>
              <w:rPr>
                <w:noProof/>
                <w:webHidden/>
              </w:rPr>
              <w:fldChar w:fldCharType="end"/>
            </w:r>
          </w:hyperlink>
        </w:p>
        <w:p w14:paraId="4800535B" w14:textId="48D9E7E7"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54" w:history="1">
            <w:r w:rsidRPr="00CD7383">
              <w:rPr>
                <w:rStyle w:val="Hyperlink"/>
                <w:noProof/>
              </w:rPr>
              <w:t>Staffing and resourcing</w:t>
            </w:r>
            <w:r>
              <w:rPr>
                <w:noProof/>
                <w:webHidden/>
              </w:rPr>
              <w:tab/>
            </w:r>
            <w:r>
              <w:rPr>
                <w:noProof/>
                <w:webHidden/>
              </w:rPr>
              <w:fldChar w:fldCharType="begin"/>
            </w:r>
            <w:r>
              <w:rPr>
                <w:noProof/>
                <w:webHidden/>
              </w:rPr>
              <w:instrText xml:space="preserve"> PAGEREF _Toc218750554 \h </w:instrText>
            </w:r>
            <w:r>
              <w:rPr>
                <w:noProof/>
                <w:webHidden/>
              </w:rPr>
            </w:r>
            <w:r>
              <w:rPr>
                <w:noProof/>
                <w:webHidden/>
              </w:rPr>
              <w:fldChar w:fldCharType="separate"/>
            </w:r>
            <w:r>
              <w:rPr>
                <w:noProof/>
                <w:webHidden/>
              </w:rPr>
              <w:t>16</w:t>
            </w:r>
            <w:r>
              <w:rPr>
                <w:noProof/>
                <w:webHidden/>
              </w:rPr>
              <w:fldChar w:fldCharType="end"/>
            </w:r>
          </w:hyperlink>
        </w:p>
        <w:p w14:paraId="4F8AB594" w14:textId="7537612D" w:rsidR="00960488" w:rsidRDefault="00960488">
          <w:pPr>
            <w:pStyle w:val="TOC2"/>
            <w:rPr>
              <w:rFonts w:asciiTheme="minorHAnsi" w:eastAsiaTheme="minorEastAsia" w:hAnsiTheme="minorHAnsi" w:cstheme="minorBidi"/>
              <w:noProof/>
              <w:kern w:val="2"/>
              <w:sz w:val="24"/>
              <w14:ligatures w14:val="standardContextual"/>
            </w:rPr>
          </w:pPr>
          <w:hyperlink w:anchor="_Toc218750555" w:history="1">
            <w:r w:rsidRPr="00CD7383">
              <w:rPr>
                <w:rStyle w:val="Hyperlink"/>
                <w:noProof/>
              </w:rPr>
              <w:t>Investment in net zero emissions</w:t>
            </w:r>
            <w:r>
              <w:rPr>
                <w:noProof/>
                <w:webHidden/>
              </w:rPr>
              <w:tab/>
            </w:r>
            <w:r>
              <w:rPr>
                <w:noProof/>
                <w:webHidden/>
              </w:rPr>
              <w:fldChar w:fldCharType="begin"/>
            </w:r>
            <w:r>
              <w:rPr>
                <w:noProof/>
                <w:webHidden/>
              </w:rPr>
              <w:instrText xml:space="preserve"> PAGEREF _Toc218750555 \h </w:instrText>
            </w:r>
            <w:r>
              <w:rPr>
                <w:noProof/>
                <w:webHidden/>
              </w:rPr>
            </w:r>
            <w:r>
              <w:rPr>
                <w:noProof/>
                <w:webHidden/>
              </w:rPr>
              <w:fldChar w:fldCharType="separate"/>
            </w:r>
            <w:r>
              <w:rPr>
                <w:noProof/>
                <w:webHidden/>
              </w:rPr>
              <w:t>17</w:t>
            </w:r>
            <w:r>
              <w:rPr>
                <w:noProof/>
                <w:webHidden/>
              </w:rPr>
              <w:fldChar w:fldCharType="end"/>
            </w:r>
          </w:hyperlink>
        </w:p>
        <w:p w14:paraId="1764E1B5" w14:textId="292CE6E3" w:rsidR="00960488" w:rsidRDefault="00960488">
          <w:pPr>
            <w:pStyle w:val="TOC3"/>
            <w:rPr>
              <w:rFonts w:asciiTheme="minorHAnsi" w:eastAsiaTheme="minorEastAsia" w:hAnsiTheme="minorHAnsi" w:cstheme="minorBidi"/>
              <w:noProof/>
              <w:kern w:val="2"/>
              <w:sz w:val="24"/>
              <w:szCs w:val="24"/>
              <w14:ligatures w14:val="standardContextual"/>
            </w:rPr>
          </w:pPr>
          <w:hyperlink w:anchor="_Toc218750556" w:history="1">
            <w:r w:rsidRPr="00CD7383">
              <w:rPr>
                <w:rStyle w:val="Hyperlink"/>
                <w:noProof/>
              </w:rPr>
              <w:t>Alternative funding options</w:t>
            </w:r>
            <w:r>
              <w:rPr>
                <w:noProof/>
                <w:webHidden/>
              </w:rPr>
              <w:tab/>
            </w:r>
            <w:r>
              <w:rPr>
                <w:noProof/>
                <w:webHidden/>
              </w:rPr>
              <w:fldChar w:fldCharType="begin"/>
            </w:r>
            <w:r>
              <w:rPr>
                <w:noProof/>
                <w:webHidden/>
              </w:rPr>
              <w:instrText xml:space="preserve"> PAGEREF _Toc218750556 \h </w:instrText>
            </w:r>
            <w:r>
              <w:rPr>
                <w:noProof/>
                <w:webHidden/>
              </w:rPr>
            </w:r>
            <w:r>
              <w:rPr>
                <w:noProof/>
                <w:webHidden/>
              </w:rPr>
              <w:fldChar w:fldCharType="separate"/>
            </w:r>
            <w:r>
              <w:rPr>
                <w:noProof/>
                <w:webHidden/>
              </w:rPr>
              <w:t>17</w:t>
            </w:r>
            <w:r>
              <w:rPr>
                <w:noProof/>
                <w:webHidden/>
              </w:rPr>
              <w:fldChar w:fldCharType="end"/>
            </w:r>
          </w:hyperlink>
        </w:p>
        <w:p w14:paraId="1433A8A9" w14:textId="7FD4CF89" w:rsidR="00960488" w:rsidRDefault="00960488">
          <w:pPr>
            <w:pStyle w:val="TOC1"/>
            <w:rPr>
              <w:rFonts w:asciiTheme="minorHAnsi" w:eastAsiaTheme="minorEastAsia" w:hAnsiTheme="minorHAnsi" w:cstheme="minorBidi"/>
              <w:b w:val="0"/>
              <w:kern w:val="2"/>
              <w14:ligatures w14:val="standardContextual"/>
            </w:rPr>
          </w:pPr>
          <w:hyperlink w:anchor="_Toc218750557" w:history="1">
            <w:r w:rsidRPr="00CD7383">
              <w:rPr>
                <w:rStyle w:val="Hyperlink"/>
              </w:rPr>
              <w:t>Appendix A – NZGO targets and measures</w:t>
            </w:r>
            <w:r>
              <w:rPr>
                <w:webHidden/>
              </w:rPr>
              <w:tab/>
            </w:r>
            <w:r>
              <w:rPr>
                <w:webHidden/>
              </w:rPr>
              <w:fldChar w:fldCharType="begin"/>
            </w:r>
            <w:r>
              <w:rPr>
                <w:webHidden/>
              </w:rPr>
              <w:instrText xml:space="preserve"> PAGEREF _Toc218750557 \h </w:instrText>
            </w:r>
            <w:r>
              <w:rPr>
                <w:webHidden/>
              </w:rPr>
            </w:r>
            <w:r>
              <w:rPr>
                <w:webHidden/>
              </w:rPr>
              <w:fldChar w:fldCharType="separate"/>
            </w:r>
            <w:r>
              <w:rPr>
                <w:webHidden/>
              </w:rPr>
              <w:t>19</w:t>
            </w:r>
            <w:r>
              <w:rPr>
                <w:webHidden/>
              </w:rPr>
              <w:fldChar w:fldCharType="end"/>
            </w:r>
          </w:hyperlink>
        </w:p>
        <w:p w14:paraId="4E176E2E" w14:textId="1CDA0EF3" w:rsidR="00437E65" w:rsidRDefault="00216A32">
          <w:r>
            <w:rPr>
              <w:rFonts w:ascii="Arial" w:hAnsi="Arial" w:cstheme="minorHAnsi"/>
              <w:b/>
              <w:noProof/>
            </w:rPr>
            <w:fldChar w:fldCharType="end"/>
          </w:r>
        </w:p>
      </w:sdtContent>
    </w:sdt>
    <w:p w14:paraId="73EAC242" w14:textId="77777777" w:rsidR="00E976E9" w:rsidRPr="004C4E97" w:rsidRDefault="00E976E9"/>
    <w:p w14:paraId="102B5F3B" w14:textId="77777777" w:rsidR="00CA7C89" w:rsidRPr="004C4E97" w:rsidRDefault="00CA7C89">
      <w:pPr>
        <w:rPr>
          <w:rFonts w:asciiTheme="minorHAnsi" w:hAnsiTheme="minorHAnsi" w:cstheme="minorHAnsi"/>
          <w:sz w:val="22"/>
        </w:rPr>
      </w:pPr>
      <w:r w:rsidRPr="004C4E97">
        <w:br w:type="page"/>
      </w:r>
    </w:p>
    <w:p w14:paraId="28131C28" w14:textId="46BE4C38" w:rsidR="00401E31" w:rsidRPr="00401E31" w:rsidRDefault="00A03448" w:rsidP="005567E1">
      <w:pPr>
        <w:pStyle w:val="SAHeadinglevel1"/>
      </w:pPr>
      <w:bookmarkStart w:id="1" w:name="_Toc147758801"/>
      <w:bookmarkStart w:id="2" w:name="_Toc218750535"/>
      <w:r>
        <w:t>Purpose</w:t>
      </w:r>
      <w:bookmarkEnd w:id="1"/>
      <w:bookmarkEnd w:id="2"/>
      <w:r>
        <w:t xml:space="preserve"> </w:t>
      </w:r>
    </w:p>
    <w:p w14:paraId="66E6A960" w14:textId="3B2F9538" w:rsidR="00A03448" w:rsidRPr="004108B1" w:rsidRDefault="00A03448" w:rsidP="00C71D9F">
      <w:pPr>
        <w:pStyle w:val="BodyText"/>
      </w:pPr>
      <w:r w:rsidRPr="004108B1">
        <w:t xml:space="preserve">Services Australia (the </w:t>
      </w:r>
      <w:r w:rsidR="00A750A7">
        <w:t>a</w:t>
      </w:r>
      <w:r w:rsidRPr="004108B1">
        <w:t>gency) has a</w:t>
      </w:r>
      <w:r w:rsidR="00045EEB">
        <w:t>n</w:t>
      </w:r>
      <w:r w:rsidRPr="004108B1">
        <w:t xml:space="preserve"> </w:t>
      </w:r>
      <w:r w:rsidR="008451F0" w:rsidRPr="004108B1">
        <w:t>essential</w:t>
      </w:r>
      <w:r w:rsidRPr="004108B1">
        <w:t xml:space="preserve"> role in managing</w:t>
      </w:r>
      <w:r w:rsidR="008451F0">
        <w:t xml:space="preserve"> and implementing</w:t>
      </w:r>
      <w:r w:rsidRPr="004108B1">
        <w:t xml:space="preserve"> emissions reduction initiatives set by </w:t>
      </w:r>
      <w:r w:rsidR="008451F0">
        <w:t xml:space="preserve">the Australian Government through the </w:t>
      </w:r>
      <w:r w:rsidRPr="004108B1">
        <w:t xml:space="preserve">Department of Finance’s (Finance) Net Zero in Government Operations (NZGO) </w:t>
      </w:r>
      <w:r w:rsidR="00B224EF">
        <w:t>policy</w:t>
      </w:r>
      <w:r w:rsidRPr="004108B1">
        <w:t xml:space="preserve">. </w:t>
      </w:r>
      <w:r w:rsidR="00B224EF">
        <w:t>NZGO represents the foundation for the Australian Government’s approach to achieving net zero greenhouse gas emissions in its operations and to publicly report on these emissions.</w:t>
      </w:r>
    </w:p>
    <w:p w14:paraId="657B8CC3" w14:textId="5AD87CB7" w:rsidR="000260E1" w:rsidRPr="004108B1" w:rsidRDefault="00A03448" w:rsidP="00C71D9F">
      <w:pPr>
        <w:pStyle w:val="BodyText"/>
      </w:pPr>
      <w:r w:rsidRPr="004108B1">
        <w:t xml:space="preserve">The </w:t>
      </w:r>
      <w:r w:rsidR="00A750A7">
        <w:t>a</w:t>
      </w:r>
      <w:r w:rsidRPr="004108B1">
        <w:t xml:space="preserve">gency </w:t>
      </w:r>
      <w:r w:rsidR="008451F0">
        <w:t xml:space="preserve">has commenced </w:t>
      </w:r>
      <w:r w:rsidRPr="004108B1">
        <w:t>its net zero emissions pathway</w:t>
      </w:r>
      <w:r w:rsidR="008451F0">
        <w:t xml:space="preserve"> in line with the </w:t>
      </w:r>
      <w:r w:rsidRPr="004108B1">
        <w:t>direction set by Finance</w:t>
      </w:r>
      <w:r w:rsidR="008451F0">
        <w:t xml:space="preserve"> and NZGO </w:t>
      </w:r>
      <w:r w:rsidR="00B224EF">
        <w:t>policy</w:t>
      </w:r>
      <w:r w:rsidR="008451F0">
        <w:t xml:space="preserve">. This </w:t>
      </w:r>
      <w:r w:rsidRPr="004108B1">
        <w:t>includes:</w:t>
      </w:r>
    </w:p>
    <w:p w14:paraId="31581BA8" w14:textId="3E355445" w:rsidR="00A03448" w:rsidRPr="004108B1" w:rsidRDefault="00A750A7" w:rsidP="005567E1">
      <w:pPr>
        <w:pStyle w:val="SABulletslevel"/>
      </w:pPr>
      <w:r>
        <w:t>p</w:t>
      </w:r>
      <w:r w:rsidR="00A03448" w:rsidRPr="004108B1">
        <w:t>rioritisation of sites for focusing emission reduction efforts</w:t>
      </w:r>
    </w:p>
    <w:p w14:paraId="1C29B8E0" w14:textId="1EEEA21A" w:rsidR="00A03448" w:rsidRPr="004108B1" w:rsidRDefault="00A750A7" w:rsidP="005567E1">
      <w:pPr>
        <w:pStyle w:val="SABulletslevel"/>
      </w:pPr>
      <w:r>
        <w:t>e</w:t>
      </w:r>
      <w:r w:rsidR="00A03448" w:rsidRPr="004108B1">
        <w:t xml:space="preserve">stablishing monitoring and reporting protocols and sharing of data between landlords and tenants </w:t>
      </w:r>
    </w:p>
    <w:p w14:paraId="07A62FBD" w14:textId="43CD7A6A" w:rsidR="00A03448" w:rsidRPr="004108B1" w:rsidRDefault="00A750A7" w:rsidP="005567E1">
      <w:pPr>
        <w:pStyle w:val="SABulletslevel"/>
      </w:pPr>
      <w:r>
        <w:t>i</w:t>
      </w:r>
      <w:r w:rsidR="00A03448" w:rsidRPr="004108B1">
        <w:t>nvesting in decarbonising energy contracts, property portfolio</w:t>
      </w:r>
      <w:r>
        <w:t>s</w:t>
      </w:r>
      <w:r w:rsidR="00A03448" w:rsidRPr="004108B1">
        <w:t>, fleet and operations</w:t>
      </w:r>
    </w:p>
    <w:p w14:paraId="0D820848" w14:textId="3D4C2E7D" w:rsidR="00A03448" w:rsidRPr="004108B1" w:rsidRDefault="00A750A7" w:rsidP="005567E1">
      <w:pPr>
        <w:pStyle w:val="SABulletslevel"/>
      </w:pPr>
      <w:r>
        <w:t>p</w:t>
      </w:r>
      <w:r w:rsidR="00A03448" w:rsidRPr="004108B1">
        <w:t>roviding resources for building staff capability and empowering them to be strong sustainability leaders</w:t>
      </w:r>
      <w:r>
        <w:t>.</w:t>
      </w:r>
    </w:p>
    <w:p w14:paraId="5084627C" w14:textId="20125CEF" w:rsidR="00A03448" w:rsidRPr="004108B1" w:rsidRDefault="00C71D9F" w:rsidP="005567E1">
      <w:pPr>
        <w:pStyle w:val="BodyText"/>
        <w:rPr>
          <w:rFonts w:cs="Arial"/>
          <w:szCs w:val="22"/>
        </w:rPr>
      </w:pPr>
      <w:r>
        <w:rPr>
          <w:rFonts w:cs="Arial"/>
          <w:szCs w:val="22"/>
        </w:rPr>
        <w:t>This action plan sets out t</w:t>
      </w:r>
      <w:r w:rsidR="008451F0">
        <w:rPr>
          <w:rFonts w:cs="Arial"/>
          <w:szCs w:val="22"/>
        </w:rPr>
        <w:t xml:space="preserve">he steps </w:t>
      </w:r>
      <w:r w:rsidR="00B76627">
        <w:rPr>
          <w:rFonts w:cs="Arial"/>
          <w:szCs w:val="22"/>
        </w:rPr>
        <w:t>we’ll</w:t>
      </w:r>
      <w:r w:rsidR="008451F0">
        <w:rPr>
          <w:rFonts w:cs="Arial"/>
          <w:szCs w:val="22"/>
        </w:rPr>
        <w:t xml:space="preserve"> take to</w:t>
      </w:r>
      <w:r w:rsidR="00A03448" w:rsidRPr="004108B1">
        <w:rPr>
          <w:rFonts w:cs="Arial"/>
          <w:szCs w:val="22"/>
        </w:rPr>
        <w:t xml:space="preserve"> </w:t>
      </w:r>
      <w:r>
        <w:rPr>
          <w:rFonts w:cs="Arial"/>
          <w:szCs w:val="22"/>
        </w:rPr>
        <w:t xml:space="preserve">help </w:t>
      </w:r>
      <w:r w:rsidR="008451F0">
        <w:rPr>
          <w:rFonts w:cs="Arial"/>
          <w:szCs w:val="22"/>
        </w:rPr>
        <w:t xml:space="preserve">achieve </w:t>
      </w:r>
      <w:r w:rsidR="00A750A7">
        <w:rPr>
          <w:rFonts w:cs="Arial"/>
          <w:szCs w:val="22"/>
        </w:rPr>
        <w:t xml:space="preserve">net zero </w:t>
      </w:r>
      <w:r w:rsidR="008451F0">
        <w:rPr>
          <w:rFonts w:cs="Arial"/>
          <w:szCs w:val="22"/>
        </w:rPr>
        <w:t>in the APS by 2030</w:t>
      </w:r>
      <w:r w:rsidR="00A03448" w:rsidRPr="004108B1">
        <w:rPr>
          <w:rFonts w:cs="Arial"/>
          <w:szCs w:val="22"/>
        </w:rPr>
        <w:t xml:space="preserve">. </w:t>
      </w:r>
      <w:r w:rsidR="008451F0">
        <w:rPr>
          <w:rFonts w:cs="Arial"/>
          <w:szCs w:val="22"/>
        </w:rPr>
        <w:t xml:space="preserve">The plan </w:t>
      </w:r>
      <w:r w:rsidR="00A03448" w:rsidRPr="004108B1">
        <w:rPr>
          <w:rFonts w:cs="Arial"/>
          <w:szCs w:val="22"/>
        </w:rPr>
        <w:t xml:space="preserve">encompasses new and existing initiatives from the </w:t>
      </w:r>
      <w:r w:rsidR="00A750A7">
        <w:rPr>
          <w:rFonts w:cs="Arial"/>
          <w:szCs w:val="22"/>
        </w:rPr>
        <w:t>a</w:t>
      </w:r>
      <w:r w:rsidR="00A750A7" w:rsidRPr="004108B1">
        <w:rPr>
          <w:rFonts w:cs="Arial"/>
          <w:szCs w:val="22"/>
        </w:rPr>
        <w:t xml:space="preserve">gency </w:t>
      </w:r>
      <w:r w:rsidR="00A03448" w:rsidRPr="004108B1">
        <w:rPr>
          <w:rFonts w:cs="Arial"/>
          <w:szCs w:val="22"/>
        </w:rPr>
        <w:t>to benefit emissions reduction and contribute to meeting th</w:t>
      </w:r>
      <w:r w:rsidR="00B76627">
        <w:rPr>
          <w:rFonts w:cs="Arial"/>
          <w:szCs w:val="22"/>
        </w:rPr>
        <w:t>is target.</w:t>
      </w:r>
    </w:p>
    <w:p w14:paraId="1DAC41C5" w14:textId="0A978704" w:rsidR="00A03448" w:rsidRPr="00870920" w:rsidRDefault="00A03448" w:rsidP="005567E1">
      <w:pPr>
        <w:pStyle w:val="SAHeadinglevel1"/>
      </w:pPr>
      <w:bookmarkStart w:id="3" w:name="_Toc147758803"/>
      <w:bookmarkStart w:id="4" w:name="_Toc218750536"/>
      <w:r>
        <w:t xml:space="preserve">Net </w:t>
      </w:r>
      <w:r w:rsidR="00EF60B9">
        <w:t xml:space="preserve">zero greenhouse gas </w:t>
      </w:r>
      <w:bookmarkEnd w:id="3"/>
      <w:r w:rsidR="00EF60B9">
        <w:t>emissions</w:t>
      </w:r>
      <w:bookmarkEnd w:id="4"/>
      <w:r w:rsidR="00EF60B9">
        <w:t xml:space="preserve"> </w:t>
      </w:r>
    </w:p>
    <w:p w14:paraId="62408F1F" w14:textId="12DBC12D" w:rsidR="00C12CF2" w:rsidRPr="002B1893" w:rsidRDefault="00A03448" w:rsidP="005567E1">
      <w:pPr>
        <w:pStyle w:val="BodyText"/>
      </w:pPr>
      <w:r w:rsidRPr="002B1893">
        <w:t xml:space="preserve">Net zero greenhouse gas emissions </w:t>
      </w:r>
      <w:proofErr w:type="gramStart"/>
      <w:r w:rsidRPr="002B1893">
        <w:t>refers</w:t>
      </w:r>
      <w:proofErr w:type="gramEnd"/>
      <w:r w:rsidRPr="002B1893">
        <w:t xml:space="preserve"> to achieving balance between greenhouse gas emissions produced and greenhouse gas emissions taken out of the atmosphere</w:t>
      </w:r>
      <w:r w:rsidR="00E65989" w:rsidRPr="002B1893">
        <w:t>.</w:t>
      </w:r>
      <w:r w:rsidRPr="00C06F99">
        <w:rPr>
          <w:vertAlign w:val="superscript"/>
        </w:rPr>
        <w:footnoteReference w:id="1"/>
      </w:r>
      <w:r w:rsidR="00C12CF2" w:rsidRPr="002B1893">
        <w:t xml:space="preserve"> </w:t>
      </w:r>
      <w:r w:rsidRPr="002B1893">
        <w:t xml:space="preserve">From an </w:t>
      </w:r>
      <w:r w:rsidR="00E65989">
        <w:t>a</w:t>
      </w:r>
      <w:r w:rsidRPr="002B1893">
        <w:t xml:space="preserve">gency perspective, </w:t>
      </w:r>
      <w:r w:rsidR="00C12CF2" w:rsidRPr="002B1893">
        <w:t xml:space="preserve">this </w:t>
      </w:r>
      <w:r w:rsidRPr="002B1893">
        <w:t xml:space="preserve">means </w:t>
      </w:r>
      <w:r w:rsidR="00C12CF2" w:rsidRPr="002B1893">
        <w:t>minimis</w:t>
      </w:r>
      <w:r w:rsidR="00E65989">
        <w:t xml:space="preserve">ing the amount of </w:t>
      </w:r>
      <w:r w:rsidRPr="002B1893">
        <w:t xml:space="preserve">greenhouse gas emissions </w:t>
      </w:r>
      <w:r w:rsidR="0089164B" w:rsidRPr="002B1893">
        <w:t>that</w:t>
      </w:r>
      <w:r w:rsidR="00C12CF2" w:rsidRPr="002B1893">
        <w:t xml:space="preserve"> we</w:t>
      </w:r>
      <w:r w:rsidRPr="002B1893">
        <w:t xml:space="preserve"> emit</w:t>
      </w:r>
      <w:r w:rsidR="00C71D9F">
        <w:t xml:space="preserve">, </w:t>
      </w:r>
      <w:r w:rsidRPr="002B1893">
        <w:t xml:space="preserve">within </w:t>
      </w:r>
      <w:r w:rsidR="00C12CF2" w:rsidRPr="002B1893">
        <w:t>our</w:t>
      </w:r>
      <w:r w:rsidRPr="002B1893">
        <w:t xml:space="preserve"> control. </w:t>
      </w:r>
    </w:p>
    <w:p w14:paraId="5AB86CB5" w14:textId="62EF7972" w:rsidR="00401E31" w:rsidRPr="002B1893" w:rsidRDefault="00A03448" w:rsidP="005567E1">
      <w:pPr>
        <w:pStyle w:val="BodyText"/>
      </w:pPr>
      <w:r w:rsidRPr="002B1893">
        <w:t>Net zero is achieved when consumption of resources</w:t>
      </w:r>
      <w:r w:rsidR="00C71D9F">
        <w:t>,</w:t>
      </w:r>
      <w:r w:rsidR="004B2AEA" w:rsidRPr="002B1893">
        <w:t xml:space="preserve"> such as electricity</w:t>
      </w:r>
      <w:r w:rsidR="00C71D9F">
        <w:t>,</w:t>
      </w:r>
      <w:r w:rsidRPr="002B1893">
        <w:t xml:space="preserve"> is reduced as far as possible, energy is supplied from renewable sources, and where remaining, unavoidable greenhouse gas emissions</w:t>
      </w:r>
      <w:r w:rsidR="00C06F99">
        <w:t>²</w:t>
      </w:r>
      <w:r w:rsidRPr="002B1893">
        <w:t xml:space="preserve"> are balanced through carbon offsetting.</w:t>
      </w:r>
      <w:r w:rsidR="00C71D9F">
        <w:rPr>
          <w:vertAlign w:val="superscript"/>
        </w:rPr>
        <w:t>3</w:t>
      </w:r>
      <w:r w:rsidRPr="002B1893">
        <w:t xml:space="preserve"> </w:t>
      </w:r>
    </w:p>
    <w:p w14:paraId="62FE7B2C" w14:textId="6E0EAF11" w:rsidR="00A03448" w:rsidRPr="00870920" w:rsidRDefault="00A03448" w:rsidP="005567E1">
      <w:pPr>
        <w:pStyle w:val="SAHeadinglevel1"/>
      </w:pPr>
      <w:bookmarkStart w:id="5" w:name="_Toc147758804"/>
      <w:bookmarkStart w:id="6" w:name="_Toc218750537"/>
      <w:r>
        <w:t xml:space="preserve">Current </w:t>
      </w:r>
      <w:r w:rsidR="00680320">
        <w:t>s</w:t>
      </w:r>
      <w:r>
        <w:t>tate</w:t>
      </w:r>
      <w:bookmarkEnd w:id="5"/>
      <w:bookmarkEnd w:id="6"/>
      <w:r>
        <w:t xml:space="preserve"> </w:t>
      </w:r>
    </w:p>
    <w:p w14:paraId="57C81F66" w14:textId="4B56769F" w:rsidR="00A03448" w:rsidRPr="004108B1" w:rsidRDefault="00A03448" w:rsidP="005567E1">
      <w:pPr>
        <w:pStyle w:val="BodyText"/>
      </w:pPr>
      <w:r w:rsidRPr="004108B1">
        <w:t xml:space="preserve">As </w:t>
      </w:r>
      <w:r w:rsidR="00341747">
        <w:t xml:space="preserve">of </w:t>
      </w:r>
      <w:r w:rsidRPr="004108B1">
        <w:t xml:space="preserve">30 June </w:t>
      </w:r>
      <w:r w:rsidR="00C05FC6">
        <w:t>2025</w:t>
      </w:r>
      <w:r w:rsidRPr="004108B1">
        <w:t xml:space="preserve">, </w:t>
      </w:r>
      <w:r w:rsidR="00FC72A7">
        <w:t>we have</w:t>
      </w:r>
      <w:r w:rsidRPr="004108B1">
        <w:t xml:space="preserve"> </w:t>
      </w:r>
      <w:r w:rsidR="00A4670F">
        <w:t xml:space="preserve">392 </w:t>
      </w:r>
      <w:r w:rsidRPr="004108B1">
        <w:t>sites</w:t>
      </w:r>
      <w:r w:rsidR="00341747">
        <w:t xml:space="preserve"> </w:t>
      </w:r>
      <w:r w:rsidRPr="004108B1">
        <w:t xml:space="preserve">covering </w:t>
      </w:r>
      <w:r w:rsidR="002D2129">
        <w:t>623,45</w:t>
      </w:r>
      <w:r w:rsidR="00A4670F">
        <w:t>0</w:t>
      </w:r>
      <w:r w:rsidR="002D2129" w:rsidRPr="004108B1">
        <w:t>m</w:t>
      </w:r>
      <w:r w:rsidR="002D2129" w:rsidRPr="005F2FE6">
        <w:rPr>
          <w:vertAlign w:val="superscript"/>
        </w:rPr>
        <w:t>2</w:t>
      </w:r>
      <w:r w:rsidRPr="004108B1">
        <w:t xml:space="preserve"> and emitted </w:t>
      </w:r>
      <w:r w:rsidR="002D2129">
        <w:t>approximately 59,527</w:t>
      </w:r>
      <w:r w:rsidR="00341747">
        <w:t xml:space="preserve"> </w:t>
      </w:r>
      <w:r w:rsidRPr="004108B1">
        <w:t>tonnes of carbon dioxide equivalents (tCO2-e).</w:t>
      </w:r>
    </w:p>
    <w:p w14:paraId="7C990092" w14:textId="5A7EA0DF" w:rsidR="00BA62BB" w:rsidRDefault="00A03448" w:rsidP="005567E1">
      <w:pPr>
        <w:pStyle w:val="BodyText"/>
      </w:pPr>
      <w:r w:rsidRPr="004108B1">
        <w:t xml:space="preserve">The source of these emissions </w:t>
      </w:r>
      <w:r w:rsidR="00BB18DF" w:rsidRPr="004108B1">
        <w:t>is</w:t>
      </w:r>
      <w:r w:rsidRPr="004108B1">
        <w:t xml:space="preserve"> broken into </w:t>
      </w:r>
      <w:r w:rsidR="00341747">
        <w:t>3</w:t>
      </w:r>
      <w:r w:rsidR="00341747" w:rsidRPr="004108B1">
        <w:t xml:space="preserve"> </w:t>
      </w:r>
      <w:r w:rsidRPr="004108B1">
        <w:t>scope categories</w:t>
      </w:r>
      <w:r w:rsidR="00BB18DF">
        <w:t xml:space="preserve">, with </w:t>
      </w:r>
      <w:r w:rsidR="00FC72A7">
        <w:t>our</w:t>
      </w:r>
      <w:r w:rsidR="002E2E66">
        <w:t xml:space="preserve"> main source of emissions </w:t>
      </w:r>
      <w:r w:rsidR="002D2129">
        <w:t xml:space="preserve">coming </w:t>
      </w:r>
      <w:r w:rsidR="002E2E66">
        <w:t>from purchased electricity (</w:t>
      </w:r>
      <w:r w:rsidR="00C07D9F">
        <w:t xml:space="preserve">over </w:t>
      </w:r>
      <w:r w:rsidR="002922BD">
        <w:t>9</w:t>
      </w:r>
      <w:r w:rsidR="00C07D9F">
        <w:t>0</w:t>
      </w:r>
      <w:r w:rsidR="002E2E66">
        <w:t>%)</w:t>
      </w:r>
      <w:r w:rsidR="00564D42">
        <w:t xml:space="preserve"> in the </w:t>
      </w:r>
      <w:r w:rsidR="00341747">
        <w:t>s</w:t>
      </w:r>
      <w:r w:rsidR="00564D42">
        <w:t>cope 2</w:t>
      </w:r>
      <w:r w:rsidR="002922BD">
        <w:t xml:space="preserve"> and 3</w:t>
      </w:r>
      <w:r w:rsidR="00564D42">
        <w:t xml:space="preserve"> </w:t>
      </w:r>
      <w:r w:rsidR="00FB2D77">
        <w:t>categories</w:t>
      </w:r>
      <w:r w:rsidR="00045EEB">
        <w:t>.</w:t>
      </w:r>
      <w:r w:rsidR="00BA62BB">
        <w:t xml:space="preserve"> </w:t>
      </w:r>
      <w:r w:rsidR="00045EEB">
        <w:t>T</w:t>
      </w:r>
      <w:r w:rsidR="00BA62BB">
        <w:t xml:space="preserve">his represents one of the key action areas for </w:t>
      </w:r>
      <w:r w:rsidR="00FC72A7">
        <w:t>our</w:t>
      </w:r>
      <w:r w:rsidR="00341747">
        <w:t xml:space="preserve"> </w:t>
      </w:r>
      <w:r w:rsidR="00BA62BB">
        <w:t>emissions reduction</w:t>
      </w:r>
      <w:r w:rsidR="00564D42">
        <w:t>.</w:t>
      </w:r>
    </w:p>
    <w:p w14:paraId="336972C8" w14:textId="1A7F99B5" w:rsidR="00A03448" w:rsidRDefault="005C5E76" w:rsidP="00341747">
      <w:pPr>
        <w:pStyle w:val="BodyText"/>
      </w:pPr>
      <w:r>
        <w:t>Figure 1</w:t>
      </w:r>
      <w:r w:rsidR="00564D42">
        <w:t xml:space="preserve"> </w:t>
      </w:r>
      <w:r w:rsidR="00A03448" w:rsidRPr="004108B1">
        <w:t xml:space="preserve">represents </w:t>
      </w:r>
      <w:r w:rsidR="00FC72A7">
        <w:t>our</w:t>
      </w:r>
      <w:r w:rsidR="00341747" w:rsidRPr="004108B1">
        <w:t xml:space="preserve"> </w:t>
      </w:r>
      <w:r w:rsidR="00A03448" w:rsidRPr="004108B1">
        <w:t>emissions sources</w:t>
      </w:r>
      <w:r w:rsidR="00BA62BB">
        <w:t xml:space="preserve"> in further detail</w:t>
      </w:r>
      <w:r w:rsidR="00A03448" w:rsidRPr="004108B1">
        <w:t xml:space="preserve"> and</w:t>
      </w:r>
      <w:r w:rsidR="00D41101">
        <w:t xml:space="preserve"> </w:t>
      </w:r>
      <w:r w:rsidR="00BA62BB">
        <w:t xml:space="preserve">states </w:t>
      </w:r>
      <w:r w:rsidR="0007082D">
        <w:t>our</w:t>
      </w:r>
      <w:r w:rsidR="00A03448" w:rsidRPr="004108B1">
        <w:t xml:space="preserve"> baseline</w:t>
      </w:r>
      <w:r w:rsidR="00BA62BB">
        <w:t xml:space="preserve"> emissions </w:t>
      </w:r>
      <w:r w:rsidR="00341747">
        <w:t xml:space="preserve">from </w:t>
      </w:r>
      <w:r w:rsidR="00BA62BB">
        <w:t>2022</w:t>
      </w:r>
      <w:r w:rsidR="00341747">
        <w:t>–</w:t>
      </w:r>
      <w:r w:rsidR="00BA62BB">
        <w:t>23</w:t>
      </w:r>
      <w:r w:rsidR="00A03448" w:rsidRPr="004108B1">
        <w:t>.</w:t>
      </w:r>
    </w:p>
    <w:tbl>
      <w:tblPr>
        <w:tblStyle w:val="ServicesAustralia"/>
        <w:tblW w:w="0" w:type="auto"/>
        <w:tblLook w:val="04A0" w:firstRow="1" w:lastRow="0" w:firstColumn="1" w:lastColumn="0" w:noHBand="0" w:noVBand="1"/>
      </w:tblPr>
      <w:tblGrid>
        <w:gridCol w:w="1418"/>
        <w:gridCol w:w="2410"/>
        <w:gridCol w:w="2976"/>
        <w:gridCol w:w="1560"/>
        <w:gridCol w:w="1614"/>
      </w:tblGrid>
      <w:tr w:rsidR="00E70205" w14:paraId="2D8B2360" w14:textId="77777777" w:rsidTr="00556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14:paraId="54CAF743" w14:textId="37FD6C33" w:rsidR="00E70205" w:rsidRDefault="00E70205" w:rsidP="00341747">
            <w:pPr>
              <w:pStyle w:val="BodyText"/>
            </w:pPr>
            <w:r>
              <w:t>Scope</w:t>
            </w:r>
          </w:p>
        </w:tc>
        <w:tc>
          <w:tcPr>
            <w:tcW w:w="2410" w:type="dxa"/>
          </w:tcPr>
          <w:p w14:paraId="097CA8EC" w14:textId="2C5A0AA8" w:rsidR="00E70205" w:rsidRDefault="00E70205" w:rsidP="00341747">
            <w:pPr>
              <w:pStyle w:val="BodyText"/>
              <w:cnfStyle w:val="100000000000" w:firstRow="1" w:lastRow="0" w:firstColumn="0" w:lastColumn="0" w:oddVBand="0" w:evenVBand="0" w:oddHBand="0" w:evenHBand="0" w:firstRowFirstColumn="0" w:firstRowLastColumn="0" w:lastRowFirstColumn="0" w:lastRowLastColumn="0"/>
            </w:pPr>
            <w:r>
              <w:t>Definition</w:t>
            </w:r>
          </w:p>
        </w:tc>
        <w:tc>
          <w:tcPr>
            <w:tcW w:w="2976" w:type="dxa"/>
          </w:tcPr>
          <w:p w14:paraId="0E692893" w14:textId="1E617B5F" w:rsidR="00E70205" w:rsidRDefault="00E70205" w:rsidP="00341747">
            <w:pPr>
              <w:pStyle w:val="BodyText"/>
              <w:cnfStyle w:val="100000000000" w:firstRow="1" w:lastRow="0" w:firstColumn="0" w:lastColumn="0" w:oddVBand="0" w:evenVBand="0" w:oddHBand="0" w:evenHBand="0" w:firstRowFirstColumn="0" w:firstRowLastColumn="0" w:lastRowFirstColumn="0" w:lastRowLastColumn="0"/>
            </w:pPr>
            <w:r>
              <w:t>Agency emissions</w:t>
            </w:r>
          </w:p>
        </w:tc>
        <w:tc>
          <w:tcPr>
            <w:tcW w:w="1560" w:type="dxa"/>
          </w:tcPr>
          <w:p w14:paraId="734643C6" w14:textId="263B363F" w:rsidR="00E70205" w:rsidRDefault="00E70205" w:rsidP="00341747">
            <w:pPr>
              <w:pStyle w:val="BodyText"/>
              <w:cnfStyle w:val="100000000000" w:firstRow="1" w:lastRow="0" w:firstColumn="0" w:lastColumn="0" w:oddVBand="0" w:evenVBand="0" w:oddHBand="0" w:evenHBand="0" w:firstRowFirstColumn="0" w:firstRowLastColumn="0" w:lastRowFirstColumn="0" w:lastRowLastColumn="0"/>
            </w:pPr>
            <w:r>
              <w:t>Baseline (2022–23)</w:t>
            </w:r>
          </w:p>
        </w:tc>
        <w:tc>
          <w:tcPr>
            <w:tcW w:w="1614" w:type="dxa"/>
          </w:tcPr>
          <w:p w14:paraId="69A301DB" w14:textId="6882FB1F" w:rsidR="00E70205" w:rsidRDefault="00E70205" w:rsidP="00341747">
            <w:pPr>
              <w:pStyle w:val="BodyText"/>
              <w:cnfStyle w:val="100000000000" w:firstRow="1" w:lastRow="0" w:firstColumn="0" w:lastColumn="0" w:oddVBand="0" w:evenVBand="0" w:oddHBand="0" w:evenHBand="0" w:firstRowFirstColumn="0" w:firstRowLastColumn="0" w:lastRowFirstColumn="0" w:lastRowLastColumn="0"/>
            </w:pPr>
            <w:r>
              <w:t>Current year (2024–25)</w:t>
            </w:r>
          </w:p>
        </w:tc>
      </w:tr>
      <w:tr w:rsidR="00E70205" w14:paraId="4F65F1CF" w14:textId="77777777" w:rsidTr="005567E1">
        <w:tc>
          <w:tcPr>
            <w:cnfStyle w:val="001000000000" w:firstRow="0" w:lastRow="0" w:firstColumn="1" w:lastColumn="0" w:oddVBand="0" w:evenVBand="0" w:oddHBand="0" w:evenHBand="0" w:firstRowFirstColumn="0" w:firstRowLastColumn="0" w:lastRowFirstColumn="0" w:lastRowLastColumn="0"/>
            <w:tcW w:w="1418" w:type="dxa"/>
          </w:tcPr>
          <w:p w14:paraId="56AC60FB" w14:textId="77777777" w:rsidR="00E70205" w:rsidRDefault="00E70205" w:rsidP="00E70205">
            <w:pPr>
              <w:pStyle w:val="BodyText"/>
              <w:rPr>
                <w:b w:val="0"/>
                <w:bCs w:val="0"/>
              </w:rPr>
            </w:pPr>
            <w:r>
              <w:t>Scope 1</w:t>
            </w:r>
          </w:p>
          <w:p w14:paraId="4DD8D42B" w14:textId="6032B0F9" w:rsidR="00E70205" w:rsidRPr="005567E1" w:rsidRDefault="00E70205" w:rsidP="00E70205">
            <w:pPr>
              <w:pStyle w:val="BodyText"/>
              <w:rPr>
                <w:b w:val="0"/>
                <w:bCs w:val="0"/>
              </w:rPr>
            </w:pPr>
            <w:r w:rsidRPr="00DD0A1E">
              <w:rPr>
                <w:b w:val="0"/>
                <w:bCs w:val="0"/>
              </w:rPr>
              <w:t>‘Direct’ emissions</w:t>
            </w:r>
          </w:p>
        </w:tc>
        <w:tc>
          <w:tcPr>
            <w:tcW w:w="2410" w:type="dxa"/>
          </w:tcPr>
          <w:p w14:paraId="12505B9A" w14:textId="16220820" w:rsidR="00E70205" w:rsidRDefault="00B9565D" w:rsidP="00E70205">
            <w:pPr>
              <w:pStyle w:val="BodyText"/>
              <w:cnfStyle w:val="000000000000" w:firstRow="0" w:lastRow="0" w:firstColumn="0" w:lastColumn="0" w:oddVBand="0" w:evenVBand="0" w:oddHBand="0" w:evenHBand="0" w:firstRowFirstColumn="0" w:firstRowLastColumn="0" w:lastRowFirstColumn="0" w:lastRowLastColumn="0"/>
            </w:pPr>
            <w:r>
              <w:t>Emissions from operations that are owned or controlled by the agency.</w:t>
            </w:r>
          </w:p>
        </w:tc>
        <w:tc>
          <w:tcPr>
            <w:tcW w:w="2976" w:type="dxa"/>
          </w:tcPr>
          <w:p w14:paraId="35476C5A" w14:textId="77777777" w:rsidR="00E70205" w:rsidRDefault="00B9565D" w:rsidP="00B9565D">
            <w:pPr>
              <w:pStyle w:val="SABulletslevel"/>
              <w:cnfStyle w:val="000000000000" w:firstRow="0" w:lastRow="0" w:firstColumn="0" w:lastColumn="0" w:oddVBand="0" w:evenVBand="0" w:oddHBand="0" w:evenHBand="0" w:firstRowFirstColumn="0" w:firstRowLastColumn="0" w:lastRowFirstColumn="0" w:lastRowLastColumn="0"/>
            </w:pPr>
            <w:r>
              <w:t>Fuel used in fleet vehicles</w:t>
            </w:r>
          </w:p>
          <w:p w14:paraId="2FD6DE97" w14:textId="504D8CA4" w:rsidR="00B9565D" w:rsidRDefault="00B9565D" w:rsidP="005567E1">
            <w:pPr>
              <w:pStyle w:val="SABulletslevel"/>
              <w:cnfStyle w:val="000000000000" w:firstRow="0" w:lastRow="0" w:firstColumn="0" w:lastColumn="0" w:oddVBand="0" w:evenVBand="0" w:oddHBand="0" w:evenHBand="0" w:firstRowFirstColumn="0" w:firstRowLastColumn="0" w:lastRowFirstColumn="0" w:lastRowLastColumn="0"/>
            </w:pPr>
            <w:r>
              <w:t>Natural gas used in tenancy of leased buildings</w:t>
            </w:r>
          </w:p>
        </w:tc>
        <w:tc>
          <w:tcPr>
            <w:tcW w:w="1560" w:type="dxa"/>
          </w:tcPr>
          <w:p w14:paraId="612610CF" w14:textId="5A1892C6" w:rsidR="00E70205" w:rsidRDefault="00D722D0" w:rsidP="00E70205">
            <w:pPr>
              <w:pStyle w:val="BodyText"/>
              <w:cnfStyle w:val="000000000000" w:firstRow="0" w:lastRow="0" w:firstColumn="0" w:lastColumn="0" w:oddVBand="0" w:evenVBand="0" w:oddHBand="0" w:evenHBand="0" w:firstRowFirstColumn="0" w:firstRowLastColumn="0" w:lastRowFirstColumn="0" w:lastRowLastColumn="0"/>
            </w:pPr>
            <w:r w:rsidRPr="00D722D0">
              <w:t>799 tCO2-e</w:t>
            </w:r>
          </w:p>
        </w:tc>
        <w:tc>
          <w:tcPr>
            <w:tcW w:w="1614" w:type="dxa"/>
          </w:tcPr>
          <w:p w14:paraId="0C5FB9C2" w14:textId="522FAB52" w:rsidR="00E70205" w:rsidRDefault="00D722D0" w:rsidP="00E70205">
            <w:pPr>
              <w:pStyle w:val="BodyText"/>
              <w:cnfStyle w:val="000000000000" w:firstRow="0" w:lastRow="0" w:firstColumn="0" w:lastColumn="0" w:oddVBand="0" w:evenVBand="0" w:oddHBand="0" w:evenHBand="0" w:firstRowFirstColumn="0" w:firstRowLastColumn="0" w:lastRowFirstColumn="0" w:lastRowLastColumn="0"/>
            </w:pPr>
            <w:r w:rsidRPr="00D722D0">
              <w:t>940 tCO2-e</w:t>
            </w:r>
          </w:p>
        </w:tc>
      </w:tr>
      <w:tr w:rsidR="00E70205" w14:paraId="718F373A" w14:textId="77777777" w:rsidTr="005567E1">
        <w:tc>
          <w:tcPr>
            <w:cnfStyle w:val="001000000000" w:firstRow="0" w:lastRow="0" w:firstColumn="1" w:lastColumn="0" w:oddVBand="0" w:evenVBand="0" w:oddHBand="0" w:evenHBand="0" w:firstRowFirstColumn="0" w:firstRowLastColumn="0" w:lastRowFirstColumn="0" w:lastRowLastColumn="0"/>
            <w:tcW w:w="1418" w:type="dxa"/>
          </w:tcPr>
          <w:p w14:paraId="4FD1EB58" w14:textId="77777777" w:rsidR="00D722D0" w:rsidRDefault="00D722D0" w:rsidP="00341747">
            <w:pPr>
              <w:pStyle w:val="BodyText"/>
              <w:rPr>
                <w:b w:val="0"/>
                <w:bCs w:val="0"/>
              </w:rPr>
            </w:pPr>
            <w:r>
              <w:t>Scope 2</w:t>
            </w:r>
          </w:p>
          <w:p w14:paraId="14FA8418" w14:textId="15FEA429" w:rsidR="00E70205" w:rsidRPr="005567E1" w:rsidRDefault="00D722D0" w:rsidP="00341747">
            <w:pPr>
              <w:pStyle w:val="BodyText"/>
              <w:rPr>
                <w:b w:val="0"/>
                <w:bCs w:val="0"/>
              </w:rPr>
            </w:pPr>
            <w:r>
              <w:rPr>
                <w:b w:val="0"/>
                <w:bCs w:val="0"/>
              </w:rPr>
              <w:t>‘Indirect’ emissions</w:t>
            </w:r>
          </w:p>
        </w:tc>
        <w:tc>
          <w:tcPr>
            <w:tcW w:w="2410" w:type="dxa"/>
          </w:tcPr>
          <w:p w14:paraId="69AA43CA" w14:textId="1B47E12A" w:rsidR="00E70205" w:rsidRDefault="00D722D0" w:rsidP="00341747">
            <w:pPr>
              <w:pStyle w:val="BodyText"/>
              <w:cnfStyle w:val="000000000000" w:firstRow="0" w:lastRow="0" w:firstColumn="0" w:lastColumn="0" w:oddVBand="0" w:evenVBand="0" w:oddHBand="0" w:evenHBand="0" w:firstRowFirstColumn="0" w:firstRowLastColumn="0" w:lastRowFirstColumn="0" w:lastRowLastColumn="0"/>
            </w:pPr>
            <w:r>
              <w:t>Emissions from the generation of purchased electricity, heating or cooling consumed by the agency.</w:t>
            </w:r>
          </w:p>
        </w:tc>
        <w:tc>
          <w:tcPr>
            <w:tcW w:w="2976" w:type="dxa"/>
          </w:tcPr>
          <w:p w14:paraId="43F789A1" w14:textId="41C86BDB" w:rsidR="00E70205" w:rsidRDefault="00D722D0" w:rsidP="005567E1">
            <w:pPr>
              <w:pStyle w:val="SABulletslevel"/>
              <w:cnfStyle w:val="000000000000" w:firstRow="0" w:lastRow="0" w:firstColumn="0" w:lastColumn="0" w:oddVBand="0" w:evenVBand="0" w:oddHBand="0" w:evenHBand="0" w:firstRowFirstColumn="0" w:firstRowLastColumn="0" w:lastRowFirstColumn="0" w:lastRowLastColumn="0"/>
            </w:pPr>
            <w:r>
              <w:t>Purchased electricity</w:t>
            </w:r>
          </w:p>
        </w:tc>
        <w:tc>
          <w:tcPr>
            <w:tcW w:w="1560" w:type="dxa"/>
          </w:tcPr>
          <w:p w14:paraId="0A67B8E3" w14:textId="0A31AA7B" w:rsidR="00E70205" w:rsidRDefault="00D722D0" w:rsidP="00341747">
            <w:pPr>
              <w:pStyle w:val="BodyText"/>
              <w:cnfStyle w:val="000000000000" w:firstRow="0" w:lastRow="0" w:firstColumn="0" w:lastColumn="0" w:oddVBand="0" w:evenVBand="0" w:oddHBand="0" w:evenHBand="0" w:firstRowFirstColumn="0" w:firstRowLastColumn="0" w:lastRowFirstColumn="0" w:lastRowLastColumn="0"/>
            </w:pPr>
            <w:r>
              <w:t>59,492 tCO2-e (majority of agency emissions)</w:t>
            </w:r>
          </w:p>
        </w:tc>
        <w:tc>
          <w:tcPr>
            <w:tcW w:w="1614" w:type="dxa"/>
          </w:tcPr>
          <w:p w14:paraId="482C964F" w14:textId="1041C694" w:rsidR="00E70205" w:rsidRDefault="00D722D0" w:rsidP="00341747">
            <w:pPr>
              <w:pStyle w:val="BodyText"/>
              <w:cnfStyle w:val="000000000000" w:firstRow="0" w:lastRow="0" w:firstColumn="0" w:lastColumn="0" w:oddVBand="0" w:evenVBand="0" w:oddHBand="0" w:evenHBand="0" w:firstRowFirstColumn="0" w:firstRowLastColumn="0" w:lastRowFirstColumn="0" w:lastRowLastColumn="0"/>
            </w:pPr>
            <w:r>
              <w:t>55,64</w:t>
            </w:r>
            <w:r w:rsidR="0079100C">
              <w:t>8</w:t>
            </w:r>
            <w:r>
              <w:t xml:space="preserve"> tCO2-e</w:t>
            </w:r>
            <w:r w:rsidRPr="005567E1">
              <w:rPr>
                <w:vertAlign w:val="superscript"/>
              </w:rPr>
              <w:t>4</w:t>
            </w:r>
          </w:p>
        </w:tc>
      </w:tr>
      <w:tr w:rsidR="00D722D0" w14:paraId="1A2C4187" w14:textId="77777777" w:rsidTr="005567E1">
        <w:tc>
          <w:tcPr>
            <w:cnfStyle w:val="001000000000" w:firstRow="0" w:lastRow="0" w:firstColumn="1" w:lastColumn="0" w:oddVBand="0" w:evenVBand="0" w:oddHBand="0" w:evenHBand="0" w:firstRowFirstColumn="0" w:firstRowLastColumn="0" w:lastRowFirstColumn="0" w:lastRowLastColumn="0"/>
            <w:tcW w:w="1418" w:type="dxa"/>
          </w:tcPr>
          <w:p w14:paraId="6F77EA5B" w14:textId="77777777" w:rsidR="00D722D0" w:rsidRDefault="00D722D0" w:rsidP="00341747">
            <w:pPr>
              <w:pStyle w:val="BodyText"/>
              <w:rPr>
                <w:b w:val="0"/>
                <w:bCs w:val="0"/>
              </w:rPr>
            </w:pPr>
            <w:r>
              <w:t>Scope 3</w:t>
            </w:r>
          </w:p>
          <w:p w14:paraId="4BCB89AF" w14:textId="2C38824E" w:rsidR="00D722D0" w:rsidRPr="005567E1" w:rsidRDefault="00D722D0" w:rsidP="00341747">
            <w:pPr>
              <w:pStyle w:val="BodyText"/>
              <w:rPr>
                <w:b w:val="0"/>
                <w:bCs w:val="0"/>
              </w:rPr>
            </w:pPr>
            <w:r>
              <w:rPr>
                <w:b w:val="0"/>
                <w:bCs w:val="0"/>
              </w:rPr>
              <w:t>‘</w:t>
            </w:r>
            <w:r w:rsidR="002E2407">
              <w:rPr>
                <w:b w:val="0"/>
                <w:bCs w:val="0"/>
              </w:rPr>
              <w:t>I</w:t>
            </w:r>
            <w:r>
              <w:rPr>
                <w:b w:val="0"/>
                <w:bCs w:val="0"/>
              </w:rPr>
              <w:t>ndirect’ emissions</w:t>
            </w:r>
          </w:p>
        </w:tc>
        <w:tc>
          <w:tcPr>
            <w:tcW w:w="2410" w:type="dxa"/>
          </w:tcPr>
          <w:p w14:paraId="5A6DD4D1" w14:textId="609EA53F" w:rsidR="00D722D0" w:rsidRDefault="00D722D0" w:rsidP="00341747">
            <w:pPr>
              <w:pStyle w:val="BodyText"/>
              <w:cnfStyle w:val="000000000000" w:firstRow="0" w:lastRow="0" w:firstColumn="0" w:lastColumn="0" w:oddVBand="0" w:evenVBand="0" w:oddHBand="0" w:evenHBand="0" w:firstRowFirstColumn="0" w:firstRowLastColumn="0" w:lastRowFirstColumn="0" w:lastRowLastColumn="0"/>
            </w:pPr>
            <w:r>
              <w:t>All indirect emissions not included in scope 2 that occur in the supply chain of the agency, including both upstream and downstream emissions.</w:t>
            </w:r>
          </w:p>
        </w:tc>
        <w:tc>
          <w:tcPr>
            <w:tcW w:w="2976" w:type="dxa"/>
          </w:tcPr>
          <w:p w14:paraId="529E3F35" w14:textId="77777777" w:rsidR="00D722D0" w:rsidRDefault="00D722D0" w:rsidP="00D722D0">
            <w:pPr>
              <w:pStyle w:val="SABulletslevel"/>
              <w:cnfStyle w:val="000000000000" w:firstRow="0" w:lastRow="0" w:firstColumn="0" w:lastColumn="0" w:oddVBand="0" w:evenVBand="0" w:oddHBand="0" w:evenHBand="0" w:firstRowFirstColumn="0" w:firstRowLastColumn="0" w:lastRowFirstColumn="0" w:lastRowLastColumn="0"/>
            </w:pPr>
            <w:r>
              <w:t>Data centre services</w:t>
            </w:r>
          </w:p>
          <w:p w14:paraId="4ADB2ECA" w14:textId="77777777" w:rsidR="00D722D0" w:rsidRDefault="00D722D0" w:rsidP="00D722D0">
            <w:pPr>
              <w:pStyle w:val="SABulletslevel"/>
              <w:cnfStyle w:val="000000000000" w:firstRow="0" w:lastRow="0" w:firstColumn="0" w:lastColumn="0" w:oddVBand="0" w:evenVBand="0" w:oddHBand="0" w:evenHBand="0" w:firstRowFirstColumn="0" w:firstRowLastColumn="0" w:lastRowFirstColumn="0" w:lastRowLastColumn="0"/>
            </w:pPr>
            <w:r>
              <w:t>Water consumption</w:t>
            </w:r>
          </w:p>
          <w:p w14:paraId="7D8AA5C8" w14:textId="62AB35A7" w:rsidR="00D722D0" w:rsidRDefault="00D722D0" w:rsidP="00D722D0">
            <w:pPr>
              <w:pStyle w:val="SABulletslevel"/>
              <w:cnfStyle w:val="000000000000" w:firstRow="0" w:lastRow="0" w:firstColumn="0" w:lastColumn="0" w:oddVBand="0" w:evenVBand="0" w:oddHBand="0" w:evenHBand="0" w:firstRowFirstColumn="0" w:firstRowLastColumn="0" w:lastRowFirstColumn="0" w:lastRowLastColumn="0"/>
            </w:pPr>
            <w:r>
              <w:t>Waste generation</w:t>
            </w:r>
          </w:p>
          <w:p w14:paraId="1237CA4B" w14:textId="77777777" w:rsidR="00D722D0" w:rsidRDefault="00D722D0" w:rsidP="00D722D0">
            <w:pPr>
              <w:pStyle w:val="SABulletslevel"/>
              <w:cnfStyle w:val="000000000000" w:firstRow="0" w:lastRow="0" w:firstColumn="0" w:lastColumn="0" w:oddVBand="0" w:evenVBand="0" w:oddHBand="0" w:evenHBand="0" w:firstRowFirstColumn="0" w:firstRowLastColumn="0" w:lastRowFirstColumn="0" w:lastRowLastColumn="0"/>
            </w:pPr>
            <w:r>
              <w:t>Electricity and gas used for landlord central services</w:t>
            </w:r>
          </w:p>
          <w:p w14:paraId="428A3263" w14:textId="42BDE233" w:rsidR="00D722D0" w:rsidRDefault="00D722D0" w:rsidP="00D722D0">
            <w:pPr>
              <w:pStyle w:val="SABulletslevel"/>
              <w:cnfStyle w:val="000000000000" w:firstRow="0" w:lastRow="0" w:firstColumn="0" w:lastColumn="0" w:oddVBand="0" w:evenVBand="0" w:oddHBand="0" w:evenHBand="0" w:firstRowFirstColumn="0" w:firstRowLastColumn="0" w:lastRowFirstColumn="0" w:lastRowLastColumn="0"/>
            </w:pPr>
            <w:r>
              <w:t>Refrigerant leakage from landlord air conditioning</w:t>
            </w:r>
          </w:p>
        </w:tc>
        <w:tc>
          <w:tcPr>
            <w:tcW w:w="1560" w:type="dxa"/>
          </w:tcPr>
          <w:p w14:paraId="4ABBDF59" w14:textId="29AB3F89" w:rsidR="00D722D0" w:rsidRDefault="00D722D0" w:rsidP="00341747">
            <w:pPr>
              <w:pStyle w:val="BodyText"/>
              <w:cnfStyle w:val="000000000000" w:firstRow="0" w:lastRow="0" w:firstColumn="0" w:lastColumn="0" w:oddVBand="0" w:evenVBand="0" w:oddHBand="0" w:evenHBand="0" w:firstRowFirstColumn="0" w:firstRowLastColumn="0" w:lastRowFirstColumn="0" w:lastRowLastColumn="0"/>
            </w:pPr>
            <w:r>
              <w:t>8,772 tCO2-e</w:t>
            </w:r>
          </w:p>
        </w:tc>
        <w:tc>
          <w:tcPr>
            <w:tcW w:w="1614" w:type="dxa"/>
          </w:tcPr>
          <w:p w14:paraId="24743BF1" w14:textId="42760386" w:rsidR="00D722D0" w:rsidRDefault="00D722D0" w:rsidP="00341747">
            <w:pPr>
              <w:pStyle w:val="BodyText"/>
              <w:cnfStyle w:val="000000000000" w:firstRow="0" w:lastRow="0" w:firstColumn="0" w:lastColumn="0" w:oddVBand="0" w:evenVBand="0" w:oddHBand="0" w:evenHBand="0" w:firstRowFirstColumn="0" w:firstRowLastColumn="0" w:lastRowFirstColumn="0" w:lastRowLastColumn="0"/>
            </w:pPr>
            <w:r>
              <w:t>10,136 tCO2-e</w:t>
            </w:r>
          </w:p>
        </w:tc>
      </w:tr>
      <w:tr w:rsidR="00D722D0" w14:paraId="26AE89CE" w14:textId="77777777" w:rsidTr="005567E1">
        <w:tc>
          <w:tcPr>
            <w:cnfStyle w:val="001000000000" w:firstRow="0" w:lastRow="0" w:firstColumn="1" w:lastColumn="0" w:oddVBand="0" w:evenVBand="0" w:oddHBand="0" w:evenHBand="0" w:firstRowFirstColumn="0" w:firstRowLastColumn="0" w:lastRowFirstColumn="0" w:lastRowLastColumn="0"/>
            <w:tcW w:w="6804" w:type="dxa"/>
            <w:gridSpan w:val="3"/>
          </w:tcPr>
          <w:p w14:paraId="37AE5E35" w14:textId="455A09EC" w:rsidR="00D722D0" w:rsidRDefault="00D722D0" w:rsidP="005567E1">
            <w:pPr>
              <w:pStyle w:val="SABodytext"/>
            </w:pPr>
            <w:r>
              <w:t>Total emissions</w:t>
            </w:r>
          </w:p>
        </w:tc>
        <w:tc>
          <w:tcPr>
            <w:tcW w:w="1560" w:type="dxa"/>
          </w:tcPr>
          <w:p w14:paraId="3760DD2A" w14:textId="4499F899" w:rsidR="00D722D0" w:rsidRDefault="00D722D0" w:rsidP="00341747">
            <w:pPr>
              <w:pStyle w:val="BodyText"/>
              <w:cnfStyle w:val="000000000000" w:firstRow="0" w:lastRow="0" w:firstColumn="0" w:lastColumn="0" w:oddVBand="0" w:evenVBand="0" w:oddHBand="0" w:evenHBand="0" w:firstRowFirstColumn="0" w:firstRowLastColumn="0" w:lastRowFirstColumn="0" w:lastRowLastColumn="0"/>
            </w:pPr>
            <w:r>
              <w:t>69,063 tCO2-e</w:t>
            </w:r>
          </w:p>
        </w:tc>
        <w:tc>
          <w:tcPr>
            <w:tcW w:w="1614" w:type="dxa"/>
          </w:tcPr>
          <w:p w14:paraId="1A1159CB" w14:textId="540E47A6" w:rsidR="00D722D0" w:rsidRDefault="00D722D0" w:rsidP="00341747">
            <w:pPr>
              <w:pStyle w:val="BodyText"/>
              <w:cnfStyle w:val="000000000000" w:firstRow="0" w:lastRow="0" w:firstColumn="0" w:lastColumn="0" w:oddVBand="0" w:evenVBand="0" w:oddHBand="0" w:evenHBand="0" w:firstRowFirstColumn="0" w:firstRowLastColumn="0" w:lastRowFirstColumn="0" w:lastRowLastColumn="0"/>
            </w:pPr>
            <w:r>
              <w:t>66,724 tCO2-e</w:t>
            </w:r>
          </w:p>
        </w:tc>
      </w:tr>
    </w:tbl>
    <w:p w14:paraId="6A9E25EC" w14:textId="77777777" w:rsidR="00067335" w:rsidRDefault="00067335" w:rsidP="00067335">
      <w:pPr>
        <w:pStyle w:val="Caption"/>
      </w:pPr>
      <w:bookmarkStart w:id="7" w:name="_Hlk218667672"/>
      <w:bookmarkStart w:id="8" w:name="_Toc147758805"/>
      <w:r>
        <w:t>Figure 1: Agency emissions sources</w:t>
      </w:r>
    </w:p>
    <w:p w14:paraId="592946A4" w14:textId="7A903EBB" w:rsidR="00A03448" w:rsidRPr="00AE3EA3" w:rsidRDefault="00A03448" w:rsidP="005567E1">
      <w:pPr>
        <w:pStyle w:val="SAHeadinglevel2"/>
      </w:pPr>
      <w:bookmarkStart w:id="9" w:name="_Toc218750538"/>
      <w:bookmarkEnd w:id="7"/>
      <w:r w:rsidRPr="00AE3EA3">
        <w:t>Environment</w:t>
      </w:r>
      <w:r w:rsidR="00BB18DF" w:rsidRPr="00AE3EA3">
        <w:t>al</w:t>
      </w:r>
      <w:r w:rsidRPr="00AE3EA3">
        <w:t xml:space="preserve"> </w:t>
      </w:r>
      <w:r w:rsidR="00D722D0">
        <w:t>s</w:t>
      </w:r>
      <w:r w:rsidRPr="00AE3EA3">
        <w:t>ustainability</w:t>
      </w:r>
      <w:bookmarkEnd w:id="9"/>
      <w:r w:rsidRPr="00AE3EA3">
        <w:t xml:space="preserve"> </w:t>
      </w:r>
      <w:bookmarkEnd w:id="8"/>
    </w:p>
    <w:p w14:paraId="1F87EADB" w14:textId="101E6F71" w:rsidR="00A03448" w:rsidRPr="005F2FE6" w:rsidRDefault="00FC72A7" w:rsidP="000A447D">
      <w:pPr>
        <w:pStyle w:val="BodyText"/>
      </w:pPr>
      <w:r>
        <w:t>We have</w:t>
      </w:r>
      <w:r w:rsidR="00A03448" w:rsidRPr="005F2FE6">
        <w:t xml:space="preserve"> </w:t>
      </w:r>
      <w:r w:rsidR="00D722D0">
        <w:t>several</w:t>
      </w:r>
      <w:r w:rsidR="00A03448" w:rsidRPr="005F2FE6">
        <w:t xml:space="preserve"> sustainability </w:t>
      </w:r>
      <w:r w:rsidR="00BB18DF">
        <w:t>measures</w:t>
      </w:r>
      <w:r w:rsidR="00A03448" w:rsidRPr="005F2FE6">
        <w:t xml:space="preserve"> in place to improve environmental performance</w:t>
      </w:r>
      <w:r w:rsidR="00BB18DF">
        <w:t xml:space="preserve"> and reduce emissions across building operations, fleet, procurement and waste areas. </w:t>
      </w:r>
    </w:p>
    <w:p w14:paraId="3C498EE7" w14:textId="3ABBA026" w:rsidR="00A03448" w:rsidRPr="00AE3EA3" w:rsidRDefault="00A03448" w:rsidP="005567E1">
      <w:pPr>
        <w:pStyle w:val="SAHeadinglevel3"/>
      </w:pPr>
      <w:bookmarkStart w:id="10" w:name="_Toc218750539"/>
      <w:r w:rsidRPr="00AE3EA3">
        <w:t xml:space="preserve">Building </w:t>
      </w:r>
      <w:r w:rsidR="00D722D0">
        <w:t>p</w:t>
      </w:r>
      <w:r w:rsidR="00B23A45" w:rsidRPr="00AE3EA3">
        <w:t>erformance</w:t>
      </w:r>
      <w:bookmarkEnd w:id="10"/>
    </w:p>
    <w:p w14:paraId="1561084D" w14:textId="301D9534" w:rsidR="00067335" w:rsidRDefault="00F90313" w:rsidP="000A447D">
      <w:pPr>
        <w:pStyle w:val="BodyText"/>
      </w:pPr>
      <w:r>
        <w:t>Well</w:t>
      </w:r>
      <w:r w:rsidR="00D722D0">
        <w:t>-</w:t>
      </w:r>
      <w:r>
        <w:t xml:space="preserve">designed and efficient buildings are essential to creating a more sustainable environment. The </w:t>
      </w:r>
      <w:r w:rsidR="00D722D0">
        <w:t>a</w:t>
      </w:r>
      <w:r>
        <w:t xml:space="preserve">gency </w:t>
      </w:r>
      <w:r w:rsidR="00445F9C">
        <w:t xml:space="preserve">includes </w:t>
      </w:r>
      <w:r>
        <w:t xml:space="preserve">environmental sustainability </w:t>
      </w:r>
      <w:r w:rsidR="00BB18DF">
        <w:t>minimum standards</w:t>
      </w:r>
      <w:r>
        <w:t xml:space="preserve"> for </w:t>
      </w:r>
      <w:r w:rsidR="009C7184">
        <w:t xml:space="preserve">precinct projects, as </w:t>
      </w:r>
      <w:r w:rsidR="00067335">
        <w:t>seen in Figure 2.</w:t>
      </w:r>
    </w:p>
    <w:tbl>
      <w:tblPr>
        <w:tblStyle w:val="ServicesAustralia"/>
        <w:tblW w:w="10065" w:type="dxa"/>
        <w:tblLook w:val="0420" w:firstRow="1" w:lastRow="0" w:firstColumn="0" w:lastColumn="0" w:noHBand="0" w:noVBand="1"/>
      </w:tblPr>
      <w:tblGrid>
        <w:gridCol w:w="5032"/>
        <w:gridCol w:w="5033"/>
      </w:tblGrid>
      <w:tr w:rsidR="00067335" w14:paraId="2D627C2C" w14:textId="77777777" w:rsidTr="005567E1">
        <w:trPr>
          <w:cnfStyle w:val="100000000000" w:firstRow="1" w:lastRow="0" w:firstColumn="0" w:lastColumn="0" w:oddVBand="0" w:evenVBand="0" w:oddHBand="0" w:evenHBand="0" w:firstRowFirstColumn="0" w:firstRowLastColumn="0" w:lastRowFirstColumn="0" w:lastRowLastColumn="0"/>
        </w:trPr>
        <w:tc>
          <w:tcPr>
            <w:tcW w:w="5032" w:type="dxa"/>
          </w:tcPr>
          <w:p w14:paraId="5876B9BB" w14:textId="79F1AC8D" w:rsidR="00067335" w:rsidRDefault="00067335" w:rsidP="00067335">
            <w:pPr>
              <w:pStyle w:val="SABodytext"/>
            </w:pPr>
            <w:r>
              <w:t xml:space="preserve">Adelaide </w:t>
            </w:r>
            <w:r w:rsidR="009767B6">
              <w:t>p</w:t>
            </w:r>
            <w:r>
              <w:t>recinct (completed in 2023)</w:t>
            </w:r>
          </w:p>
        </w:tc>
        <w:tc>
          <w:tcPr>
            <w:tcW w:w="5033" w:type="dxa"/>
          </w:tcPr>
          <w:p w14:paraId="5DC017EB" w14:textId="4775940F" w:rsidR="00067335" w:rsidRDefault="00067335" w:rsidP="00067335">
            <w:pPr>
              <w:pStyle w:val="SABodytext"/>
            </w:pPr>
            <w:r>
              <w:t xml:space="preserve">Brisbane </w:t>
            </w:r>
            <w:r w:rsidR="009767B6">
              <w:t>p</w:t>
            </w:r>
            <w:r>
              <w:t>recinct (completed in 2025)</w:t>
            </w:r>
          </w:p>
        </w:tc>
      </w:tr>
      <w:tr w:rsidR="00067335" w14:paraId="14A443D9" w14:textId="77777777" w:rsidTr="005567E1">
        <w:tc>
          <w:tcPr>
            <w:tcW w:w="5032" w:type="dxa"/>
          </w:tcPr>
          <w:p w14:paraId="0CA66D55" w14:textId="77777777" w:rsidR="00067335" w:rsidRDefault="00067335" w:rsidP="00067335">
            <w:pPr>
              <w:pStyle w:val="SABulletslevel"/>
            </w:pPr>
            <w:r>
              <w:t>Carbon neutral</w:t>
            </w:r>
          </w:p>
          <w:p w14:paraId="7B6D4061" w14:textId="77777777" w:rsidR="00067335" w:rsidRDefault="00067335" w:rsidP="00067335">
            <w:pPr>
              <w:pStyle w:val="SABulletslevel"/>
            </w:pPr>
            <w:r>
              <w:t>6-star Green Star</w:t>
            </w:r>
          </w:p>
          <w:p w14:paraId="34563BED" w14:textId="453802D7" w:rsidR="00067335" w:rsidRDefault="00067335" w:rsidP="00067335">
            <w:pPr>
              <w:pStyle w:val="SABulletslevel"/>
            </w:pPr>
            <w:r>
              <w:t xml:space="preserve">5-star </w:t>
            </w:r>
            <w:r w:rsidR="0089303B">
              <w:t>National Australian Built Environment Rating System (NABERS)</w:t>
            </w:r>
            <w:r>
              <w:t xml:space="preserve"> energy (base building)</w:t>
            </w:r>
          </w:p>
          <w:p w14:paraId="700B6CFD" w14:textId="77777777" w:rsidR="00067335" w:rsidRDefault="00067335" w:rsidP="00067335">
            <w:pPr>
              <w:pStyle w:val="SABulletslevel"/>
            </w:pPr>
            <w:r>
              <w:t>4-star NABERS water (whole building)</w:t>
            </w:r>
          </w:p>
          <w:p w14:paraId="364269BE" w14:textId="1329A8F1" w:rsidR="00067335" w:rsidRDefault="00067335" w:rsidP="005567E1">
            <w:pPr>
              <w:pStyle w:val="SABulletslevel"/>
            </w:pPr>
            <w:r>
              <w:t>WELL platinum rating</w:t>
            </w:r>
          </w:p>
        </w:tc>
        <w:tc>
          <w:tcPr>
            <w:tcW w:w="5033" w:type="dxa"/>
          </w:tcPr>
          <w:p w14:paraId="5F80CE36" w14:textId="77777777" w:rsidR="00067335" w:rsidRDefault="0089303B" w:rsidP="00067335">
            <w:pPr>
              <w:pStyle w:val="SABulletslevel"/>
            </w:pPr>
            <w:r>
              <w:t>80KW dedicated solar PV</w:t>
            </w:r>
          </w:p>
          <w:p w14:paraId="0014FE1C" w14:textId="77777777" w:rsidR="0089303B" w:rsidRDefault="0089303B" w:rsidP="00067335">
            <w:pPr>
              <w:pStyle w:val="SABulletslevel"/>
            </w:pPr>
            <w:r>
              <w:t>6-star Green Star</w:t>
            </w:r>
          </w:p>
          <w:p w14:paraId="3B996DE2" w14:textId="77777777" w:rsidR="0089303B" w:rsidRDefault="0089303B" w:rsidP="00067335">
            <w:pPr>
              <w:pStyle w:val="SABulletslevel"/>
            </w:pPr>
            <w:r>
              <w:t>5.5-star NABERS energy (whole building)</w:t>
            </w:r>
          </w:p>
          <w:p w14:paraId="2CDF7BFC" w14:textId="00BCAC8F" w:rsidR="0089303B" w:rsidRDefault="0089303B" w:rsidP="005567E1">
            <w:pPr>
              <w:pStyle w:val="SABulletslevel"/>
            </w:pPr>
            <w:r>
              <w:t>WELL platinum rating</w:t>
            </w:r>
          </w:p>
        </w:tc>
      </w:tr>
    </w:tbl>
    <w:p w14:paraId="1EC98B76" w14:textId="04BDE097" w:rsidR="00B624C7" w:rsidRDefault="0089303B" w:rsidP="005567E1">
      <w:pPr>
        <w:pStyle w:val="Caption"/>
      </w:pPr>
      <w:r>
        <w:t>Figure 2: Precinct projects</w:t>
      </w:r>
    </w:p>
    <w:p w14:paraId="200F918B" w14:textId="3914E7A3" w:rsidR="00393463" w:rsidRDefault="00393463" w:rsidP="000A447D">
      <w:pPr>
        <w:pStyle w:val="BodyText"/>
      </w:pPr>
      <w:bookmarkStart w:id="11" w:name="_Hlk149037640"/>
      <w:r w:rsidRPr="00393463">
        <w:t xml:space="preserve">For existing buildings, </w:t>
      </w:r>
      <w:r w:rsidR="00861DA1">
        <w:t>we</w:t>
      </w:r>
      <w:r w:rsidR="0089303B">
        <w:t xml:space="preserve"> </w:t>
      </w:r>
      <w:r w:rsidR="00BB18DF">
        <w:t>actively target</w:t>
      </w:r>
      <w:r w:rsidR="00915588">
        <w:t xml:space="preserve"> emissions reduction through </w:t>
      </w:r>
      <w:proofErr w:type="gramStart"/>
      <w:r w:rsidR="00915588">
        <w:t>a number of</w:t>
      </w:r>
      <w:proofErr w:type="gramEnd"/>
      <w:r w:rsidR="00915588">
        <w:t xml:space="preserve"> </w:t>
      </w:r>
      <w:r w:rsidR="00FB3745">
        <w:t>actions</w:t>
      </w:r>
      <w:r w:rsidR="00861DA1">
        <w:t>,</w:t>
      </w:r>
      <w:r w:rsidR="00915588">
        <w:t xml:space="preserve"> as outlined </w:t>
      </w:r>
      <w:r w:rsidR="008C16E8">
        <w:t xml:space="preserve">in </w:t>
      </w:r>
      <w:r w:rsidR="0089303B">
        <w:t>Figure 3.</w:t>
      </w:r>
    </w:p>
    <w:tbl>
      <w:tblPr>
        <w:tblStyle w:val="ServicesAustralia"/>
        <w:tblW w:w="0" w:type="auto"/>
        <w:tblLook w:val="04A0" w:firstRow="1" w:lastRow="0" w:firstColumn="1" w:lastColumn="0" w:noHBand="0" w:noVBand="1"/>
      </w:tblPr>
      <w:tblGrid>
        <w:gridCol w:w="2552"/>
        <w:gridCol w:w="7426"/>
      </w:tblGrid>
      <w:tr w:rsidR="0089303B" w14:paraId="7EF4B36F" w14:textId="77777777" w:rsidTr="00DD0A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39DE183C" w14:textId="492B494B" w:rsidR="0089303B" w:rsidRDefault="0089303B" w:rsidP="005567E1">
            <w:pPr>
              <w:pStyle w:val="SABodytext"/>
            </w:pPr>
            <w:r>
              <w:t>Category</w:t>
            </w:r>
          </w:p>
        </w:tc>
        <w:tc>
          <w:tcPr>
            <w:tcW w:w="7426" w:type="dxa"/>
          </w:tcPr>
          <w:p w14:paraId="18548EBD" w14:textId="0D87FE4D" w:rsidR="0089303B" w:rsidRDefault="0089303B" w:rsidP="005567E1">
            <w:pPr>
              <w:pStyle w:val="SABodytext"/>
              <w:cnfStyle w:val="100000000000" w:firstRow="1" w:lastRow="0" w:firstColumn="0" w:lastColumn="0" w:oddVBand="0" w:evenVBand="0" w:oddHBand="0" w:evenHBand="0" w:firstRowFirstColumn="0" w:firstRowLastColumn="0" w:lastRowFirstColumn="0" w:lastRowLastColumn="0"/>
            </w:pPr>
            <w:r>
              <w:t>Action</w:t>
            </w:r>
          </w:p>
        </w:tc>
      </w:tr>
      <w:tr w:rsidR="0089303B" w14:paraId="4180EF37" w14:textId="77777777" w:rsidTr="00DD0A1E">
        <w:tc>
          <w:tcPr>
            <w:cnfStyle w:val="001000000000" w:firstRow="0" w:lastRow="0" w:firstColumn="1" w:lastColumn="0" w:oddVBand="0" w:evenVBand="0" w:oddHBand="0" w:evenHBand="0" w:firstRowFirstColumn="0" w:firstRowLastColumn="0" w:lastRowFirstColumn="0" w:lastRowLastColumn="0"/>
            <w:tcW w:w="2552" w:type="dxa"/>
          </w:tcPr>
          <w:p w14:paraId="0C94B42B" w14:textId="668A336B" w:rsidR="0089303B" w:rsidRDefault="0089303B" w:rsidP="005567E1">
            <w:pPr>
              <w:pStyle w:val="SABodytext"/>
            </w:pPr>
            <w:r>
              <w:t>Green Lease Schedules (GLS)</w:t>
            </w:r>
          </w:p>
        </w:tc>
        <w:tc>
          <w:tcPr>
            <w:tcW w:w="7426" w:type="dxa"/>
          </w:tcPr>
          <w:p w14:paraId="3FD09F6D" w14:textId="1113BA98" w:rsid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Incorporating GLS into lease agreements for offices over 1,000m</w:t>
            </w:r>
            <w:r>
              <w:rPr>
                <w:vertAlign w:val="superscript"/>
              </w:rPr>
              <w:t>2</w:t>
            </w:r>
            <w:r>
              <w:t>.</w:t>
            </w:r>
          </w:p>
        </w:tc>
      </w:tr>
      <w:tr w:rsidR="0089303B" w14:paraId="5F97FF11" w14:textId="77777777" w:rsidTr="00DD0A1E">
        <w:tc>
          <w:tcPr>
            <w:cnfStyle w:val="001000000000" w:firstRow="0" w:lastRow="0" w:firstColumn="1" w:lastColumn="0" w:oddVBand="0" w:evenVBand="0" w:oddHBand="0" w:evenHBand="0" w:firstRowFirstColumn="0" w:firstRowLastColumn="0" w:lastRowFirstColumn="0" w:lastRowLastColumn="0"/>
            <w:tcW w:w="2552" w:type="dxa"/>
          </w:tcPr>
          <w:p w14:paraId="0A65E9ED" w14:textId="1023B35C" w:rsidR="0089303B" w:rsidRDefault="0089303B" w:rsidP="005567E1">
            <w:pPr>
              <w:pStyle w:val="SABodytext"/>
            </w:pPr>
            <w:r>
              <w:t>NABERS and Energy Management Plans (EMPs)</w:t>
            </w:r>
          </w:p>
        </w:tc>
        <w:tc>
          <w:tcPr>
            <w:tcW w:w="7426" w:type="dxa"/>
          </w:tcPr>
          <w:p w14:paraId="409E6DBB" w14:textId="0B95BB43"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Manage and monitor GLS, NABERS and EMPs obligations, collaborating with landlords to improve and maintain site efficiency.</w:t>
            </w:r>
          </w:p>
          <w:p w14:paraId="18E4763A" w14:textId="68DF3145"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Conducting NABERS energy assessments and managing building performance through EMPs.</w:t>
            </w:r>
          </w:p>
          <w:p w14:paraId="0F985A00" w14:textId="7A60E05B"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101 sites with current NABERS ratings.</w:t>
            </w:r>
          </w:p>
          <w:p w14:paraId="02CBCD84" w14:textId="46CAFEF8" w:rsid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46 EMPs.</w:t>
            </w:r>
          </w:p>
        </w:tc>
      </w:tr>
      <w:tr w:rsidR="0089303B" w14:paraId="618BE6D6" w14:textId="77777777" w:rsidTr="00DD0A1E">
        <w:tc>
          <w:tcPr>
            <w:cnfStyle w:val="001000000000" w:firstRow="0" w:lastRow="0" w:firstColumn="1" w:lastColumn="0" w:oddVBand="0" w:evenVBand="0" w:oddHBand="0" w:evenHBand="0" w:firstRowFirstColumn="0" w:firstRowLastColumn="0" w:lastRowFirstColumn="0" w:lastRowLastColumn="0"/>
            <w:tcW w:w="2552" w:type="dxa"/>
          </w:tcPr>
          <w:p w14:paraId="65211F45" w14:textId="56806D3E" w:rsidR="0089303B" w:rsidRDefault="0089303B" w:rsidP="005567E1">
            <w:pPr>
              <w:pStyle w:val="SABodytext"/>
            </w:pPr>
            <w:r>
              <w:t xml:space="preserve">Solar </w:t>
            </w:r>
            <w:r w:rsidR="00BF6CED" w:rsidRPr="004A2848">
              <w:t>photovoltaic</w:t>
            </w:r>
            <w:r w:rsidR="00BF6CED">
              <w:t xml:space="preserve"> (</w:t>
            </w:r>
            <w:r>
              <w:t>PV</w:t>
            </w:r>
            <w:r w:rsidR="00BF6CED">
              <w:t>)</w:t>
            </w:r>
            <w:r>
              <w:t xml:space="preserve"> and LED lighting</w:t>
            </w:r>
          </w:p>
        </w:tc>
        <w:tc>
          <w:tcPr>
            <w:tcW w:w="7426" w:type="dxa"/>
          </w:tcPr>
          <w:p w14:paraId="4FB42350" w14:textId="720730C7"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rsidRPr="0089303B">
              <w:t>Installation of on-site renewable energy</w:t>
            </w:r>
            <w:r>
              <w:t>,</w:t>
            </w:r>
            <w:r w:rsidRPr="0089303B">
              <w:t xml:space="preserve"> such as </w:t>
            </w:r>
            <w:r w:rsidR="00437118">
              <w:t>s</w:t>
            </w:r>
            <w:r w:rsidRPr="0089303B">
              <w:t>olar PV systems and upgrade of lighting to LED will be negotiated in lease agreements</w:t>
            </w:r>
            <w:r>
              <w:t>.</w:t>
            </w:r>
          </w:p>
          <w:p w14:paraId="42B980B8" w14:textId="3923DBF7" w:rsid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B</w:t>
            </w:r>
            <w:r w:rsidRPr="0089303B">
              <w:t>oth these actions will reduce site emissions and improve energy efficiency</w:t>
            </w:r>
            <w:r>
              <w:t>.</w:t>
            </w:r>
          </w:p>
        </w:tc>
      </w:tr>
      <w:tr w:rsidR="0089303B" w14:paraId="1F157989" w14:textId="77777777" w:rsidTr="00DD0A1E">
        <w:tc>
          <w:tcPr>
            <w:cnfStyle w:val="001000000000" w:firstRow="0" w:lastRow="0" w:firstColumn="1" w:lastColumn="0" w:oddVBand="0" w:evenVBand="0" w:oddHBand="0" w:evenHBand="0" w:firstRowFirstColumn="0" w:firstRowLastColumn="0" w:lastRowFirstColumn="0" w:lastRowLastColumn="0"/>
            <w:tcW w:w="2552" w:type="dxa"/>
          </w:tcPr>
          <w:p w14:paraId="758673DB" w14:textId="604552F5" w:rsidR="0089303B" w:rsidRDefault="0089303B" w:rsidP="005567E1">
            <w:pPr>
              <w:pStyle w:val="SABodytext"/>
            </w:pPr>
            <w:r>
              <w:t>Strategic property planning</w:t>
            </w:r>
          </w:p>
        </w:tc>
        <w:tc>
          <w:tcPr>
            <w:tcW w:w="7426" w:type="dxa"/>
          </w:tcPr>
          <w:p w14:paraId="381DE28D" w14:textId="0893E84B"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Co-locating staff in shared premises arrangements and consolidating footprint into precincts.</w:t>
            </w:r>
          </w:p>
          <w:p w14:paraId="42179E02" w14:textId="28372896" w:rsid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The Brisbane precinct opened in August 2025 and has seen the consolidation of 12 sites, including the closure of 7 and footprint reductions in 5 service centres.</w:t>
            </w:r>
          </w:p>
        </w:tc>
      </w:tr>
      <w:tr w:rsidR="0089303B" w14:paraId="0B189B42" w14:textId="77777777" w:rsidTr="00DD0A1E">
        <w:tc>
          <w:tcPr>
            <w:cnfStyle w:val="001000000000" w:firstRow="0" w:lastRow="0" w:firstColumn="1" w:lastColumn="0" w:oddVBand="0" w:evenVBand="0" w:oddHBand="0" w:evenHBand="0" w:firstRowFirstColumn="0" w:firstRowLastColumn="0" w:lastRowFirstColumn="0" w:lastRowLastColumn="0"/>
            <w:tcW w:w="2552" w:type="dxa"/>
          </w:tcPr>
          <w:p w14:paraId="53381687" w14:textId="109285CD" w:rsidR="0089303B" w:rsidRDefault="0089303B" w:rsidP="005567E1">
            <w:pPr>
              <w:pStyle w:val="SABodytext"/>
            </w:pPr>
            <w:r>
              <w:t>Environmental sustainability reporting</w:t>
            </w:r>
          </w:p>
        </w:tc>
        <w:tc>
          <w:tcPr>
            <w:tcW w:w="7426" w:type="dxa"/>
          </w:tcPr>
          <w:p w14:paraId="29C52491" w14:textId="4CFCB639" w:rsid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rsidRPr="0089303B">
              <w:t>Online energy and sustainability performance reporting system changes to improve our reporting and performance capabilities</w:t>
            </w:r>
            <w:r>
              <w:t>.</w:t>
            </w:r>
          </w:p>
        </w:tc>
      </w:tr>
    </w:tbl>
    <w:p w14:paraId="18630EEA" w14:textId="52FB4197" w:rsidR="0089303B" w:rsidRDefault="0089303B" w:rsidP="005567E1">
      <w:pPr>
        <w:pStyle w:val="Caption"/>
      </w:pPr>
      <w:r>
        <w:t>Figure 3: Agency emissions reduction actions</w:t>
      </w:r>
    </w:p>
    <w:p w14:paraId="5CE42CBA" w14:textId="1CA9F94D" w:rsidR="001D7343" w:rsidRPr="00AE3EA3" w:rsidRDefault="001D7343" w:rsidP="005567E1">
      <w:pPr>
        <w:pStyle w:val="SAHeadinglevel3"/>
      </w:pPr>
      <w:bookmarkStart w:id="12" w:name="_Toc218750540"/>
      <w:bookmarkEnd w:id="11"/>
      <w:r w:rsidRPr="00AE3EA3">
        <w:t xml:space="preserve">Other </w:t>
      </w:r>
      <w:r w:rsidR="0089303B">
        <w:t>m</w:t>
      </w:r>
      <w:r w:rsidRPr="00AE3EA3">
        <w:t>easures</w:t>
      </w:r>
      <w:bookmarkEnd w:id="12"/>
    </w:p>
    <w:p w14:paraId="2AF3776C" w14:textId="6C8F8D53" w:rsidR="00BB18DF" w:rsidRDefault="0017473F" w:rsidP="000A447D">
      <w:pPr>
        <w:pStyle w:val="BodyText"/>
      </w:pPr>
      <w:r>
        <w:t>We have</w:t>
      </w:r>
      <w:r w:rsidR="001D7343">
        <w:t xml:space="preserve"> </w:t>
      </w:r>
      <w:r w:rsidR="0089303B">
        <w:t>several</w:t>
      </w:r>
      <w:r w:rsidR="001D7343">
        <w:t xml:space="preserve"> additional measures that target emissions reduction and environmental sustainability</w:t>
      </w:r>
      <w:r w:rsidR="0089303B">
        <w:t xml:space="preserve"> (Figure 4)</w:t>
      </w:r>
      <w:r w:rsidR="001D7343">
        <w:t>.</w:t>
      </w:r>
    </w:p>
    <w:tbl>
      <w:tblPr>
        <w:tblStyle w:val="ServicesAustralia"/>
        <w:tblW w:w="0" w:type="auto"/>
        <w:tblLook w:val="04A0" w:firstRow="1" w:lastRow="0" w:firstColumn="1" w:lastColumn="0" w:noHBand="0" w:noVBand="1"/>
      </w:tblPr>
      <w:tblGrid>
        <w:gridCol w:w="1560"/>
        <w:gridCol w:w="8418"/>
      </w:tblGrid>
      <w:tr w:rsidR="0089303B" w14:paraId="2CDAC89D" w14:textId="77777777" w:rsidTr="00556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4C35FD27" w14:textId="7B3C1EDE" w:rsidR="0089303B" w:rsidRDefault="0089303B" w:rsidP="005567E1">
            <w:pPr>
              <w:pStyle w:val="SABodytext"/>
            </w:pPr>
            <w:r>
              <w:t>Category</w:t>
            </w:r>
          </w:p>
        </w:tc>
        <w:tc>
          <w:tcPr>
            <w:tcW w:w="8418" w:type="dxa"/>
          </w:tcPr>
          <w:p w14:paraId="4E3D9DC7" w14:textId="5690E062" w:rsidR="0089303B" w:rsidRDefault="0089303B" w:rsidP="005567E1">
            <w:pPr>
              <w:pStyle w:val="SABodytext"/>
              <w:cnfStyle w:val="100000000000" w:firstRow="1" w:lastRow="0" w:firstColumn="0" w:lastColumn="0" w:oddVBand="0" w:evenVBand="0" w:oddHBand="0" w:evenHBand="0" w:firstRowFirstColumn="0" w:firstRowLastColumn="0" w:lastRowFirstColumn="0" w:lastRowLastColumn="0"/>
            </w:pPr>
            <w:r>
              <w:t>Measures</w:t>
            </w:r>
          </w:p>
        </w:tc>
      </w:tr>
      <w:tr w:rsidR="0089303B" w14:paraId="507CC9FC" w14:textId="77777777" w:rsidTr="005567E1">
        <w:tc>
          <w:tcPr>
            <w:cnfStyle w:val="001000000000" w:firstRow="0" w:lastRow="0" w:firstColumn="1" w:lastColumn="0" w:oddVBand="0" w:evenVBand="0" w:oddHBand="0" w:evenHBand="0" w:firstRowFirstColumn="0" w:firstRowLastColumn="0" w:lastRowFirstColumn="0" w:lastRowLastColumn="0"/>
            <w:tcW w:w="1560" w:type="dxa"/>
          </w:tcPr>
          <w:p w14:paraId="604F0966" w14:textId="534C6997" w:rsidR="0089303B" w:rsidRDefault="0089303B" w:rsidP="005567E1">
            <w:pPr>
              <w:pStyle w:val="SABodytext"/>
            </w:pPr>
            <w:r>
              <w:t>Fleet transition and charging infrastructure</w:t>
            </w:r>
          </w:p>
        </w:tc>
        <w:tc>
          <w:tcPr>
            <w:tcW w:w="8418" w:type="dxa"/>
          </w:tcPr>
          <w:p w14:paraId="6E4C1FA0" w14:textId="4211530A"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Procuring low emission vehicles (LEV) in line with the Australian Government Fleet Vehicle Selection Policy.</w:t>
            </w:r>
          </w:p>
          <w:p w14:paraId="53286A24" w14:textId="27506DF7" w:rsidR="0089303B" w:rsidRP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Use of an electronic logbook system to accurately monitor and manage vehicle use and to improve reporting quality and make better decisions with regards to fit-for-purpose vehicle selection.</w:t>
            </w:r>
          </w:p>
        </w:tc>
      </w:tr>
      <w:tr w:rsidR="0089303B" w14:paraId="741780B9" w14:textId="77777777" w:rsidTr="005567E1">
        <w:tc>
          <w:tcPr>
            <w:cnfStyle w:val="001000000000" w:firstRow="0" w:lastRow="0" w:firstColumn="1" w:lastColumn="0" w:oddVBand="0" w:evenVBand="0" w:oddHBand="0" w:evenHBand="0" w:firstRowFirstColumn="0" w:firstRowLastColumn="0" w:lastRowFirstColumn="0" w:lastRowLastColumn="0"/>
            <w:tcW w:w="1560" w:type="dxa"/>
          </w:tcPr>
          <w:p w14:paraId="5E5D9965" w14:textId="21913CC2" w:rsidR="0089303B" w:rsidRDefault="0089303B" w:rsidP="005567E1">
            <w:pPr>
              <w:pStyle w:val="SABodytext"/>
            </w:pPr>
            <w:r>
              <w:t>Sustainable procurement</w:t>
            </w:r>
          </w:p>
        </w:tc>
        <w:tc>
          <w:tcPr>
            <w:tcW w:w="8418" w:type="dxa"/>
          </w:tcPr>
          <w:p w14:paraId="678524E0" w14:textId="77777777"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Purchasing 100% recycled content paper for internal printers, photocopiers and multifunction devices.</w:t>
            </w:r>
          </w:p>
          <w:p w14:paraId="79E48368" w14:textId="2E618874" w:rsidR="0089303B" w:rsidRDefault="0089303B" w:rsidP="0089303B">
            <w:pPr>
              <w:pStyle w:val="SABulletslevel"/>
              <w:cnfStyle w:val="000000000000" w:firstRow="0" w:lastRow="0" w:firstColumn="0" w:lastColumn="0" w:oddVBand="0" w:evenVBand="0" w:oddHBand="0" w:evenHBand="0" w:firstRowFirstColumn="0" w:firstRowLastColumn="0" w:lastRowFirstColumn="0" w:lastRowLastColumn="0"/>
            </w:pPr>
            <w:r>
              <w:t>Consulted with Department of Climate Change, Energy, the Environment and Water (DCCEEW) to assist in re-developing the Environmentally Sustainable Procurement Policy</w:t>
            </w:r>
            <w:r w:rsidR="0031296A">
              <w:t xml:space="preserve"> (ESPP)</w:t>
            </w:r>
            <w:r>
              <w:t xml:space="preserve"> to include net zero emissions considerations and encourage a circular economy through suppliers.</w:t>
            </w:r>
          </w:p>
          <w:p w14:paraId="47D29128" w14:textId="5723839E" w:rsidR="0089303B" w:rsidRP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t>Consulted with Procurement Branch to strengthen procurement templates around environmental sustainability and environmental-related criteria for procurement evaluations.</w:t>
            </w:r>
          </w:p>
        </w:tc>
      </w:tr>
      <w:tr w:rsidR="0089303B" w14:paraId="0FA6A1E3" w14:textId="77777777" w:rsidTr="005567E1">
        <w:tc>
          <w:tcPr>
            <w:cnfStyle w:val="001000000000" w:firstRow="0" w:lastRow="0" w:firstColumn="1" w:lastColumn="0" w:oddVBand="0" w:evenVBand="0" w:oddHBand="0" w:evenHBand="0" w:firstRowFirstColumn="0" w:firstRowLastColumn="0" w:lastRowFirstColumn="0" w:lastRowLastColumn="0"/>
            <w:tcW w:w="1560" w:type="dxa"/>
          </w:tcPr>
          <w:p w14:paraId="44B22734" w14:textId="219EB520" w:rsidR="0089303B" w:rsidRDefault="0089303B" w:rsidP="005567E1">
            <w:pPr>
              <w:pStyle w:val="SABodytext"/>
            </w:pPr>
            <w:r>
              <w:t>Waste management</w:t>
            </w:r>
          </w:p>
        </w:tc>
        <w:tc>
          <w:tcPr>
            <w:tcW w:w="8418" w:type="dxa"/>
          </w:tcPr>
          <w:p w14:paraId="1C8AC8EE" w14:textId="5A2D9413" w:rsidR="0089303B" w:rsidRPr="0089303B" w:rsidRDefault="0089303B" w:rsidP="005567E1">
            <w:pPr>
              <w:pStyle w:val="SABulletslevel"/>
              <w:cnfStyle w:val="000000000000" w:firstRow="0" w:lastRow="0" w:firstColumn="0" w:lastColumn="0" w:oddVBand="0" w:evenVBand="0" w:oddHBand="0" w:evenHBand="0" w:firstRowFirstColumn="0" w:firstRowLastColumn="0" w:lastRowFirstColumn="0" w:lastRowLastColumn="0"/>
            </w:pPr>
            <w:r w:rsidRPr="0089303B">
              <w:t xml:space="preserve">The </w:t>
            </w:r>
            <w:r>
              <w:t>a</w:t>
            </w:r>
            <w:r w:rsidRPr="0089303B">
              <w:t xml:space="preserve">gency’s Waste Management Plan benefits </w:t>
            </w:r>
            <w:r>
              <w:t>outline</w:t>
            </w:r>
            <w:r w:rsidRPr="0089303B">
              <w:t xml:space="preserve"> waste disposal best practice and:</w:t>
            </w:r>
          </w:p>
          <w:p w14:paraId="134B0FC1" w14:textId="17F8337C" w:rsidR="0089303B" w:rsidRPr="0089303B" w:rsidRDefault="0089303B" w:rsidP="005567E1">
            <w:pPr>
              <w:pStyle w:val="SABulletslevel2"/>
              <w:cnfStyle w:val="000000000000" w:firstRow="0" w:lastRow="0" w:firstColumn="0" w:lastColumn="0" w:oddVBand="0" w:evenVBand="0" w:oddHBand="0" w:evenHBand="0" w:firstRowFirstColumn="0" w:firstRowLastColumn="0" w:lastRowFirstColumn="0" w:lastRowLastColumn="0"/>
            </w:pPr>
            <w:r w:rsidRPr="0089303B">
              <w:t>reduced landfill waste and carbon emissions</w:t>
            </w:r>
          </w:p>
          <w:p w14:paraId="41A828EB" w14:textId="39ECB546" w:rsidR="0089303B" w:rsidRPr="0089303B" w:rsidRDefault="0089303B" w:rsidP="005567E1">
            <w:pPr>
              <w:pStyle w:val="SABulletslevel2"/>
              <w:cnfStyle w:val="000000000000" w:firstRow="0" w:lastRow="0" w:firstColumn="0" w:lastColumn="0" w:oddVBand="0" w:evenVBand="0" w:oddHBand="0" w:evenHBand="0" w:firstRowFirstColumn="0" w:firstRowLastColumn="0" w:lastRowFirstColumn="0" w:lastRowLastColumn="0"/>
            </w:pPr>
            <w:r w:rsidRPr="0089303B">
              <w:t xml:space="preserve">increased resource recovery </w:t>
            </w:r>
            <w:r>
              <w:t>through</w:t>
            </w:r>
            <w:r w:rsidRPr="0089303B">
              <w:t xml:space="preserve"> recycling</w:t>
            </w:r>
          </w:p>
          <w:p w14:paraId="6B3695FC" w14:textId="56676D84" w:rsidR="0089303B" w:rsidRPr="0089303B" w:rsidRDefault="0089303B" w:rsidP="005567E1">
            <w:pPr>
              <w:pStyle w:val="SABulletslevel2"/>
              <w:cnfStyle w:val="000000000000" w:firstRow="0" w:lastRow="0" w:firstColumn="0" w:lastColumn="0" w:oddVBand="0" w:evenVBand="0" w:oddHBand="0" w:evenHBand="0" w:firstRowFirstColumn="0" w:firstRowLastColumn="0" w:lastRowFirstColumn="0" w:lastRowLastColumn="0"/>
            </w:pPr>
            <w:r w:rsidRPr="0089303B">
              <w:t>costs reduced</w:t>
            </w:r>
            <w:r>
              <w:t xml:space="preserve"> or </w:t>
            </w:r>
            <w:r w:rsidRPr="0089303B">
              <w:t>avoided</w:t>
            </w:r>
            <w:r>
              <w:t xml:space="preserve"> </w:t>
            </w:r>
            <w:r w:rsidRPr="0089303B">
              <w:t>through reduced waste collection by contractors and a reduction</w:t>
            </w:r>
            <w:r>
              <w:t xml:space="preserve"> or </w:t>
            </w:r>
            <w:r w:rsidRPr="0089303B">
              <w:t>avoidance of landfill waste</w:t>
            </w:r>
          </w:p>
          <w:p w14:paraId="0196C23F" w14:textId="499C857D" w:rsidR="0089303B" w:rsidRDefault="0089303B" w:rsidP="005567E1">
            <w:pPr>
              <w:pStyle w:val="SABulletslevel2"/>
              <w:cnfStyle w:val="000000000000" w:firstRow="0" w:lastRow="0" w:firstColumn="0" w:lastColumn="0" w:oddVBand="0" w:evenVBand="0" w:oddHBand="0" w:evenHBand="0" w:firstRowFirstColumn="0" w:firstRowLastColumn="0" w:lastRowFirstColumn="0" w:lastRowLastColumn="0"/>
            </w:pPr>
            <w:r w:rsidRPr="0089303B">
              <w:t>additional time diverted to cleaning</w:t>
            </w:r>
            <w:r>
              <w:t>,</w:t>
            </w:r>
            <w:r w:rsidRPr="0089303B">
              <w:t xml:space="preserve"> rather than waste collection from under desk bins</w:t>
            </w:r>
            <w:r>
              <w:t>.</w:t>
            </w:r>
          </w:p>
        </w:tc>
      </w:tr>
    </w:tbl>
    <w:p w14:paraId="79BD30AF" w14:textId="2A04477D" w:rsidR="00240F8C" w:rsidRPr="00240F8C" w:rsidRDefault="00240F8C" w:rsidP="005567E1">
      <w:pPr>
        <w:pStyle w:val="Caption"/>
      </w:pPr>
      <w:bookmarkStart w:id="13" w:name="_Toc147758806"/>
      <w:r>
        <w:t>Figure 4: Other agency measures for emissions reduction</w:t>
      </w:r>
    </w:p>
    <w:p w14:paraId="478575BA" w14:textId="6915BF4F" w:rsidR="00A03448" w:rsidRPr="00870920" w:rsidRDefault="00A03448" w:rsidP="00796D8A">
      <w:pPr>
        <w:pStyle w:val="SAHeadinglevel2"/>
      </w:pPr>
      <w:bookmarkStart w:id="14" w:name="_Toc218750541"/>
      <w:r>
        <w:t xml:space="preserve">Key </w:t>
      </w:r>
      <w:r w:rsidR="003A5EC8">
        <w:t>a</w:t>
      </w:r>
      <w:r>
        <w:t xml:space="preserve">ctions to achieve </w:t>
      </w:r>
      <w:r w:rsidR="003A5EC8">
        <w:t>ne</w:t>
      </w:r>
      <w:r>
        <w:t xml:space="preserve">t </w:t>
      </w:r>
      <w:r w:rsidR="003A5EC8">
        <w:t>zero emissions</w:t>
      </w:r>
      <w:bookmarkEnd w:id="13"/>
      <w:bookmarkEnd w:id="14"/>
    </w:p>
    <w:p w14:paraId="4014A83C" w14:textId="053BBC91" w:rsidR="00B336A7" w:rsidRDefault="009E08C0" w:rsidP="000A447D">
      <w:pPr>
        <w:pStyle w:val="BodyText"/>
      </w:pPr>
      <w:r>
        <w:t>Our</w:t>
      </w:r>
      <w:r w:rsidR="003A5EC8">
        <w:t xml:space="preserve"> </w:t>
      </w:r>
      <w:r w:rsidR="0030278B">
        <w:t>c</w:t>
      </w:r>
      <w:r w:rsidR="00A03448">
        <w:t xml:space="preserve">urrent sustainability measures </w:t>
      </w:r>
      <w:r w:rsidR="00EB1509">
        <w:t>aren</w:t>
      </w:r>
      <w:r w:rsidR="003A5EC8">
        <w:t>’t</w:t>
      </w:r>
      <w:r w:rsidR="0030278B">
        <w:t xml:space="preserve"> </w:t>
      </w:r>
      <w:r w:rsidR="00AB7300">
        <w:t>enough</w:t>
      </w:r>
      <w:r w:rsidR="0039615C">
        <w:t xml:space="preserve"> </w:t>
      </w:r>
      <w:r w:rsidR="0030278B">
        <w:t>to</w:t>
      </w:r>
      <w:r w:rsidR="00A03448">
        <w:t xml:space="preserve"> achieve net zero</w:t>
      </w:r>
      <w:r w:rsidR="0030278B">
        <w:t>. To achieve this</w:t>
      </w:r>
      <w:r w:rsidR="00AB7300">
        <w:t>,</w:t>
      </w:r>
      <w:r w:rsidR="0030278B">
        <w:t xml:space="preserve"> </w:t>
      </w:r>
      <w:r>
        <w:t>we’ll</w:t>
      </w:r>
      <w:r w:rsidR="0030278B">
        <w:t xml:space="preserve"> undertake </w:t>
      </w:r>
      <w:r w:rsidR="00A03448">
        <w:t>more targeted action on existing</w:t>
      </w:r>
      <w:r w:rsidR="0030278B">
        <w:t xml:space="preserve"> measures and introduce further </w:t>
      </w:r>
      <w:r w:rsidR="00A03448">
        <w:t>new measures.</w:t>
      </w:r>
      <w:r w:rsidR="00B336A7">
        <w:t xml:space="preserve"> </w:t>
      </w:r>
      <w:r w:rsidR="00AB7300">
        <w:t>This</w:t>
      </w:r>
      <w:r w:rsidR="00B336A7">
        <w:t xml:space="preserve"> include</w:t>
      </w:r>
      <w:r w:rsidR="00AB7300">
        <w:t>s</w:t>
      </w:r>
      <w:r w:rsidR="00B336A7">
        <w:t xml:space="preserve">: </w:t>
      </w:r>
    </w:p>
    <w:p w14:paraId="2ABD66F0" w14:textId="0B8FE7DF" w:rsidR="00B336A7" w:rsidRPr="00046BB1" w:rsidRDefault="00AB7300" w:rsidP="005567E1">
      <w:pPr>
        <w:pStyle w:val="SABulletslevel"/>
      </w:pPr>
      <w:r>
        <w:t>p</w:t>
      </w:r>
      <w:r w:rsidR="00B336A7" w:rsidRPr="00046BB1">
        <w:t>rocur</w:t>
      </w:r>
      <w:r>
        <w:t>ing</w:t>
      </w:r>
      <w:r w:rsidR="00B336A7" w:rsidRPr="00046BB1">
        <w:t xml:space="preserve"> renewable electricity</w:t>
      </w:r>
    </w:p>
    <w:p w14:paraId="6A1A7C85" w14:textId="7DBC3380" w:rsidR="00B336A7" w:rsidRPr="00046BB1" w:rsidRDefault="00AB7300" w:rsidP="005567E1">
      <w:pPr>
        <w:pStyle w:val="SABulletslevel"/>
      </w:pPr>
      <w:r>
        <w:t>i</w:t>
      </w:r>
      <w:r w:rsidR="00B336A7" w:rsidRPr="00046BB1">
        <w:t>mprov</w:t>
      </w:r>
      <w:r>
        <w:t>ing</w:t>
      </w:r>
      <w:r w:rsidR="00B336A7" w:rsidRPr="00046BB1">
        <w:t xml:space="preserve"> building standards</w:t>
      </w:r>
    </w:p>
    <w:p w14:paraId="12F61D4B" w14:textId="2B4D7DB0" w:rsidR="0039615C" w:rsidRPr="00046BB1" w:rsidRDefault="00AB7300" w:rsidP="005567E1">
      <w:pPr>
        <w:pStyle w:val="SABulletslevel"/>
      </w:pPr>
      <w:r>
        <w:t>t</w:t>
      </w:r>
      <w:r w:rsidR="00B336A7" w:rsidRPr="00046BB1">
        <w:t>ransition</w:t>
      </w:r>
      <w:r>
        <w:t>ing</w:t>
      </w:r>
      <w:r w:rsidR="00B336A7" w:rsidRPr="00046BB1">
        <w:t xml:space="preserve"> </w:t>
      </w:r>
      <w:r w:rsidR="004F5EC8">
        <w:t>our</w:t>
      </w:r>
      <w:r w:rsidRPr="00046BB1">
        <w:t xml:space="preserve"> </w:t>
      </w:r>
      <w:r w:rsidR="00B336A7" w:rsidRPr="00046BB1">
        <w:t xml:space="preserve">petrol vehicles </w:t>
      </w:r>
      <w:proofErr w:type="gramStart"/>
      <w:r w:rsidR="00B336A7" w:rsidRPr="00046BB1">
        <w:t>to</w:t>
      </w:r>
      <w:proofErr w:type="gramEnd"/>
      <w:r w:rsidR="00B336A7" w:rsidRPr="00046BB1">
        <w:t xml:space="preserve"> low emission vehicles</w:t>
      </w:r>
    </w:p>
    <w:p w14:paraId="0A992CE4" w14:textId="56DBA3E6" w:rsidR="00221514" w:rsidRPr="00046BB1" w:rsidRDefault="00AB7300" w:rsidP="005567E1">
      <w:pPr>
        <w:pStyle w:val="SABulletslevel"/>
      </w:pPr>
      <w:r>
        <w:t>s</w:t>
      </w:r>
      <w:r w:rsidRPr="00046BB1">
        <w:t xml:space="preserve">ustainable </w:t>
      </w:r>
      <w:r w:rsidR="00221514" w:rsidRPr="00046BB1">
        <w:t>procurement</w:t>
      </w:r>
      <w:r>
        <w:t>.</w:t>
      </w:r>
    </w:p>
    <w:p w14:paraId="66024679" w14:textId="656849E2" w:rsidR="00A03448" w:rsidRDefault="00A03448" w:rsidP="000A447D">
      <w:pPr>
        <w:pStyle w:val="BodyText"/>
      </w:pPr>
      <w:r>
        <w:t>These actions are supported by carbon</w:t>
      </w:r>
      <w:r w:rsidR="00CE0958">
        <w:t xml:space="preserve"> modelling,</w:t>
      </w:r>
      <w:r w:rsidR="00CB2CBF">
        <w:t xml:space="preserve"> undertaken by </w:t>
      </w:r>
      <w:r w:rsidR="004F5EC8">
        <w:t>our</w:t>
      </w:r>
      <w:r w:rsidR="000A6286">
        <w:t xml:space="preserve"> </w:t>
      </w:r>
      <w:r w:rsidR="00CB2CBF">
        <w:t>property service provider, Jones Lang Lasalle (JLL). The modelling project</w:t>
      </w:r>
      <w:r w:rsidR="00A7216C">
        <w:t>s</w:t>
      </w:r>
      <w:r w:rsidR="00CB2CBF">
        <w:t xml:space="preserve"> emissions reduction based on targeted actions, such as renewable energy procurement, </w:t>
      </w:r>
      <w:r>
        <w:t>and allow</w:t>
      </w:r>
      <w:r w:rsidR="00485DE4">
        <w:t>s</w:t>
      </w:r>
      <w:r>
        <w:t xml:space="preserve"> </w:t>
      </w:r>
      <w:r w:rsidR="004F5EC8">
        <w:t>us</w:t>
      </w:r>
      <w:r w:rsidR="00AB7300">
        <w:t xml:space="preserve"> </w:t>
      </w:r>
      <w:r>
        <w:t xml:space="preserve">to </w:t>
      </w:r>
      <w:r w:rsidR="00CB2CBF">
        <w:t xml:space="preserve">track </w:t>
      </w:r>
      <w:r>
        <w:t xml:space="preserve">emissions </w:t>
      </w:r>
      <w:r w:rsidR="00A7216C">
        <w:t>towards</w:t>
      </w:r>
      <w:r>
        <w:t xml:space="preserve"> achiev</w:t>
      </w:r>
      <w:r w:rsidR="00A7216C">
        <w:t>ing</w:t>
      </w:r>
      <w:r>
        <w:t xml:space="preserve"> net zero by 2030. The actions are</w:t>
      </w:r>
      <w:r w:rsidR="00A7216C">
        <w:t xml:space="preserve"> also</w:t>
      </w:r>
      <w:r>
        <w:t xml:space="preserve"> guided by NZGO</w:t>
      </w:r>
      <w:r w:rsidR="00EB1509">
        <w:t xml:space="preserve"> targets</w:t>
      </w:r>
      <w:r>
        <w:t xml:space="preserve"> and are summarised in </w:t>
      </w:r>
      <w:r w:rsidR="00AB7300">
        <w:t>Figure 5.</w:t>
      </w:r>
    </w:p>
    <w:tbl>
      <w:tblPr>
        <w:tblStyle w:val="ServicesAustralia"/>
        <w:tblW w:w="0" w:type="auto"/>
        <w:tblLook w:val="04A0" w:firstRow="1" w:lastRow="0" w:firstColumn="1" w:lastColumn="0" w:noHBand="0" w:noVBand="1"/>
      </w:tblPr>
      <w:tblGrid>
        <w:gridCol w:w="2977"/>
        <w:gridCol w:w="3500"/>
        <w:gridCol w:w="3501"/>
      </w:tblGrid>
      <w:tr w:rsidR="00AB7300" w14:paraId="706FF896" w14:textId="3415AB1E" w:rsidTr="000A4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552E107B" w14:textId="51030471" w:rsidR="00AB7300" w:rsidRDefault="00AB7300" w:rsidP="00A03448">
            <w:pPr>
              <w:pStyle w:val="SABodytext"/>
            </w:pPr>
            <w:r>
              <w:t>Category</w:t>
            </w:r>
          </w:p>
        </w:tc>
        <w:tc>
          <w:tcPr>
            <w:tcW w:w="3500" w:type="dxa"/>
          </w:tcPr>
          <w:p w14:paraId="633B2E66" w14:textId="0E8FDFCE" w:rsidR="00AB7300" w:rsidRDefault="00AB7300" w:rsidP="00A03448">
            <w:pPr>
              <w:pStyle w:val="SABodytext"/>
              <w:cnfStyle w:val="100000000000" w:firstRow="1" w:lastRow="0" w:firstColumn="0" w:lastColumn="0" w:oddVBand="0" w:evenVBand="0" w:oddHBand="0" w:evenHBand="0" w:firstRowFirstColumn="0" w:firstRowLastColumn="0" w:lastRowFirstColumn="0" w:lastRowLastColumn="0"/>
            </w:pPr>
            <w:r>
              <w:t>NZGO target/measure</w:t>
            </w:r>
          </w:p>
        </w:tc>
        <w:tc>
          <w:tcPr>
            <w:tcW w:w="3501" w:type="dxa"/>
          </w:tcPr>
          <w:p w14:paraId="3E5275F1" w14:textId="6777DFAB" w:rsidR="00AB7300" w:rsidRDefault="00AB7300" w:rsidP="00A03448">
            <w:pPr>
              <w:pStyle w:val="SABodytext"/>
              <w:cnfStyle w:val="100000000000" w:firstRow="1" w:lastRow="0" w:firstColumn="0" w:lastColumn="0" w:oddVBand="0" w:evenVBand="0" w:oddHBand="0" w:evenHBand="0" w:firstRowFirstColumn="0" w:firstRowLastColumn="0" w:lastRowFirstColumn="0" w:lastRowLastColumn="0"/>
            </w:pPr>
            <w:r>
              <w:t>Action by agency</w:t>
            </w:r>
          </w:p>
        </w:tc>
      </w:tr>
      <w:tr w:rsidR="00AB7300" w14:paraId="5DA9C5B6" w14:textId="38F4B580" w:rsidTr="000A447D">
        <w:tc>
          <w:tcPr>
            <w:cnfStyle w:val="001000000000" w:firstRow="0" w:lastRow="0" w:firstColumn="1" w:lastColumn="0" w:oddVBand="0" w:evenVBand="0" w:oddHBand="0" w:evenHBand="0" w:firstRowFirstColumn="0" w:firstRowLastColumn="0" w:lastRowFirstColumn="0" w:lastRowLastColumn="0"/>
            <w:tcW w:w="2977" w:type="dxa"/>
          </w:tcPr>
          <w:p w14:paraId="12A08429" w14:textId="6DBBC542" w:rsidR="00AB7300" w:rsidRDefault="00AB7300" w:rsidP="00A03448">
            <w:pPr>
              <w:pStyle w:val="SABodytext"/>
            </w:pPr>
            <w:r>
              <w:t>Renewable energy procurement</w:t>
            </w:r>
          </w:p>
        </w:tc>
        <w:tc>
          <w:tcPr>
            <w:tcW w:w="3500" w:type="dxa"/>
          </w:tcPr>
          <w:p w14:paraId="32FAE180" w14:textId="7414E731" w:rsidR="00AB7300" w:rsidRDefault="00AB7300" w:rsidP="000A447D">
            <w:pPr>
              <w:pStyle w:val="SABodytext"/>
              <w:cnfStyle w:val="000000000000" w:firstRow="0" w:lastRow="0" w:firstColumn="0" w:lastColumn="0" w:oddVBand="0" w:evenVBand="0" w:oddHBand="0" w:evenHBand="0" w:firstRowFirstColumn="0" w:firstRowLastColumn="0" w:lastRowFirstColumn="0" w:lastRowLastColumn="0"/>
            </w:pPr>
            <w:r w:rsidRPr="001C5A30">
              <w:t xml:space="preserve">Replace existing </w:t>
            </w:r>
            <w:r>
              <w:t>coal-fired</w:t>
            </w:r>
            <w:r w:rsidRPr="001C5A30">
              <w:t xml:space="preserve"> electricity contracts with renewable energy contracts</w:t>
            </w:r>
            <w:r w:rsidR="0066599B">
              <w:t>.</w:t>
            </w:r>
          </w:p>
        </w:tc>
        <w:tc>
          <w:tcPr>
            <w:tcW w:w="3501" w:type="dxa"/>
          </w:tcPr>
          <w:p w14:paraId="1EE3CA04" w14:textId="1EC2A5CD" w:rsidR="00AB7300" w:rsidRPr="00AB7300" w:rsidRDefault="00AB7300" w:rsidP="005567E1">
            <w:pPr>
              <w:pStyle w:val="SABulletslevel"/>
              <w:cnfStyle w:val="000000000000" w:firstRow="0" w:lastRow="0" w:firstColumn="0" w:lastColumn="0" w:oddVBand="0" w:evenVBand="0" w:oddHBand="0" w:evenHBand="0" w:firstRowFirstColumn="0" w:firstRowLastColumn="0" w:lastRowFirstColumn="0" w:lastRowLastColumn="0"/>
            </w:pPr>
            <w:r w:rsidRPr="00AB7300">
              <w:t>Procure renewable energy through Finance Renewable Energy Panel from 2025 as current contracts expire</w:t>
            </w:r>
            <w:r>
              <w:t>.</w:t>
            </w:r>
          </w:p>
        </w:tc>
      </w:tr>
      <w:tr w:rsidR="00AB7300" w14:paraId="17DC9F51" w14:textId="0A4FF421" w:rsidTr="000A447D">
        <w:trPr>
          <w:trHeight w:val="2420"/>
        </w:trPr>
        <w:tc>
          <w:tcPr>
            <w:cnfStyle w:val="001000000000" w:firstRow="0" w:lastRow="0" w:firstColumn="1" w:lastColumn="0" w:oddVBand="0" w:evenVBand="0" w:oddHBand="0" w:evenHBand="0" w:firstRowFirstColumn="0" w:firstRowLastColumn="0" w:lastRowFirstColumn="0" w:lastRowLastColumn="0"/>
            <w:tcW w:w="2977" w:type="dxa"/>
          </w:tcPr>
          <w:p w14:paraId="7A997509" w14:textId="77777777" w:rsidR="00AB7300" w:rsidRDefault="00AB7300" w:rsidP="00AB7300">
            <w:pPr>
              <w:pStyle w:val="SABodytext"/>
              <w:rPr>
                <w:b w:val="0"/>
                <w:bCs w:val="0"/>
              </w:rPr>
            </w:pPr>
            <w:r>
              <w:t>Improve building standards</w:t>
            </w:r>
          </w:p>
          <w:p w14:paraId="75639BDA" w14:textId="77777777" w:rsidR="00AB7300" w:rsidRPr="005567E1" w:rsidRDefault="00AB7300" w:rsidP="00AB7300">
            <w:pPr>
              <w:pStyle w:val="SABodytext"/>
              <w:rPr>
                <w:b w:val="0"/>
                <w:bCs w:val="0"/>
                <w:szCs w:val="20"/>
              </w:rPr>
            </w:pPr>
            <w:r w:rsidRPr="004B0F8C">
              <w:rPr>
                <w:szCs w:val="20"/>
              </w:rPr>
              <w:t>Green Lease Schedule (GLS)</w:t>
            </w:r>
          </w:p>
          <w:p w14:paraId="49D95E3E" w14:textId="77777777" w:rsidR="00AB7300" w:rsidRPr="005567E1" w:rsidRDefault="00AB7300" w:rsidP="00AB7300">
            <w:pPr>
              <w:pStyle w:val="SABodytext"/>
              <w:rPr>
                <w:b w:val="0"/>
                <w:bCs w:val="0"/>
                <w:szCs w:val="20"/>
              </w:rPr>
            </w:pPr>
            <w:r w:rsidRPr="004B0F8C">
              <w:rPr>
                <w:szCs w:val="20"/>
              </w:rPr>
              <w:t>Energy Management Plan (EMP)</w:t>
            </w:r>
          </w:p>
          <w:p w14:paraId="5512CBA1" w14:textId="1BAB9648" w:rsidR="00AB7300" w:rsidRPr="005567E1" w:rsidRDefault="00AB7300" w:rsidP="00A03448">
            <w:pPr>
              <w:pStyle w:val="SABodytext"/>
              <w:rPr>
                <w:b w:val="0"/>
                <w:bCs w:val="0"/>
              </w:rPr>
            </w:pPr>
            <w:r w:rsidRPr="004B0F8C">
              <w:rPr>
                <w:szCs w:val="20"/>
              </w:rPr>
              <w:t>National Australian Built Environment Rating System (NABERS)</w:t>
            </w:r>
          </w:p>
        </w:tc>
        <w:tc>
          <w:tcPr>
            <w:tcW w:w="3500" w:type="dxa"/>
          </w:tcPr>
          <w:p w14:paraId="4D1ACAA3" w14:textId="501376E8" w:rsidR="00AB7300" w:rsidRDefault="00AB7300" w:rsidP="000A447D">
            <w:pPr>
              <w:pStyle w:val="SABodytext"/>
              <w:cnfStyle w:val="000000000000" w:firstRow="0" w:lastRow="0" w:firstColumn="0" w:lastColumn="0" w:oddVBand="0" w:evenVBand="0" w:oddHBand="0" w:evenHBand="0" w:firstRowFirstColumn="0" w:firstRowLastColumn="0" w:lastRowFirstColumn="0" w:lastRowLastColumn="0"/>
            </w:pPr>
            <w:r w:rsidRPr="002B1893">
              <w:t>Office space leased from 1 July 2025 over 1</w:t>
            </w:r>
            <w:r w:rsidR="004B0F8C">
              <w:t>,</w:t>
            </w:r>
            <w:r w:rsidRPr="002B1893">
              <w:t>000m</w:t>
            </w:r>
            <w:r w:rsidRPr="005567E1">
              <w:rPr>
                <w:vertAlign w:val="superscript"/>
              </w:rPr>
              <w:t>2</w:t>
            </w:r>
            <w:r w:rsidRPr="002B1893">
              <w:t xml:space="preserve"> to include GLS and meet National Australian Built Environment Rating System (NABERS) standards as set out in the NZGO strategy.</w:t>
            </w:r>
          </w:p>
        </w:tc>
        <w:tc>
          <w:tcPr>
            <w:tcW w:w="3501" w:type="dxa"/>
          </w:tcPr>
          <w:p w14:paraId="71AE45AA" w14:textId="036EA367" w:rsidR="00AB7300" w:rsidRPr="002B1893" w:rsidRDefault="00AB7300" w:rsidP="005567E1">
            <w:pPr>
              <w:pStyle w:val="SABulletslevel"/>
              <w:cnfStyle w:val="000000000000" w:firstRow="0" w:lastRow="0" w:firstColumn="0" w:lastColumn="0" w:oddVBand="0" w:evenVBand="0" w:oddHBand="0" w:evenHBand="0" w:firstRowFirstColumn="0" w:firstRowLastColumn="0" w:lastRowFirstColumn="0" w:lastRowLastColumn="0"/>
            </w:pPr>
            <w:r w:rsidRPr="002B1893">
              <w:t>Include GLS in leases for office spaces 1</w:t>
            </w:r>
            <w:r w:rsidR="004B0F8C">
              <w:t>,</w:t>
            </w:r>
            <w:r w:rsidRPr="002B1893">
              <w:t>000m</w:t>
            </w:r>
            <w:r w:rsidRPr="005567E1">
              <w:rPr>
                <w:rFonts w:eastAsia="Times New Roman"/>
                <w:color w:val="auto"/>
                <w:vertAlign w:val="superscript"/>
              </w:rPr>
              <w:t>2</w:t>
            </w:r>
            <w:r w:rsidRPr="002B1893">
              <w:t xml:space="preserve"> and over</w:t>
            </w:r>
            <w:r w:rsidR="006E381E">
              <w:t>.</w:t>
            </w:r>
          </w:p>
          <w:p w14:paraId="45B38651" w14:textId="384D1414" w:rsidR="00AB7300" w:rsidRPr="002B1893" w:rsidRDefault="00AB7300" w:rsidP="005567E1">
            <w:pPr>
              <w:pStyle w:val="SABulletslevel"/>
              <w:cnfStyle w:val="000000000000" w:firstRow="0" w:lastRow="0" w:firstColumn="0" w:lastColumn="0" w:oddVBand="0" w:evenVBand="0" w:oddHBand="0" w:evenHBand="0" w:firstRowFirstColumn="0" w:firstRowLastColumn="0" w:lastRowFirstColumn="0" w:lastRowLastColumn="0"/>
            </w:pPr>
            <w:r w:rsidRPr="00FF1883">
              <w:t xml:space="preserve">EMPs </w:t>
            </w:r>
            <w:proofErr w:type="gramStart"/>
            <w:r w:rsidRPr="00FF1883">
              <w:t>to</w:t>
            </w:r>
            <w:proofErr w:type="gramEnd"/>
            <w:r w:rsidRPr="00FF1883">
              <w:t xml:space="preserve"> be included in GLS requirement of leases</w:t>
            </w:r>
            <w:r w:rsidR="006E381E">
              <w:t>.</w:t>
            </w:r>
          </w:p>
          <w:p w14:paraId="3855420C" w14:textId="18309126" w:rsidR="00AB7300" w:rsidRPr="00AB7300" w:rsidRDefault="00AB7300" w:rsidP="005567E1">
            <w:pPr>
              <w:pStyle w:val="SABulletslevel"/>
              <w:cnfStyle w:val="000000000000" w:firstRow="0" w:lastRow="0" w:firstColumn="0" w:lastColumn="0" w:oddVBand="0" w:evenVBand="0" w:oddHBand="0" w:evenHBand="0" w:firstRowFirstColumn="0" w:firstRowLastColumn="0" w:lastRowFirstColumn="0" w:lastRowLastColumn="0"/>
            </w:pPr>
            <w:r w:rsidRPr="00FF1883">
              <w:t xml:space="preserve">Manage and monitor </w:t>
            </w:r>
            <w:r w:rsidRPr="002B1893">
              <w:t xml:space="preserve">GLS, NABERS and EMP obligations </w:t>
            </w:r>
            <w:r>
              <w:t xml:space="preserve">and </w:t>
            </w:r>
            <w:r w:rsidRPr="002B1893">
              <w:t xml:space="preserve">collaborating with </w:t>
            </w:r>
            <w:r>
              <w:t>l</w:t>
            </w:r>
            <w:r w:rsidRPr="002B1893">
              <w:t>andlords to improve and maintain site efficiency</w:t>
            </w:r>
            <w:r>
              <w:t>.</w:t>
            </w:r>
          </w:p>
        </w:tc>
      </w:tr>
      <w:tr w:rsidR="00AB7300" w14:paraId="0358BE85" w14:textId="6BCE9ED9" w:rsidTr="000A447D">
        <w:tc>
          <w:tcPr>
            <w:cnfStyle w:val="001000000000" w:firstRow="0" w:lastRow="0" w:firstColumn="1" w:lastColumn="0" w:oddVBand="0" w:evenVBand="0" w:oddHBand="0" w:evenHBand="0" w:firstRowFirstColumn="0" w:firstRowLastColumn="0" w:lastRowFirstColumn="0" w:lastRowLastColumn="0"/>
            <w:tcW w:w="2977" w:type="dxa"/>
          </w:tcPr>
          <w:p w14:paraId="05D8A093" w14:textId="00759446" w:rsidR="00AB7300" w:rsidRDefault="00AB7300" w:rsidP="00A03448">
            <w:pPr>
              <w:pStyle w:val="SABodytext"/>
            </w:pPr>
            <w:r>
              <w:t>Fleet transition</w:t>
            </w:r>
          </w:p>
        </w:tc>
        <w:tc>
          <w:tcPr>
            <w:tcW w:w="3500" w:type="dxa"/>
          </w:tcPr>
          <w:p w14:paraId="3BB33A2B" w14:textId="52CDEA65" w:rsidR="00AB7300" w:rsidRPr="001C5A30" w:rsidRDefault="00AB7300" w:rsidP="000A447D">
            <w:pPr>
              <w:pStyle w:val="SABodytext"/>
              <w:cnfStyle w:val="000000000000" w:firstRow="0" w:lastRow="0" w:firstColumn="0" w:lastColumn="0" w:oddVBand="0" w:evenVBand="0" w:oddHBand="0" w:evenHBand="0" w:firstRowFirstColumn="0" w:firstRowLastColumn="0" w:lastRowFirstColumn="0" w:lastRowLastColumn="0"/>
              <w:rPr>
                <w:rFonts w:eastAsia="Times New Roman"/>
              </w:rPr>
            </w:pPr>
            <w:r w:rsidRPr="001C5A30">
              <w:t xml:space="preserve">75% of Fleet </w:t>
            </w:r>
            <w:r>
              <w:t>orders</w:t>
            </w:r>
            <w:r w:rsidRPr="001C5A30">
              <w:t xml:space="preserve"> </w:t>
            </w:r>
            <w:r>
              <w:t>for</w:t>
            </w:r>
            <w:r w:rsidRPr="001C5A30">
              <w:t xml:space="preserve"> EV by 2025</w:t>
            </w:r>
            <w:r w:rsidR="0066599B">
              <w:t>.</w:t>
            </w:r>
          </w:p>
          <w:p w14:paraId="6294D914" w14:textId="77777777" w:rsidR="00AB7300" w:rsidRDefault="00AB7300" w:rsidP="000A447D">
            <w:pPr>
              <w:pStyle w:val="SABodytext"/>
              <w:cnfStyle w:val="000000000000" w:firstRow="0" w:lastRow="0" w:firstColumn="0" w:lastColumn="0" w:oddVBand="0" w:evenVBand="0" w:oddHBand="0" w:evenHBand="0" w:firstRowFirstColumn="0" w:firstRowLastColumn="0" w:lastRowFirstColumn="0" w:lastRowLastColumn="0"/>
            </w:pPr>
          </w:p>
        </w:tc>
        <w:tc>
          <w:tcPr>
            <w:tcW w:w="3501" w:type="dxa"/>
          </w:tcPr>
          <w:p w14:paraId="440BBF68" w14:textId="56EE38F1" w:rsidR="00AB7300" w:rsidRPr="00C264D8" w:rsidRDefault="00AB7300" w:rsidP="005567E1">
            <w:pPr>
              <w:pStyle w:val="SABulletslevel"/>
              <w:cnfStyle w:val="000000000000" w:firstRow="0" w:lastRow="0" w:firstColumn="0" w:lastColumn="0" w:oddVBand="0" w:evenVBand="0" w:oddHBand="0" w:evenHBand="0" w:firstRowFirstColumn="0" w:firstRowLastColumn="0" w:lastRowFirstColumn="0" w:lastRowLastColumn="0"/>
            </w:pPr>
            <w:proofErr w:type="gramStart"/>
            <w:r>
              <w:t>Transition</w:t>
            </w:r>
            <w:proofErr w:type="gramEnd"/>
            <w:r>
              <w:t xml:space="preserve"> p</w:t>
            </w:r>
            <w:r w:rsidRPr="00C264D8">
              <w:t xml:space="preserve">etrol to </w:t>
            </w:r>
            <w:r>
              <w:t>LEVs</w:t>
            </w:r>
            <w:r w:rsidR="006E381E">
              <w:t>.</w:t>
            </w:r>
          </w:p>
          <w:p w14:paraId="70B0E051" w14:textId="0157B5F4" w:rsidR="00AB7300" w:rsidRPr="00AB7300" w:rsidRDefault="00AB7300" w:rsidP="005567E1">
            <w:pPr>
              <w:pStyle w:val="SABulletslevel"/>
              <w:cnfStyle w:val="000000000000" w:firstRow="0" w:lastRow="0" w:firstColumn="0" w:lastColumn="0" w:oddVBand="0" w:evenVBand="0" w:oddHBand="0" w:evenHBand="0" w:firstRowFirstColumn="0" w:firstRowLastColumn="0" w:lastRowFirstColumn="0" w:lastRowLastColumn="0"/>
              <w:rPr>
                <w:szCs w:val="20"/>
              </w:rPr>
            </w:pPr>
            <w:r>
              <w:rPr>
                <w:szCs w:val="20"/>
              </w:rPr>
              <w:t xml:space="preserve">Rollout of </w:t>
            </w:r>
            <w:r w:rsidRPr="001C5A30">
              <w:rPr>
                <w:szCs w:val="20"/>
              </w:rPr>
              <w:t>EV infrastructure</w:t>
            </w:r>
            <w:r>
              <w:rPr>
                <w:szCs w:val="20"/>
              </w:rPr>
              <w:t xml:space="preserve"> installation.</w:t>
            </w:r>
          </w:p>
        </w:tc>
      </w:tr>
      <w:tr w:rsidR="000E6B0F" w14:paraId="45775689" w14:textId="0E0DEDA8" w:rsidTr="000A447D">
        <w:tc>
          <w:tcPr>
            <w:cnfStyle w:val="001000000000" w:firstRow="0" w:lastRow="0" w:firstColumn="1" w:lastColumn="0" w:oddVBand="0" w:evenVBand="0" w:oddHBand="0" w:evenHBand="0" w:firstRowFirstColumn="0" w:firstRowLastColumn="0" w:lastRowFirstColumn="0" w:lastRowLastColumn="0"/>
            <w:tcW w:w="2977" w:type="dxa"/>
          </w:tcPr>
          <w:p w14:paraId="7E919728" w14:textId="14DEF0D6" w:rsidR="000E6B0F" w:rsidRDefault="000E6B0F" w:rsidP="000E6B0F">
            <w:pPr>
              <w:pStyle w:val="SABodytext"/>
            </w:pPr>
            <w:r>
              <w:t>Sustainable procurement</w:t>
            </w:r>
          </w:p>
        </w:tc>
        <w:tc>
          <w:tcPr>
            <w:tcW w:w="3500" w:type="dxa"/>
          </w:tcPr>
          <w:p w14:paraId="4581CA92" w14:textId="450FDA72" w:rsidR="000E6B0F" w:rsidRPr="001C5A30" w:rsidRDefault="000E6B0F" w:rsidP="000A447D">
            <w:pPr>
              <w:pStyle w:val="SABodytext"/>
              <w:cnfStyle w:val="000000000000" w:firstRow="0" w:lastRow="0" w:firstColumn="0" w:lastColumn="0" w:oddVBand="0" w:evenVBand="0" w:oddHBand="0" w:evenHBand="0" w:firstRowFirstColumn="0" w:firstRowLastColumn="0" w:lastRowFirstColumn="0" w:lastRowLastColumn="0"/>
            </w:pPr>
            <w:r>
              <w:t>I</w:t>
            </w:r>
            <w:r w:rsidRPr="001C5A30">
              <w:t>mplementation of C-SPARC Sustainable Procurement Policy</w:t>
            </w:r>
            <w:r>
              <w:t>.</w:t>
            </w:r>
          </w:p>
          <w:p w14:paraId="3260C521" w14:textId="335D9FC6" w:rsidR="000E6B0F" w:rsidRDefault="000E6B0F" w:rsidP="000A447D">
            <w:pPr>
              <w:pStyle w:val="SABodytext"/>
              <w:cnfStyle w:val="000000000000" w:firstRow="0" w:lastRow="0" w:firstColumn="0" w:lastColumn="0" w:oddVBand="0" w:evenVBand="0" w:oddHBand="0" w:evenHBand="0" w:firstRowFirstColumn="0" w:firstRowLastColumn="0" w:lastRowFirstColumn="0" w:lastRowLastColumn="0"/>
            </w:pPr>
            <w:r w:rsidRPr="001C5A30">
              <w:t xml:space="preserve">Incorporate elements into </w:t>
            </w:r>
            <w:r w:rsidR="0066599B">
              <w:t>our</w:t>
            </w:r>
            <w:r w:rsidR="006E381E">
              <w:t xml:space="preserve"> </w:t>
            </w:r>
            <w:r w:rsidRPr="001C5A30">
              <w:t>Sustainable Properties Policy</w:t>
            </w:r>
            <w:r>
              <w:t xml:space="preserve"> and f</w:t>
            </w:r>
            <w:r w:rsidRPr="001C5A30">
              <w:t>ramework</w:t>
            </w:r>
            <w:r>
              <w:t>.</w:t>
            </w:r>
          </w:p>
        </w:tc>
        <w:tc>
          <w:tcPr>
            <w:tcW w:w="3501" w:type="dxa"/>
          </w:tcPr>
          <w:p w14:paraId="38B6DDD1" w14:textId="21149182" w:rsidR="000E6B0F" w:rsidRDefault="000E6B0F" w:rsidP="005567E1">
            <w:pPr>
              <w:pStyle w:val="SABulletslevel"/>
              <w:cnfStyle w:val="000000000000" w:firstRow="0" w:lastRow="0" w:firstColumn="0" w:lastColumn="0" w:oddVBand="0" w:evenVBand="0" w:oddHBand="0" w:evenHBand="0" w:firstRowFirstColumn="0" w:firstRowLastColumn="0" w:lastRowFirstColumn="0" w:lastRowLastColumn="0"/>
            </w:pPr>
            <w:r w:rsidRPr="001C5A30">
              <w:t>Incorporate sustainable procurement approach into Agency Sustainable Properties Policy</w:t>
            </w:r>
            <w:r>
              <w:t xml:space="preserve"> and f</w:t>
            </w:r>
            <w:r w:rsidRPr="001C5A30">
              <w:t>ramework</w:t>
            </w:r>
            <w:r w:rsidR="006E381E">
              <w:t>.</w:t>
            </w:r>
          </w:p>
          <w:p w14:paraId="4762EC2B" w14:textId="0187B29E" w:rsidR="000E6B0F" w:rsidRPr="000E6B0F" w:rsidRDefault="000E6B0F" w:rsidP="005567E1">
            <w:pPr>
              <w:pStyle w:val="SABulletslevel"/>
              <w:cnfStyle w:val="000000000000" w:firstRow="0" w:lastRow="0" w:firstColumn="0" w:lastColumn="0" w:oddVBand="0" w:evenVBand="0" w:oddHBand="0" w:evenHBand="0" w:firstRowFirstColumn="0" w:firstRowLastColumn="0" w:lastRowFirstColumn="0" w:lastRowLastColumn="0"/>
            </w:pPr>
            <w:r>
              <w:t>Support the promotion of sustainable procurement across the agency.</w:t>
            </w:r>
          </w:p>
        </w:tc>
      </w:tr>
    </w:tbl>
    <w:p w14:paraId="624F5028" w14:textId="12E56E4B" w:rsidR="003163DA" w:rsidRPr="003163DA" w:rsidRDefault="000E6B0F" w:rsidP="005567E1">
      <w:pPr>
        <w:pStyle w:val="Caption"/>
      </w:pPr>
      <w:r>
        <w:t>Figure 5: Key actions to achieve net zero emissions</w:t>
      </w:r>
    </w:p>
    <w:p w14:paraId="39B6E2F3" w14:textId="36291149" w:rsidR="003163DA" w:rsidRDefault="003163DA" w:rsidP="00796D8A">
      <w:pPr>
        <w:pStyle w:val="SAHeadinglevel2"/>
      </w:pPr>
      <w:bookmarkStart w:id="15" w:name="_Toc218750542"/>
      <w:r w:rsidRPr="00444160">
        <w:t xml:space="preserve">Key initiatives </w:t>
      </w:r>
      <w:r w:rsidR="00BB73B0">
        <w:t>we’ve</w:t>
      </w:r>
      <w:r w:rsidRPr="00444160">
        <w:t xml:space="preserve"> undertaken to achieve </w:t>
      </w:r>
      <w:r>
        <w:t>n</w:t>
      </w:r>
      <w:r w:rsidRPr="00444160">
        <w:t xml:space="preserve">et </w:t>
      </w:r>
      <w:r>
        <w:t>z</w:t>
      </w:r>
      <w:r w:rsidRPr="00444160">
        <w:t>ero emissions</w:t>
      </w:r>
      <w:bookmarkEnd w:id="15"/>
    </w:p>
    <w:tbl>
      <w:tblPr>
        <w:tblStyle w:val="ServicesAustralia"/>
        <w:tblW w:w="0" w:type="auto"/>
        <w:tblLook w:val="04A0" w:firstRow="1" w:lastRow="0" w:firstColumn="1" w:lastColumn="0" w:noHBand="0" w:noVBand="1"/>
      </w:tblPr>
      <w:tblGrid>
        <w:gridCol w:w="3119"/>
        <w:gridCol w:w="6859"/>
      </w:tblGrid>
      <w:tr w:rsidR="000A447D" w14:paraId="54801803" w14:textId="77777777" w:rsidTr="000A4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2FADF968" w14:textId="49DAF589" w:rsidR="000A447D" w:rsidRDefault="000A447D" w:rsidP="000A447D">
            <w:pPr>
              <w:pStyle w:val="SABodytext"/>
            </w:pPr>
            <w:r>
              <w:t>Initiative</w:t>
            </w:r>
          </w:p>
        </w:tc>
        <w:tc>
          <w:tcPr>
            <w:tcW w:w="6859" w:type="dxa"/>
          </w:tcPr>
          <w:p w14:paraId="4045E572" w14:textId="6E70EFF2" w:rsidR="000A447D" w:rsidRDefault="000A447D" w:rsidP="000A447D">
            <w:pPr>
              <w:pStyle w:val="SABodytext"/>
              <w:cnfStyle w:val="100000000000" w:firstRow="1" w:lastRow="0" w:firstColumn="0" w:lastColumn="0" w:oddVBand="0" w:evenVBand="0" w:oddHBand="0" w:evenHBand="0" w:firstRowFirstColumn="0" w:firstRowLastColumn="0" w:lastRowFirstColumn="0" w:lastRowLastColumn="0"/>
            </w:pPr>
            <w:r>
              <w:t>Action</w:t>
            </w:r>
          </w:p>
        </w:tc>
      </w:tr>
      <w:tr w:rsidR="000A447D" w14:paraId="4CA92E91"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5125FD83" w14:textId="18265EB0" w:rsidR="000A447D" w:rsidRDefault="000A447D" w:rsidP="000A447D">
            <w:pPr>
              <w:pStyle w:val="SABodytext"/>
            </w:pPr>
            <w:r w:rsidRPr="0042260A">
              <w:t xml:space="preserve">Renewable energy </w:t>
            </w:r>
          </w:p>
        </w:tc>
        <w:tc>
          <w:tcPr>
            <w:tcW w:w="6859" w:type="dxa"/>
          </w:tcPr>
          <w:p w14:paraId="397B5CF0" w14:textId="130B5045"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rsidRPr="00122DFE">
              <w:t>T</w:t>
            </w:r>
            <w:r w:rsidRPr="00D729BE">
              <w:t>ransition electricity contracts to include up to 100% green power.</w:t>
            </w:r>
          </w:p>
        </w:tc>
      </w:tr>
      <w:tr w:rsidR="000A447D" w14:paraId="31656D9B"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116C402E" w14:textId="341321BC" w:rsidR="000A447D" w:rsidRDefault="000A447D" w:rsidP="000A447D">
            <w:pPr>
              <w:pStyle w:val="SABodytext"/>
            </w:pPr>
            <w:r w:rsidRPr="0042260A">
              <w:t>Solar PV</w:t>
            </w:r>
          </w:p>
        </w:tc>
        <w:tc>
          <w:tcPr>
            <w:tcW w:w="6859" w:type="dxa"/>
          </w:tcPr>
          <w:p w14:paraId="00E6CD7A" w14:textId="5D020BC0"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t>N</w:t>
            </w:r>
            <w:r w:rsidRPr="0042260A">
              <w:t>egotiating into leases for increased renewable energy and reduced electricity costs.</w:t>
            </w:r>
          </w:p>
        </w:tc>
      </w:tr>
      <w:tr w:rsidR="000A447D" w14:paraId="29A70C45"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1B2A9433" w14:textId="3289B884" w:rsidR="000A447D" w:rsidRDefault="000A447D" w:rsidP="000A447D">
            <w:pPr>
              <w:pStyle w:val="SABodytext"/>
            </w:pPr>
            <w:r w:rsidRPr="0042260A">
              <w:t>LED lighting</w:t>
            </w:r>
          </w:p>
        </w:tc>
        <w:tc>
          <w:tcPr>
            <w:tcW w:w="6859" w:type="dxa"/>
          </w:tcPr>
          <w:p w14:paraId="4B84330B" w14:textId="68786BC7"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t>N</w:t>
            </w:r>
            <w:r w:rsidRPr="0042260A">
              <w:t>egotiating into leases for increased energy</w:t>
            </w:r>
            <w:r>
              <w:t xml:space="preserve"> </w:t>
            </w:r>
            <w:r w:rsidRPr="0042260A">
              <w:t>efficiency an</w:t>
            </w:r>
            <w:r>
              <w:t xml:space="preserve">d </w:t>
            </w:r>
            <w:r w:rsidRPr="0042260A">
              <w:t>reduced electricity costs.</w:t>
            </w:r>
          </w:p>
        </w:tc>
      </w:tr>
      <w:tr w:rsidR="000A447D" w14:paraId="46230F89"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088E7801" w14:textId="6ECBAA99" w:rsidR="000A447D" w:rsidRDefault="000A447D" w:rsidP="000A447D">
            <w:pPr>
              <w:pStyle w:val="SABodytext"/>
            </w:pPr>
            <w:r w:rsidRPr="0042260A">
              <w:t>Building performance</w:t>
            </w:r>
          </w:p>
        </w:tc>
        <w:tc>
          <w:tcPr>
            <w:tcW w:w="6859" w:type="dxa"/>
          </w:tcPr>
          <w:p w14:paraId="5C9E7609" w14:textId="165CB2B6"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t>I</w:t>
            </w:r>
            <w:r w:rsidRPr="0042260A">
              <w:t>nclude GLS in leases for all applicable office spaces.</w:t>
            </w:r>
          </w:p>
        </w:tc>
      </w:tr>
      <w:tr w:rsidR="000A447D" w14:paraId="3F0BDCE4"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4A17D38F" w14:textId="7D409ECB" w:rsidR="000A447D" w:rsidRDefault="000A447D" w:rsidP="000A447D">
            <w:pPr>
              <w:pStyle w:val="SABodytext"/>
            </w:pPr>
            <w:r w:rsidRPr="0042260A">
              <w:t>Electric vehicle transition</w:t>
            </w:r>
          </w:p>
        </w:tc>
        <w:tc>
          <w:tcPr>
            <w:tcW w:w="6859" w:type="dxa"/>
          </w:tcPr>
          <w:p w14:paraId="0F1BF828" w14:textId="3318D82B"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t>T</w:t>
            </w:r>
            <w:r w:rsidRPr="0042260A">
              <w:t>ransition of petrol fleet vehicles to LEVs and installation of charging infrastructure.</w:t>
            </w:r>
          </w:p>
        </w:tc>
      </w:tr>
      <w:tr w:rsidR="000A447D" w14:paraId="04E49FCD" w14:textId="77777777" w:rsidTr="000A447D">
        <w:tc>
          <w:tcPr>
            <w:cnfStyle w:val="001000000000" w:firstRow="0" w:lastRow="0" w:firstColumn="1" w:lastColumn="0" w:oddVBand="0" w:evenVBand="0" w:oddHBand="0" w:evenHBand="0" w:firstRowFirstColumn="0" w:firstRowLastColumn="0" w:lastRowFirstColumn="0" w:lastRowLastColumn="0"/>
            <w:tcW w:w="3119" w:type="dxa"/>
          </w:tcPr>
          <w:p w14:paraId="21740745" w14:textId="5B29BE5D" w:rsidR="000A447D" w:rsidRDefault="000A447D" w:rsidP="000A447D">
            <w:pPr>
              <w:pStyle w:val="SABodytext"/>
            </w:pPr>
            <w:r w:rsidRPr="00B17222">
              <w:t>Sustainable procuremen</w:t>
            </w:r>
            <w:r>
              <w:t>t</w:t>
            </w:r>
            <w:r w:rsidRPr="00B17222">
              <w:t xml:space="preserve"> </w:t>
            </w:r>
          </w:p>
        </w:tc>
        <w:tc>
          <w:tcPr>
            <w:tcW w:w="6859" w:type="dxa"/>
          </w:tcPr>
          <w:p w14:paraId="7B4799CF" w14:textId="07138AAC" w:rsidR="000A447D" w:rsidRDefault="000A447D" w:rsidP="000A447D">
            <w:pPr>
              <w:pStyle w:val="SABodytext"/>
              <w:cnfStyle w:val="000000000000" w:firstRow="0" w:lastRow="0" w:firstColumn="0" w:lastColumn="0" w:oddVBand="0" w:evenVBand="0" w:oddHBand="0" w:evenHBand="0" w:firstRowFirstColumn="0" w:firstRowLastColumn="0" w:lastRowFirstColumn="0" w:lastRowLastColumn="0"/>
            </w:pPr>
            <w:r>
              <w:t>S</w:t>
            </w:r>
            <w:r w:rsidRPr="00122DFE">
              <w:t xml:space="preserve">upport the </w:t>
            </w:r>
            <w:r>
              <w:t>s</w:t>
            </w:r>
            <w:r w:rsidRPr="00122DFE">
              <w:t xml:space="preserve">ustainable </w:t>
            </w:r>
            <w:r>
              <w:t>p</w:t>
            </w:r>
            <w:r w:rsidRPr="00122DFE">
              <w:t xml:space="preserve">rocurement </w:t>
            </w:r>
            <w:r>
              <w:t>p</w:t>
            </w:r>
            <w:r w:rsidRPr="00122DFE">
              <w:t>olicy.</w:t>
            </w:r>
          </w:p>
        </w:tc>
      </w:tr>
    </w:tbl>
    <w:p w14:paraId="1491836D" w14:textId="48F8E6B7" w:rsidR="00E0689D" w:rsidRDefault="00E0689D" w:rsidP="005567E1">
      <w:pPr>
        <w:pStyle w:val="SAHeadinglevel3"/>
      </w:pPr>
      <w:bookmarkStart w:id="16" w:name="_Toc218750543"/>
      <w:bookmarkStart w:id="17" w:name="_Toc147758807"/>
      <w:r>
        <w:t>Summary of progress</w:t>
      </w:r>
      <w:bookmarkEnd w:id="16"/>
    </w:p>
    <w:p w14:paraId="4DF7E5E7" w14:textId="1CBB50D6" w:rsidR="00E0689D" w:rsidRDefault="003A7E54" w:rsidP="000A447D">
      <w:pPr>
        <w:pStyle w:val="BodyText"/>
      </w:pPr>
      <w:r>
        <w:t>Figure 6</w:t>
      </w:r>
      <w:r w:rsidR="00E0689D">
        <w:t xml:space="preserve"> is a high-level overview of progress against the actions outlined in this </w:t>
      </w:r>
      <w:r>
        <w:t>p</w:t>
      </w:r>
      <w:r w:rsidR="00E0689D">
        <w:t>lan.</w:t>
      </w:r>
    </w:p>
    <w:tbl>
      <w:tblPr>
        <w:tblStyle w:val="ServicesAustralia"/>
        <w:tblW w:w="0" w:type="auto"/>
        <w:tblLook w:val="04A0" w:firstRow="1" w:lastRow="0" w:firstColumn="1" w:lastColumn="0" w:noHBand="0" w:noVBand="1"/>
      </w:tblPr>
      <w:tblGrid>
        <w:gridCol w:w="3119"/>
        <w:gridCol w:w="6859"/>
      </w:tblGrid>
      <w:tr w:rsidR="003A7E54" w14:paraId="51FB7F70" w14:textId="77777777" w:rsidTr="00556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2BA446A6" w14:textId="37B78CFF" w:rsidR="003A7E54" w:rsidRDefault="003A7E54" w:rsidP="00E0689D">
            <w:pPr>
              <w:pStyle w:val="SABodytext"/>
            </w:pPr>
            <w:r>
              <w:t>Action</w:t>
            </w:r>
          </w:p>
        </w:tc>
        <w:tc>
          <w:tcPr>
            <w:tcW w:w="6859" w:type="dxa"/>
          </w:tcPr>
          <w:p w14:paraId="5837065A" w14:textId="106A4025" w:rsidR="003A7E54" w:rsidRDefault="003A7E54" w:rsidP="00E0689D">
            <w:pPr>
              <w:pStyle w:val="SABodytext"/>
              <w:cnfStyle w:val="100000000000" w:firstRow="1" w:lastRow="0" w:firstColumn="0" w:lastColumn="0" w:oddVBand="0" w:evenVBand="0" w:oddHBand="0" w:evenHBand="0" w:firstRowFirstColumn="0" w:firstRowLastColumn="0" w:lastRowFirstColumn="0" w:lastRowLastColumn="0"/>
            </w:pPr>
            <w:r>
              <w:t>Progress</w:t>
            </w:r>
          </w:p>
        </w:tc>
      </w:tr>
      <w:tr w:rsidR="003A7E54" w14:paraId="38478C7D" w14:textId="77777777" w:rsidTr="005567E1">
        <w:tc>
          <w:tcPr>
            <w:cnfStyle w:val="001000000000" w:firstRow="0" w:lastRow="0" w:firstColumn="1" w:lastColumn="0" w:oddVBand="0" w:evenVBand="0" w:oddHBand="0" w:evenHBand="0" w:firstRowFirstColumn="0" w:firstRowLastColumn="0" w:lastRowFirstColumn="0" w:lastRowLastColumn="0"/>
            <w:tcW w:w="3119" w:type="dxa"/>
          </w:tcPr>
          <w:p w14:paraId="3854D63C" w14:textId="56F2C2F1" w:rsidR="003A7E54" w:rsidRDefault="003A7E54" w:rsidP="00E0689D">
            <w:pPr>
              <w:pStyle w:val="SABodytext"/>
            </w:pPr>
            <w:r>
              <w:t>Emissions reporting</w:t>
            </w:r>
          </w:p>
        </w:tc>
        <w:tc>
          <w:tcPr>
            <w:tcW w:w="6859" w:type="dxa"/>
          </w:tcPr>
          <w:p w14:paraId="34A5EA6C" w14:textId="5918E135" w:rsidR="002F55F2" w:rsidRPr="002F55F2" w:rsidRDefault="008957C2" w:rsidP="000A447D">
            <w:pPr>
              <w:pStyle w:val="SABodytext"/>
              <w:cnfStyle w:val="000000000000" w:firstRow="0" w:lastRow="0" w:firstColumn="0" w:lastColumn="0" w:oddVBand="0" w:evenVBand="0" w:oddHBand="0" w:evenHBand="0" w:firstRowFirstColumn="0" w:firstRowLastColumn="0" w:lastRowFirstColumn="0" w:lastRowLastColumn="0"/>
            </w:pPr>
            <w:r>
              <w:t>We’ve</w:t>
            </w:r>
            <w:r w:rsidR="003A7E54" w:rsidRPr="002F55F2">
              <w:t xml:space="preserve"> completed emissions reporting for the third year.</w:t>
            </w:r>
          </w:p>
          <w:p w14:paraId="29ABA0E0" w14:textId="46A7F66F" w:rsidR="003A7E54" w:rsidRDefault="002F55F2" w:rsidP="000A447D">
            <w:pPr>
              <w:pStyle w:val="SABodytext"/>
              <w:cnfStyle w:val="000000000000" w:firstRow="0" w:lastRow="0" w:firstColumn="0" w:lastColumn="0" w:oddVBand="0" w:evenVBand="0" w:oddHBand="0" w:evenHBand="0" w:firstRowFirstColumn="0" w:firstRowLastColumn="0" w:lastRowFirstColumn="0" w:lastRowLastColumn="0"/>
            </w:pPr>
            <w:r w:rsidRPr="002F55F2">
              <w:t>In</w:t>
            </w:r>
            <w:r w:rsidR="003A7E54" w:rsidRPr="002F55F2">
              <w:t xml:space="preserve"> 2025</w:t>
            </w:r>
            <w:r w:rsidRPr="002F55F2">
              <w:t>, we</w:t>
            </w:r>
            <w:r w:rsidR="003A7E54" w:rsidRPr="002F55F2">
              <w:t xml:space="preserve"> expanded emission sources to include renewable energy, solid waste, accommodation</w:t>
            </w:r>
            <w:r w:rsidRPr="002F55F2">
              <w:t xml:space="preserve"> </w:t>
            </w:r>
            <w:r w:rsidR="003A7E54" w:rsidRPr="002F55F2">
              <w:t>and hire cars</w:t>
            </w:r>
            <w:r w:rsidRPr="002F55F2">
              <w:t>.</w:t>
            </w:r>
          </w:p>
        </w:tc>
      </w:tr>
      <w:tr w:rsidR="003A7E54" w14:paraId="5EBC3F1F" w14:textId="77777777" w:rsidTr="005567E1">
        <w:tc>
          <w:tcPr>
            <w:cnfStyle w:val="001000000000" w:firstRow="0" w:lastRow="0" w:firstColumn="1" w:lastColumn="0" w:oddVBand="0" w:evenVBand="0" w:oddHBand="0" w:evenHBand="0" w:firstRowFirstColumn="0" w:firstRowLastColumn="0" w:lastRowFirstColumn="0" w:lastRowLastColumn="0"/>
            <w:tcW w:w="3119" w:type="dxa"/>
          </w:tcPr>
          <w:p w14:paraId="2BE56C75" w14:textId="37F23438" w:rsidR="003A7E54" w:rsidRDefault="002F55F2" w:rsidP="00E0689D">
            <w:pPr>
              <w:pStyle w:val="SABodytext"/>
            </w:pPr>
            <w:r>
              <w:t>Improving building standards</w:t>
            </w:r>
          </w:p>
        </w:tc>
        <w:tc>
          <w:tcPr>
            <w:tcW w:w="6859" w:type="dxa"/>
          </w:tcPr>
          <w:p w14:paraId="30A7E0D0" w14:textId="77777777" w:rsidR="003A7E54" w:rsidRDefault="002F55F2" w:rsidP="000A447D">
            <w:pPr>
              <w:pStyle w:val="SABodytext"/>
              <w:cnfStyle w:val="000000000000" w:firstRow="0" w:lastRow="0" w:firstColumn="0" w:lastColumn="0" w:oddVBand="0" w:evenVBand="0" w:oddHBand="0" w:evenHBand="0" w:firstRowFirstColumn="0" w:firstRowLastColumn="0" w:lastRowFirstColumn="0" w:lastRowLastColumn="0"/>
            </w:pPr>
            <w:r>
              <w:t>Net zero inclusions were added to:</w:t>
            </w:r>
          </w:p>
          <w:p w14:paraId="09B5AFC6" w14:textId="77777777" w:rsidR="002F55F2" w:rsidRDefault="002F55F2" w:rsidP="002F55F2">
            <w:pPr>
              <w:pStyle w:val="SABulletslevel"/>
              <w:cnfStyle w:val="000000000000" w:firstRow="0" w:lastRow="0" w:firstColumn="0" w:lastColumn="0" w:oddVBand="0" w:evenVBand="0" w:oddHBand="0" w:evenHBand="0" w:firstRowFirstColumn="0" w:firstRowLastColumn="0" w:lastRowFirstColumn="0" w:lastRowLastColumn="0"/>
            </w:pPr>
            <w:r>
              <w:t>Base building and face to face performance specifications</w:t>
            </w:r>
          </w:p>
          <w:p w14:paraId="1B7E7E34" w14:textId="0A9BD5CE" w:rsidR="002F55F2" w:rsidRDefault="002F55F2" w:rsidP="005567E1">
            <w:pPr>
              <w:pStyle w:val="SABulletslevel"/>
              <w:cnfStyle w:val="000000000000" w:firstRow="0" w:lastRow="0" w:firstColumn="0" w:lastColumn="0" w:oddVBand="0" w:evenVBand="0" w:oddHBand="0" w:evenHBand="0" w:firstRowFirstColumn="0" w:firstRowLastColumn="0" w:lastRowFirstColumn="0" w:lastRowLastColumn="0"/>
            </w:pPr>
            <w:r>
              <w:t>Heads of agreement documents.</w:t>
            </w:r>
          </w:p>
        </w:tc>
      </w:tr>
      <w:tr w:rsidR="003A7E54" w14:paraId="1FE01352" w14:textId="77777777" w:rsidTr="005567E1">
        <w:tc>
          <w:tcPr>
            <w:cnfStyle w:val="001000000000" w:firstRow="0" w:lastRow="0" w:firstColumn="1" w:lastColumn="0" w:oddVBand="0" w:evenVBand="0" w:oddHBand="0" w:evenHBand="0" w:firstRowFirstColumn="0" w:firstRowLastColumn="0" w:lastRowFirstColumn="0" w:lastRowLastColumn="0"/>
            <w:tcW w:w="3119" w:type="dxa"/>
          </w:tcPr>
          <w:p w14:paraId="76CE64DF" w14:textId="098D7E69" w:rsidR="003A7E54" w:rsidRDefault="002F55F2" w:rsidP="00E0689D">
            <w:pPr>
              <w:pStyle w:val="SABodytext"/>
            </w:pPr>
            <w:r w:rsidRPr="004A2848">
              <w:t xml:space="preserve">Transition of petrol fleet to </w:t>
            </w:r>
            <w:r w:rsidR="00793DEF">
              <w:t>LEVs</w:t>
            </w:r>
            <w:r w:rsidRPr="004A2848">
              <w:t xml:space="preserve"> and installation of EV charger infrastructure</w:t>
            </w:r>
          </w:p>
        </w:tc>
        <w:tc>
          <w:tcPr>
            <w:tcW w:w="6859" w:type="dxa"/>
          </w:tcPr>
          <w:p w14:paraId="52D076BF" w14:textId="4D79B5E5" w:rsidR="00793DEF" w:rsidRPr="002B1893" w:rsidRDefault="00793DEF" w:rsidP="005567E1">
            <w:pPr>
              <w:pStyle w:val="SABulletslevel"/>
              <w:cnfStyle w:val="000000000000" w:firstRow="0" w:lastRow="0" w:firstColumn="0" w:lastColumn="0" w:oddVBand="0" w:evenVBand="0" w:oddHBand="0" w:evenHBand="0" w:firstRowFirstColumn="0" w:firstRowLastColumn="0" w:lastRowFirstColumn="0" w:lastRowLastColumn="0"/>
            </w:pPr>
            <w:r w:rsidRPr="002B1893">
              <w:t xml:space="preserve">156 </w:t>
            </w:r>
            <w:r>
              <w:t>LEVs</w:t>
            </w:r>
            <w:r w:rsidRPr="002B1893">
              <w:t xml:space="preserve"> delivered across agency sites</w:t>
            </w:r>
          </w:p>
          <w:p w14:paraId="22685ECC" w14:textId="2255D3B5" w:rsidR="00793DEF" w:rsidRPr="002B1893" w:rsidRDefault="00793DEF" w:rsidP="005567E1">
            <w:pPr>
              <w:pStyle w:val="SABulletslevel"/>
              <w:cnfStyle w:val="000000000000" w:firstRow="0" w:lastRow="0" w:firstColumn="0" w:lastColumn="0" w:oddVBand="0" w:evenVBand="0" w:oddHBand="0" w:evenHBand="0" w:firstRowFirstColumn="0" w:firstRowLastColumn="0" w:lastRowFirstColumn="0" w:lastRowLastColumn="0"/>
            </w:pPr>
            <w:r w:rsidRPr="002B1893">
              <w:t xml:space="preserve">26 </w:t>
            </w:r>
            <w:r>
              <w:t>s</w:t>
            </w:r>
            <w:r w:rsidRPr="002B1893">
              <w:t xml:space="preserve">ites fully operational with EV charges </w:t>
            </w:r>
          </w:p>
          <w:p w14:paraId="190970AF" w14:textId="686BC002" w:rsidR="00793DEF" w:rsidRPr="002B1893" w:rsidRDefault="00793DEF" w:rsidP="005567E1">
            <w:pPr>
              <w:pStyle w:val="SABulletslevel"/>
              <w:cnfStyle w:val="000000000000" w:firstRow="0" w:lastRow="0" w:firstColumn="0" w:lastColumn="0" w:oddVBand="0" w:evenVBand="0" w:oddHBand="0" w:evenHBand="0" w:firstRowFirstColumn="0" w:firstRowLastColumn="0" w:lastRowFirstColumn="0" w:lastRowLastColumn="0"/>
            </w:pPr>
            <w:r w:rsidRPr="002B1893">
              <w:t xml:space="preserve">13 </w:t>
            </w:r>
            <w:r>
              <w:t>s</w:t>
            </w:r>
            <w:r w:rsidRPr="002B1893">
              <w:t>ites currently installing EV chargers</w:t>
            </w:r>
          </w:p>
          <w:p w14:paraId="6700AC54" w14:textId="45198198" w:rsidR="003A7E54" w:rsidRPr="00793DEF" w:rsidRDefault="00793DEF" w:rsidP="005567E1">
            <w:pPr>
              <w:pStyle w:val="SABulletslevel"/>
              <w:cnfStyle w:val="000000000000" w:firstRow="0" w:lastRow="0" w:firstColumn="0" w:lastColumn="0" w:oddVBand="0" w:evenVBand="0" w:oddHBand="0" w:evenHBand="0" w:firstRowFirstColumn="0" w:firstRowLastColumn="0" w:lastRowFirstColumn="0" w:lastRowLastColumn="0"/>
            </w:pPr>
            <w:r w:rsidRPr="002B1893">
              <w:t xml:space="preserve">72 </w:t>
            </w:r>
            <w:r>
              <w:t>s</w:t>
            </w:r>
            <w:r w:rsidRPr="002B1893">
              <w:t>ites under negotiation to install EV charges</w:t>
            </w:r>
            <w:r>
              <w:t>.</w:t>
            </w:r>
          </w:p>
        </w:tc>
      </w:tr>
      <w:tr w:rsidR="00793DEF" w14:paraId="5A48BA4E" w14:textId="77777777" w:rsidTr="005567E1">
        <w:tc>
          <w:tcPr>
            <w:cnfStyle w:val="001000000000" w:firstRow="0" w:lastRow="0" w:firstColumn="1" w:lastColumn="0" w:oddVBand="0" w:evenVBand="0" w:oddHBand="0" w:evenHBand="0" w:firstRowFirstColumn="0" w:firstRowLastColumn="0" w:lastRowFirstColumn="0" w:lastRowLastColumn="0"/>
            <w:tcW w:w="3119" w:type="dxa"/>
          </w:tcPr>
          <w:p w14:paraId="77E7DC87" w14:textId="043D19F8" w:rsidR="00793DEF" w:rsidRPr="005567E1" w:rsidRDefault="00793DEF" w:rsidP="00793DEF">
            <w:pPr>
              <w:pStyle w:val="SABodytext"/>
              <w:rPr>
                <w:b w:val="0"/>
                <w:bCs w:val="0"/>
              </w:rPr>
            </w:pPr>
            <w:r w:rsidRPr="004A2848">
              <w:t>LED lighting and solar photovoltaic (PV) upgrades</w:t>
            </w:r>
          </w:p>
        </w:tc>
        <w:tc>
          <w:tcPr>
            <w:tcW w:w="6859" w:type="dxa"/>
          </w:tcPr>
          <w:p w14:paraId="15041FE8" w14:textId="4697C579" w:rsidR="00793DEF" w:rsidRPr="002B1893" w:rsidRDefault="00793DEF" w:rsidP="000A447D">
            <w:pPr>
              <w:pStyle w:val="SABodytext"/>
              <w:cnfStyle w:val="000000000000" w:firstRow="0" w:lastRow="0" w:firstColumn="0" w:lastColumn="0" w:oddVBand="0" w:evenVBand="0" w:oddHBand="0" w:evenHBand="0" w:firstRowFirstColumn="0" w:firstRowLastColumn="0" w:lastRowFirstColumn="0" w:lastRowLastColumn="0"/>
            </w:pPr>
            <w:r w:rsidRPr="002B1893">
              <w:t xml:space="preserve">LED lighting and solar PV requirements are included in </w:t>
            </w:r>
            <w:r>
              <w:t xml:space="preserve">all </w:t>
            </w:r>
            <w:r w:rsidRPr="002B1893">
              <w:t>lease negotiations and written into leases where landlords have agreed.</w:t>
            </w:r>
          </w:p>
        </w:tc>
      </w:tr>
      <w:tr w:rsidR="00233D7B" w14:paraId="6E1EEF71" w14:textId="77777777" w:rsidTr="00793DEF">
        <w:tc>
          <w:tcPr>
            <w:cnfStyle w:val="001000000000" w:firstRow="0" w:lastRow="0" w:firstColumn="1" w:lastColumn="0" w:oddVBand="0" w:evenVBand="0" w:oddHBand="0" w:evenHBand="0" w:firstRowFirstColumn="0" w:firstRowLastColumn="0" w:lastRowFirstColumn="0" w:lastRowLastColumn="0"/>
            <w:tcW w:w="3119" w:type="dxa"/>
          </w:tcPr>
          <w:p w14:paraId="1C21E349" w14:textId="560FCBBF" w:rsidR="00233D7B" w:rsidRPr="004A2848" w:rsidRDefault="00233D7B" w:rsidP="00233D7B">
            <w:pPr>
              <w:pStyle w:val="SABodytext"/>
            </w:pPr>
            <w:r>
              <w:t>Sustainable procurement</w:t>
            </w:r>
          </w:p>
        </w:tc>
        <w:tc>
          <w:tcPr>
            <w:tcW w:w="6859" w:type="dxa"/>
          </w:tcPr>
          <w:p w14:paraId="5B19214A" w14:textId="67174622" w:rsidR="00233D7B" w:rsidRPr="005567E1" w:rsidRDefault="003325F8" w:rsidP="000A447D">
            <w:pPr>
              <w:pStyle w:val="SABodytext"/>
              <w:cnfStyle w:val="000000000000" w:firstRow="0" w:lastRow="0" w:firstColumn="0" w:lastColumn="0" w:oddVBand="0" w:evenVBand="0" w:oddHBand="0" w:evenHBand="0" w:firstRowFirstColumn="0" w:firstRowLastColumn="0" w:lastRowFirstColumn="0" w:lastRowLastColumn="0"/>
            </w:pPr>
            <w:r>
              <w:t>We</w:t>
            </w:r>
            <w:r w:rsidR="00233D7B" w:rsidRPr="00FF1883">
              <w:t xml:space="preserve"> worked closely with DCCEEW on the development of the </w:t>
            </w:r>
            <w:r w:rsidR="0031296A">
              <w:t>ESPP</w:t>
            </w:r>
            <w:r w:rsidR="00233D7B">
              <w:t>.</w:t>
            </w:r>
          </w:p>
        </w:tc>
      </w:tr>
      <w:tr w:rsidR="00233D7B" w14:paraId="2C7BC51F" w14:textId="77777777" w:rsidTr="00793DEF">
        <w:tc>
          <w:tcPr>
            <w:cnfStyle w:val="001000000000" w:firstRow="0" w:lastRow="0" w:firstColumn="1" w:lastColumn="0" w:oddVBand="0" w:evenVBand="0" w:oddHBand="0" w:evenHBand="0" w:firstRowFirstColumn="0" w:firstRowLastColumn="0" w:lastRowFirstColumn="0" w:lastRowLastColumn="0"/>
            <w:tcW w:w="3119" w:type="dxa"/>
          </w:tcPr>
          <w:p w14:paraId="2EACE51F" w14:textId="08BA89C8" w:rsidR="00233D7B" w:rsidRDefault="00233D7B" w:rsidP="00233D7B">
            <w:pPr>
              <w:pStyle w:val="SABodytext"/>
            </w:pPr>
            <w:r>
              <w:t>Communication plan</w:t>
            </w:r>
          </w:p>
        </w:tc>
        <w:tc>
          <w:tcPr>
            <w:tcW w:w="6859" w:type="dxa"/>
          </w:tcPr>
          <w:p w14:paraId="4C86FE28" w14:textId="79E84AE0" w:rsidR="00233D7B" w:rsidRPr="002B1893" w:rsidRDefault="003325F8" w:rsidP="005567E1">
            <w:pPr>
              <w:pStyle w:val="SABulletslevel"/>
              <w:cnfStyle w:val="000000000000" w:firstRow="0" w:lastRow="0" w:firstColumn="0" w:lastColumn="0" w:oddVBand="0" w:evenVBand="0" w:oddHBand="0" w:evenHBand="0" w:firstRowFirstColumn="0" w:firstRowLastColumn="0" w:lastRowFirstColumn="0" w:lastRowLastColumn="0"/>
            </w:pPr>
            <w:r>
              <w:t>Our</w:t>
            </w:r>
            <w:r w:rsidR="00233D7B" w:rsidRPr="00FF1883">
              <w:t xml:space="preserve"> </w:t>
            </w:r>
            <w:r w:rsidR="00233D7B">
              <w:t>n</w:t>
            </w:r>
            <w:r w:rsidR="00233D7B" w:rsidRPr="00FF1883">
              <w:t xml:space="preserve">et </w:t>
            </w:r>
            <w:r w:rsidR="00233D7B">
              <w:t>z</w:t>
            </w:r>
            <w:r w:rsidR="00233D7B" w:rsidRPr="00FF1883">
              <w:t xml:space="preserve">ero </w:t>
            </w:r>
            <w:r w:rsidR="00233D7B">
              <w:t>a</w:t>
            </w:r>
            <w:r w:rsidR="00233D7B" w:rsidRPr="00FF1883">
              <w:t xml:space="preserve">ction </w:t>
            </w:r>
            <w:r w:rsidR="00233D7B">
              <w:t>p</w:t>
            </w:r>
            <w:r w:rsidR="00233D7B" w:rsidRPr="00FF1883">
              <w:t xml:space="preserve">lan was published on the intranet for all staff in November 2024. </w:t>
            </w:r>
          </w:p>
          <w:p w14:paraId="05FEEED1" w14:textId="77777777" w:rsidR="00233D7B" w:rsidRDefault="00233D7B" w:rsidP="00233D7B">
            <w:pPr>
              <w:pStyle w:val="SABulletslevel"/>
              <w:cnfStyle w:val="000000000000" w:firstRow="0" w:lastRow="0" w:firstColumn="0" w:lastColumn="0" w:oddVBand="0" w:evenVBand="0" w:oddHBand="0" w:evenHBand="0" w:firstRowFirstColumn="0" w:firstRowLastColumn="0" w:lastRowFirstColumn="0" w:lastRowLastColumn="0"/>
            </w:pPr>
            <w:r w:rsidRPr="002B1893">
              <w:t>In 2024</w:t>
            </w:r>
            <w:r>
              <w:t>–</w:t>
            </w:r>
            <w:r w:rsidRPr="002B1893">
              <w:t>25</w:t>
            </w:r>
            <w:r>
              <w:t>,</w:t>
            </w:r>
            <w:r w:rsidRPr="002B1893">
              <w:t xml:space="preserve"> articles promoting sustainable activities and initiatives were posted to News Hub, Viva </w:t>
            </w:r>
            <w:r>
              <w:t>E</w:t>
            </w:r>
            <w:r w:rsidRPr="002B1893">
              <w:t>ngage</w:t>
            </w:r>
            <w:r>
              <w:t xml:space="preserve"> and the</w:t>
            </w:r>
            <w:r w:rsidRPr="002B1893">
              <w:t xml:space="preserve"> Huddle</w:t>
            </w:r>
            <w:r>
              <w:t>.</w:t>
            </w:r>
          </w:p>
          <w:p w14:paraId="39DE9EB8" w14:textId="109C6379" w:rsidR="00233D7B" w:rsidRPr="00FF1883" w:rsidRDefault="00233D7B" w:rsidP="00233D7B">
            <w:pPr>
              <w:pStyle w:val="SABulletslevel"/>
              <w:cnfStyle w:val="000000000000" w:firstRow="0" w:lastRow="0" w:firstColumn="0" w:lastColumn="0" w:oddVBand="0" w:evenVBand="0" w:oddHBand="0" w:evenHBand="0" w:firstRowFirstColumn="0" w:firstRowLastColumn="0" w:lastRowFirstColumn="0" w:lastRowLastColumn="0"/>
            </w:pPr>
            <w:r>
              <w:t>The action plan will be updated annually.</w:t>
            </w:r>
          </w:p>
        </w:tc>
      </w:tr>
      <w:tr w:rsidR="00233D7B" w14:paraId="3CF66125" w14:textId="77777777" w:rsidTr="00793DEF">
        <w:tc>
          <w:tcPr>
            <w:cnfStyle w:val="001000000000" w:firstRow="0" w:lastRow="0" w:firstColumn="1" w:lastColumn="0" w:oddVBand="0" w:evenVBand="0" w:oddHBand="0" w:evenHBand="0" w:firstRowFirstColumn="0" w:firstRowLastColumn="0" w:lastRowFirstColumn="0" w:lastRowLastColumn="0"/>
            <w:tcW w:w="3119" w:type="dxa"/>
          </w:tcPr>
          <w:p w14:paraId="6B84E44E" w14:textId="495EC134" w:rsidR="00233D7B" w:rsidRDefault="00233D7B" w:rsidP="00233D7B">
            <w:pPr>
              <w:pStyle w:val="SABodytext"/>
            </w:pPr>
            <w:r>
              <w:t>Waste management</w:t>
            </w:r>
          </w:p>
        </w:tc>
        <w:tc>
          <w:tcPr>
            <w:tcW w:w="6859" w:type="dxa"/>
          </w:tcPr>
          <w:p w14:paraId="60D1E928" w14:textId="108A3499" w:rsidR="00233D7B" w:rsidRDefault="004037DA" w:rsidP="005567E1">
            <w:pPr>
              <w:pStyle w:val="SABulletslevel"/>
              <w:cnfStyle w:val="000000000000" w:firstRow="0" w:lastRow="0" w:firstColumn="0" w:lastColumn="0" w:oddVBand="0" w:evenVBand="0" w:oddHBand="0" w:evenHBand="0" w:firstRowFirstColumn="0" w:firstRowLastColumn="0" w:lastRowFirstColumn="0" w:lastRowLastColumn="0"/>
            </w:pPr>
            <w:r>
              <w:t>Our</w:t>
            </w:r>
            <w:r w:rsidR="00233D7B" w:rsidRPr="00702FC8">
              <w:t xml:space="preserve"> Waste Management Plan </w:t>
            </w:r>
            <w:r w:rsidR="00233D7B">
              <w:t>was updated in April 2025 and made available on the intranet for all staff.</w:t>
            </w:r>
          </w:p>
          <w:p w14:paraId="157BCD49" w14:textId="5A111FE9" w:rsidR="00233D7B" w:rsidRPr="00233D7B" w:rsidRDefault="00233D7B" w:rsidP="005567E1">
            <w:pPr>
              <w:pStyle w:val="SABulletslevel"/>
              <w:cnfStyle w:val="000000000000" w:firstRow="0" w:lastRow="0" w:firstColumn="0" w:lastColumn="0" w:oddVBand="0" w:evenVBand="0" w:oddHBand="0" w:evenHBand="0" w:firstRowFirstColumn="0" w:firstRowLastColumn="0" w:lastRowFirstColumn="0" w:lastRowLastColumn="0"/>
            </w:pPr>
            <w:r>
              <w:t xml:space="preserve">Agency waste services have been realigned to be fit for purpose and meet business requirements, reducing </w:t>
            </w:r>
            <w:proofErr w:type="gramStart"/>
            <w:r>
              <w:t>landfill</w:t>
            </w:r>
            <w:proofErr w:type="gramEnd"/>
            <w:r>
              <w:t xml:space="preserve"> and increasing recycling.</w:t>
            </w:r>
          </w:p>
          <w:p w14:paraId="497F2430" w14:textId="7130C782" w:rsidR="00233D7B" w:rsidRDefault="00233D7B" w:rsidP="005567E1">
            <w:pPr>
              <w:pStyle w:val="SABulletslevel"/>
              <w:cnfStyle w:val="000000000000" w:firstRow="0" w:lastRow="0" w:firstColumn="0" w:lastColumn="0" w:oddVBand="0" w:evenVBand="0" w:oddHBand="0" w:evenHBand="0" w:firstRowFirstColumn="0" w:firstRowLastColumn="0" w:lastRowFirstColumn="0" w:lastRowLastColumn="0"/>
            </w:pPr>
            <w:r>
              <w:t>In 2025, recycling was introduced to 76 additional sites.</w:t>
            </w:r>
          </w:p>
          <w:p w14:paraId="64376A50" w14:textId="546E7824" w:rsidR="00233D7B" w:rsidRPr="00233D7B" w:rsidRDefault="00233D7B" w:rsidP="00233D7B">
            <w:pPr>
              <w:pStyle w:val="SABulletslevel"/>
              <w:cnfStyle w:val="000000000000" w:firstRow="0" w:lastRow="0" w:firstColumn="0" w:lastColumn="0" w:oddVBand="0" w:evenVBand="0" w:oddHBand="0" w:evenHBand="0" w:firstRowFirstColumn="0" w:firstRowLastColumn="0" w:lastRowFirstColumn="0" w:lastRowLastColumn="0"/>
            </w:pPr>
            <w:r>
              <w:t>In January 2025, under</w:t>
            </w:r>
            <w:r w:rsidR="00C71F48">
              <w:t>-</w:t>
            </w:r>
            <w:r>
              <w:t xml:space="preserve">desk bins </w:t>
            </w:r>
            <w:r w:rsidR="00C71F48">
              <w:t>were removed.</w:t>
            </w:r>
          </w:p>
        </w:tc>
      </w:tr>
      <w:tr w:rsidR="00C71F48" w14:paraId="045329E5" w14:textId="77777777" w:rsidTr="00793DEF">
        <w:tc>
          <w:tcPr>
            <w:cnfStyle w:val="001000000000" w:firstRow="0" w:lastRow="0" w:firstColumn="1" w:lastColumn="0" w:oddVBand="0" w:evenVBand="0" w:oddHBand="0" w:evenHBand="0" w:firstRowFirstColumn="0" w:firstRowLastColumn="0" w:lastRowFirstColumn="0" w:lastRowLastColumn="0"/>
            <w:tcW w:w="3119" w:type="dxa"/>
          </w:tcPr>
          <w:p w14:paraId="1D54E58B" w14:textId="4FE63976" w:rsidR="00C71F48" w:rsidRDefault="00C71F48" w:rsidP="00233D7B">
            <w:pPr>
              <w:pStyle w:val="SABodytext"/>
            </w:pPr>
            <w:r>
              <w:t>Environmental Sustainability Policy</w:t>
            </w:r>
          </w:p>
        </w:tc>
        <w:tc>
          <w:tcPr>
            <w:tcW w:w="6859" w:type="dxa"/>
          </w:tcPr>
          <w:p w14:paraId="719632B4" w14:textId="46E84DAB" w:rsidR="00B35D53" w:rsidRDefault="004037DA" w:rsidP="00C71F48">
            <w:pPr>
              <w:pStyle w:val="SABulletslevel"/>
              <w:cnfStyle w:val="000000000000" w:firstRow="0" w:lastRow="0" w:firstColumn="0" w:lastColumn="0" w:oddVBand="0" w:evenVBand="0" w:oddHBand="0" w:evenHBand="0" w:firstRowFirstColumn="0" w:firstRowLastColumn="0" w:lastRowFirstColumn="0" w:lastRowLastColumn="0"/>
            </w:pPr>
            <w:r>
              <w:t>Our</w:t>
            </w:r>
            <w:r w:rsidR="00C71F48" w:rsidRPr="00702FC8">
              <w:t xml:space="preserve"> Environmental Sustainability Policy was updated to reflect the inclusion of the </w:t>
            </w:r>
            <w:r w:rsidR="00C71F48">
              <w:t>n</w:t>
            </w:r>
            <w:r w:rsidR="00C71F48" w:rsidRPr="00702FC8">
              <w:t xml:space="preserve">et </w:t>
            </w:r>
            <w:r w:rsidR="00C71F48">
              <w:t>z</w:t>
            </w:r>
            <w:r w:rsidR="00C71F48" w:rsidRPr="00702FC8">
              <w:t xml:space="preserve">ero </w:t>
            </w:r>
            <w:r w:rsidR="00C71F48">
              <w:t>a</w:t>
            </w:r>
            <w:r w:rsidR="00C71F48" w:rsidRPr="00702FC8">
              <w:t xml:space="preserve">ction </w:t>
            </w:r>
            <w:r w:rsidR="00C71F48">
              <w:t>p</w:t>
            </w:r>
            <w:r w:rsidR="00C71F48" w:rsidRPr="00702FC8">
              <w:t>lan and targets</w:t>
            </w:r>
            <w:r w:rsidR="00B35D53">
              <w:t>.</w:t>
            </w:r>
          </w:p>
          <w:p w14:paraId="6A54C903" w14:textId="33BB8EB8" w:rsidR="00B35D53" w:rsidRDefault="00C71F48" w:rsidP="00C71F48">
            <w:pPr>
              <w:pStyle w:val="SABulletslevel"/>
              <w:cnfStyle w:val="000000000000" w:firstRow="0" w:lastRow="0" w:firstColumn="0" w:lastColumn="0" w:oddVBand="0" w:evenVBand="0" w:oddHBand="0" w:evenHBand="0" w:firstRowFirstColumn="0" w:firstRowLastColumn="0" w:lastRowFirstColumn="0" w:lastRowLastColumn="0"/>
            </w:pPr>
            <w:r>
              <w:t xml:space="preserve">The policy is available for all staff on the </w:t>
            </w:r>
            <w:r w:rsidR="00B35D53">
              <w:t>i</w:t>
            </w:r>
            <w:r>
              <w:t xml:space="preserve">ntranet and will be promoted </w:t>
            </w:r>
            <w:r w:rsidR="00B35D53">
              <w:t>through News</w:t>
            </w:r>
            <w:r>
              <w:t xml:space="preserve"> </w:t>
            </w:r>
            <w:r w:rsidR="00B35D53">
              <w:t>H</w:t>
            </w:r>
            <w:r>
              <w:t xml:space="preserve">ub articles. </w:t>
            </w:r>
          </w:p>
          <w:p w14:paraId="5CF6D4EB" w14:textId="632A56E7" w:rsidR="00C71F48" w:rsidRPr="00C71F48" w:rsidRDefault="00B35D53" w:rsidP="00C71F48">
            <w:pPr>
              <w:pStyle w:val="SABulletslevel"/>
              <w:cnfStyle w:val="000000000000" w:firstRow="0" w:lastRow="0" w:firstColumn="0" w:lastColumn="0" w:oddVBand="0" w:evenVBand="0" w:oddHBand="0" w:evenHBand="0" w:firstRowFirstColumn="0" w:firstRowLastColumn="0" w:lastRowFirstColumn="0" w:lastRowLastColumn="0"/>
            </w:pPr>
            <w:r>
              <w:t>The policy will be updated annually</w:t>
            </w:r>
            <w:r w:rsidRPr="00702FC8">
              <w:t>.</w:t>
            </w:r>
          </w:p>
        </w:tc>
      </w:tr>
    </w:tbl>
    <w:p w14:paraId="20D224C4" w14:textId="58F86A1E" w:rsidR="008B2F37" w:rsidRPr="008B2F37" w:rsidRDefault="008B2F37" w:rsidP="005567E1">
      <w:pPr>
        <w:pStyle w:val="Caption"/>
      </w:pPr>
      <w:r>
        <w:t>Figure 6: Progress against actions</w:t>
      </w:r>
    </w:p>
    <w:p w14:paraId="4779C998" w14:textId="706CB27A" w:rsidR="008059C4" w:rsidRPr="00AE3EA3" w:rsidRDefault="008059C4" w:rsidP="00796D8A">
      <w:pPr>
        <w:pStyle w:val="SAHeadinglevel3"/>
      </w:pPr>
      <w:bookmarkStart w:id="18" w:name="_Toc218750544"/>
      <w:bookmarkStart w:id="19" w:name="_Toc147758808"/>
      <w:bookmarkEnd w:id="17"/>
      <w:r w:rsidRPr="00AE3EA3">
        <w:t xml:space="preserve">Renewable </w:t>
      </w:r>
      <w:r w:rsidR="00796D8A">
        <w:t>e</w:t>
      </w:r>
      <w:r w:rsidR="00796D8A" w:rsidRPr="00AE3EA3">
        <w:t xml:space="preserve">nergy </w:t>
      </w:r>
      <w:r w:rsidR="00796D8A">
        <w:t>p</w:t>
      </w:r>
      <w:r w:rsidR="00796D8A" w:rsidRPr="00AE3EA3">
        <w:t>rocurement</w:t>
      </w:r>
      <w:bookmarkEnd w:id="18"/>
    </w:p>
    <w:p w14:paraId="57F0D8C7" w14:textId="1507DDFF" w:rsidR="00BE44D4" w:rsidRDefault="0052749B" w:rsidP="005567E1">
      <w:pPr>
        <w:pStyle w:val="Introductory"/>
      </w:pPr>
      <w:r w:rsidRPr="00C93C84">
        <w:t xml:space="preserve">Over </w:t>
      </w:r>
      <w:r w:rsidR="00547F1A" w:rsidRPr="00C93C84">
        <w:t>9</w:t>
      </w:r>
      <w:r w:rsidRPr="00C93C84">
        <w:t>0</w:t>
      </w:r>
      <w:r w:rsidR="00BE44D4" w:rsidRPr="00C93C84">
        <w:t>%</w:t>
      </w:r>
      <w:r w:rsidR="00BE44D4">
        <w:t xml:space="preserve"> of the </w:t>
      </w:r>
      <w:r w:rsidR="00796D8A">
        <w:t xml:space="preserve">agency’s </w:t>
      </w:r>
      <w:r w:rsidR="00BE44D4">
        <w:t>emissions are from purchased electricity.</w:t>
      </w:r>
    </w:p>
    <w:p w14:paraId="73165D4E" w14:textId="27233F3A" w:rsidR="008059C4" w:rsidRPr="00901B0B" w:rsidRDefault="008059C4" w:rsidP="000A447D">
      <w:pPr>
        <w:pStyle w:val="BodyText"/>
      </w:pPr>
      <w:r w:rsidRPr="00901B0B">
        <w:t xml:space="preserve">Within </w:t>
      </w:r>
      <w:r w:rsidRPr="0079100C">
        <w:rPr>
          <w:iCs/>
        </w:rPr>
        <w:t>Powering Australia</w:t>
      </w:r>
      <w:r w:rsidRPr="00901B0B">
        <w:t xml:space="preserve">, a key enabler for the APS to reach </w:t>
      </w:r>
      <w:r w:rsidR="004B0F8C">
        <w:t>n</w:t>
      </w:r>
      <w:r w:rsidR="004B0F8C" w:rsidRPr="00901B0B">
        <w:t xml:space="preserve">et </w:t>
      </w:r>
      <w:r w:rsidR="004B0F8C">
        <w:t>z</w:t>
      </w:r>
      <w:r w:rsidRPr="00901B0B">
        <w:t xml:space="preserve">ero greenhouse gas emissions by 2030 is described through procuring renewable energy, including with </w:t>
      </w:r>
      <w:r w:rsidR="004B0F8C">
        <w:t>p</w:t>
      </w:r>
      <w:r w:rsidR="004B0F8C" w:rsidRPr="00901B0B">
        <w:t xml:space="preserve">ower </w:t>
      </w:r>
      <w:r w:rsidR="004B0F8C">
        <w:t>p</w:t>
      </w:r>
      <w:r w:rsidR="004B0F8C" w:rsidRPr="00901B0B">
        <w:t xml:space="preserve">urchase </w:t>
      </w:r>
      <w:r w:rsidR="004B0F8C">
        <w:t>a</w:t>
      </w:r>
      <w:r w:rsidR="004B0F8C" w:rsidRPr="00901B0B">
        <w:t>greements</w:t>
      </w:r>
      <w:r w:rsidR="004B0F8C">
        <w:t xml:space="preserve"> (PPAs)</w:t>
      </w:r>
      <w:r w:rsidRPr="00901B0B">
        <w:t>.</w:t>
      </w:r>
      <w:r>
        <w:t xml:space="preserve"> As</w:t>
      </w:r>
      <w:r w:rsidR="00B77D04">
        <w:t xml:space="preserve"> over</w:t>
      </w:r>
      <w:r>
        <w:t xml:space="preserve"> </w:t>
      </w:r>
      <w:r w:rsidR="00B77D04" w:rsidRPr="00C93C84">
        <w:t>90</w:t>
      </w:r>
      <w:r w:rsidRPr="0052749B">
        <w:t>%</w:t>
      </w:r>
      <w:r>
        <w:t xml:space="preserve"> of </w:t>
      </w:r>
      <w:r w:rsidR="00647344">
        <w:t>our</w:t>
      </w:r>
      <w:r w:rsidR="004B0F8C">
        <w:t xml:space="preserve"> </w:t>
      </w:r>
      <w:r>
        <w:t xml:space="preserve">emissions are from purchased electricity, renewable energy is </w:t>
      </w:r>
      <w:r w:rsidR="00EA5EEB">
        <w:t xml:space="preserve">a </w:t>
      </w:r>
      <w:r>
        <w:t xml:space="preserve">key priority area for </w:t>
      </w:r>
      <w:r w:rsidR="00647344">
        <w:t>us</w:t>
      </w:r>
      <w:r w:rsidR="00EA5EEB">
        <w:t xml:space="preserve"> </w:t>
      </w:r>
      <w:r w:rsidR="00281C72">
        <w:t>to reduce emissions.</w:t>
      </w:r>
    </w:p>
    <w:p w14:paraId="3090E18F" w14:textId="4BDC42B7" w:rsidR="00E42128" w:rsidRDefault="008059C4" w:rsidP="000A447D">
      <w:pPr>
        <w:pStyle w:val="BodyText"/>
      </w:pPr>
      <w:r w:rsidRPr="00901B0B">
        <w:t xml:space="preserve">Through </w:t>
      </w:r>
      <w:r w:rsidR="00F24477">
        <w:t xml:space="preserve">the development of the </w:t>
      </w:r>
      <w:r w:rsidRPr="00901B0B">
        <w:t>NZGO</w:t>
      </w:r>
      <w:r w:rsidR="00F24477">
        <w:t xml:space="preserve"> strategy</w:t>
      </w:r>
      <w:r w:rsidRPr="00901B0B">
        <w:t xml:space="preserve">, Finance </w:t>
      </w:r>
      <w:r w:rsidR="00E42128">
        <w:t>has</w:t>
      </w:r>
      <w:r w:rsidRPr="00901B0B">
        <w:t xml:space="preserve"> assess</w:t>
      </w:r>
      <w:r w:rsidR="00E42128">
        <w:t>ed</w:t>
      </w:r>
      <w:r w:rsidRPr="00901B0B">
        <w:t xml:space="preserve"> options and form</w:t>
      </w:r>
      <w:r w:rsidR="00E42128">
        <w:t>ed</w:t>
      </w:r>
      <w:r w:rsidRPr="00901B0B">
        <w:t xml:space="preserve"> a strategic direction on the most efficient way to transition to renewable energy. This include</w:t>
      </w:r>
      <w:r w:rsidR="001352A2">
        <w:t>d</w:t>
      </w:r>
      <w:r w:rsidRPr="00901B0B">
        <w:t xml:space="preserve"> </w:t>
      </w:r>
      <w:r w:rsidR="00F24477">
        <w:t>implementing a mandatory</w:t>
      </w:r>
      <w:r w:rsidRPr="00901B0B">
        <w:t xml:space="preserve"> </w:t>
      </w:r>
      <w:proofErr w:type="gramStart"/>
      <w:r w:rsidR="00F24477" w:rsidRPr="00901B0B">
        <w:t>centrally</w:t>
      </w:r>
      <w:r w:rsidR="00F55170">
        <w:t>-</w:t>
      </w:r>
      <w:r w:rsidR="00F24477" w:rsidRPr="00901B0B">
        <w:t>managed</w:t>
      </w:r>
      <w:proofErr w:type="gramEnd"/>
      <w:r w:rsidRPr="00901B0B">
        <w:t xml:space="preserve"> </w:t>
      </w:r>
      <w:r w:rsidR="00F55170">
        <w:t>whole of government</w:t>
      </w:r>
      <w:r w:rsidRPr="00901B0B">
        <w:t xml:space="preserve"> approach to procuring renewable energy</w:t>
      </w:r>
      <w:r w:rsidR="00F24477">
        <w:t>. This</w:t>
      </w:r>
      <w:r w:rsidRPr="00901B0B">
        <w:t xml:space="preserve"> allow</w:t>
      </w:r>
      <w:r w:rsidR="001352A2">
        <w:t>s</w:t>
      </w:r>
      <w:r w:rsidRPr="00901B0B">
        <w:t xml:space="preserve"> a well</w:t>
      </w:r>
      <w:r w:rsidR="00F55170">
        <w:t>-</w:t>
      </w:r>
      <w:r w:rsidRPr="00901B0B">
        <w:t xml:space="preserve">informed and strategic approach to renewable energy transition across the APS. </w:t>
      </w:r>
    </w:p>
    <w:p w14:paraId="795D2044" w14:textId="0A9DDB51" w:rsidR="00E42128" w:rsidRDefault="00647344" w:rsidP="000A447D">
      <w:pPr>
        <w:pStyle w:val="BodyText"/>
      </w:pPr>
      <w:r>
        <w:t>Our c</w:t>
      </w:r>
      <w:r w:rsidR="00F84D34">
        <w:t xml:space="preserve">urrent </w:t>
      </w:r>
      <w:r w:rsidR="002C730F">
        <w:t>contracts</w:t>
      </w:r>
      <w:r w:rsidR="004052CA">
        <w:t xml:space="preserve"> </w:t>
      </w:r>
      <w:r w:rsidR="00F84D34">
        <w:t>will be transitioned</w:t>
      </w:r>
      <w:r w:rsidR="00174D2E">
        <w:t xml:space="preserve"> upon contract expiry</w:t>
      </w:r>
      <w:r w:rsidR="00101565">
        <w:t xml:space="preserve"> to </w:t>
      </w:r>
      <w:r w:rsidR="008B2F37">
        <w:t xml:space="preserve">whole of government </w:t>
      </w:r>
      <w:r w:rsidR="00101565">
        <w:t>renewable electricity contracts</w:t>
      </w:r>
      <w:r w:rsidR="00F84D34">
        <w:t xml:space="preserve"> as</w:t>
      </w:r>
      <w:r w:rsidR="008B2F37">
        <w:t xml:space="preserve"> outlined in Figure 7</w:t>
      </w:r>
      <w:r w:rsidR="007451A8">
        <w:t xml:space="preserve"> (excludes NT due to non-contestable electricity provision)</w:t>
      </w:r>
      <w:r w:rsidR="002964DF">
        <w:t>.</w:t>
      </w:r>
    </w:p>
    <w:tbl>
      <w:tblPr>
        <w:tblStyle w:val="ServicesAustralia"/>
        <w:tblW w:w="0" w:type="auto"/>
        <w:tblLook w:val="04A0" w:firstRow="1" w:lastRow="0" w:firstColumn="1" w:lastColumn="0" w:noHBand="0" w:noVBand="1"/>
      </w:tblPr>
      <w:tblGrid>
        <w:gridCol w:w="4989"/>
        <w:gridCol w:w="4989"/>
      </w:tblGrid>
      <w:tr w:rsidR="002964DF" w14:paraId="4794D7D8" w14:textId="77777777" w:rsidTr="002964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89" w:type="dxa"/>
          </w:tcPr>
          <w:p w14:paraId="45A10C13" w14:textId="36F6FE78" w:rsidR="002964DF" w:rsidRDefault="002964DF" w:rsidP="005567E1">
            <w:pPr>
              <w:pStyle w:val="SABodytext"/>
            </w:pPr>
            <w:r>
              <w:t>Contract type and supplier</w:t>
            </w:r>
          </w:p>
        </w:tc>
        <w:tc>
          <w:tcPr>
            <w:tcW w:w="4989" w:type="dxa"/>
          </w:tcPr>
          <w:p w14:paraId="4E590154" w14:textId="30EDEFEC" w:rsidR="002964DF" w:rsidRDefault="002964DF" w:rsidP="005567E1">
            <w:pPr>
              <w:pStyle w:val="SABodytext"/>
              <w:cnfStyle w:val="100000000000" w:firstRow="1" w:lastRow="0" w:firstColumn="0" w:lastColumn="0" w:oddVBand="0" w:evenVBand="0" w:oddHBand="0" w:evenHBand="0" w:firstRowFirstColumn="0" w:firstRowLastColumn="0" w:lastRowFirstColumn="0" w:lastRowLastColumn="0"/>
            </w:pPr>
            <w:r>
              <w:t>Agency contract end date</w:t>
            </w:r>
          </w:p>
        </w:tc>
      </w:tr>
      <w:tr w:rsidR="002964DF" w14:paraId="504132C4" w14:textId="77777777" w:rsidTr="002964DF">
        <w:tc>
          <w:tcPr>
            <w:cnfStyle w:val="001000000000" w:firstRow="0" w:lastRow="0" w:firstColumn="1" w:lastColumn="0" w:oddVBand="0" w:evenVBand="0" w:oddHBand="0" w:evenHBand="0" w:firstRowFirstColumn="0" w:firstRowLastColumn="0" w:lastRowFirstColumn="0" w:lastRowLastColumn="0"/>
            <w:tcW w:w="4989" w:type="dxa"/>
          </w:tcPr>
          <w:p w14:paraId="34295BA0" w14:textId="501D0810" w:rsidR="002964DF" w:rsidRDefault="002964DF" w:rsidP="005567E1">
            <w:pPr>
              <w:pStyle w:val="SABodytext"/>
            </w:pPr>
            <w:r>
              <w:t>Large market – ACT (</w:t>
            </w:r>
            <w:proofErr w:type="spellStart"/>
            <w:r>
              <w:t>ActewAGL</w:t>
            </w:r>
            <w:proofErr w:type="spellEnd"/>
            <w:r>
              <w:t>)</w:t>
            </w:r>
          </w:p>
        </w:tc>
        <w:tc>
          <w:tcPr>
            <w:tcW w:w="4989" w:type="dxa"/>
          </w:tcPr>
          <w:p w14:paraId="31ACE104" w14:textId="6DB024E8" w:rsidR="002964DF" w:rsidRDefault="002964DF" w:rsidP="005567E1">
            <w:pPr>
              <w:pStyle w:val="SABodytext"/>
              <w:cnfStyle w:val="000000000000" w:firstRow="0" w:lastRow="0" w:firstColumn="0" w:lastColumn="0" w:oddVBand="0" w:evenVBand="0" w:oddHBand="0" w:evenHBand="0" w:firstRowFirstColumn="0" w:firstRowLastColumn="0" w:lastRowFirstColumn="0" w:lastRowLastColumn="0"/>
            </w:pPr>
            <w:r>
              <w:t>30 June 2026 (Department of Defence contract)</w:t>
            </w:r>
          </w:p>
        </w:tc>
      </w:tr>
      <w:tr w:rsidR="002964DF" w14:paraId="13D51BE9" w14:textId="77777777" w:rsidTr="002964DF">
        <w:tc>
          <w:tcPr>
            <w:cnfStyle w:val="001000000000" w:firstRow="0" w:lastRow="0" w:firstColumn="1" w:lastColumn="0" w:oddVBand="0" w:evenVBand="0" w:oddHBand="0" w:evenHBand="0" w:firstRowFirstColumn="0" w:firstRowLastColumn="0" w:lastRowFirstColumn="0" w:lastRowLastColumn="0"/>
            <w:tcW w:w="4989" w:type="dxa"/>
          </w:tcPr>
          <w:p w14:paraId="70455AA6" w14:textId="2B195D91" w:rsidR="002964DF" w:rsidRDefault="002964DF" w:rsidP="005567E1">
            <w:pPr>
              <w:pStyle w:val="SABodytext"/>
            </w:pPr>
            <w:r>
              <w:t>Large market – WA (Synergy)</w:t>
            </w:r>
          </w:p>
        </w:tc>
        <w:tc>
          <w:tcPr>
            <w:tcW w:w="4989" w:type="dxa"/>
          </w:tcPr>
          <w:p w14:paraId="2FB37D27" w14:textId="7D798BA8" w:rsidR="002964DF" w:rsidRDefault="002964DF" w:rsidP="005567E1">
            <w:pPr>
              <w:pStyle w:val="SABodytext"/>
              <w:cnfStyle w:val="000000000000" w:firstRow="0" w:lastRow="0" w:firstColumn="0" w:lastColumn="0" w:oddVBand="0" w:evenVBand="0" w:oddHBand="0" w:evenHBand="0" w:firstRowFirstColumn="0" w:firstRowLastColumn="0" w:lastRowFirstColumn="0" w:lastRowLastColumn="0"/>
            </w:pPr>
            <w:r>
              <w:t>31 December 202</w:t>
            </w:r>
            <w:r w:rsidR="00812938">
              <w:t>6</w:t>
            </w:r>
          </w:p>
        </w:tc>
      </w:tr>
      <w:tr w:rsidR="002964DF" w14:paraId="38AA1526" w14:textId="77777777" w:rsidTr="002964DF">
        <w:tc>
          <w:tcPr>
            <w:cnfStyle w:val="001000000000" w:firstRow="0" w:lastRow="0" w:firstColumn="1" w:lastColumn="0" w:oddVBand="0" w:evenVBand="0" w:oddHBand="0" w:evenHBand="0" w:firstRowFirstColumn="0" w:firstRowLastColumn="0" w:lastRowFirstColumn="0" w:lastRowLastColumn="0"/>
            <w:tcW w:w="4989" w:type="dxa"/>
          </w:tcPr>
          <w:p w14:paraId="719C6BD8" w14:textId="3202395A" w:rsidR="002964DF" w:rsidRDefault="002964DF" w:rsidP="005567E1">
            <w:pPr>
              <w:pStyle w:val="SABodytext"/>
            </w:pPr>
            <w:r>
              <w:t>Small market – ACT, NSW, VIC, TAS, SA, QLD (Shell)</w:t>
            </w:r>
          </w:p>
        </w:tc>
        <w:tc>
          <w:tcPr>
            <w:tcW w:w="4989" w:type="dxa"/>
          </w:tcPr>
          <w:p w14:paraId="18E23223" w14:textId="5B5B0172" w:rsidR="002964DF" w:rsidRDefault="002964DF" w:rsidP="005567E1">
            <w:pPr>
              <w:pStyle w:val="SABodytext"/>
              <w:cnfStyle w:val="000000000000" w:firstRow="0" w:lastRow="0" w:firstColumn="0" w:lastColumn="0" w:oddVBand="0" w:evenVBand="0" w:oddHBand="0" w:evenHBand="0" w:firstRowFirstColumn="0" w:firstRowLastColumn="0" w:lastRowFirstColumn="0" w:lastRowLastColumn="0"/>
            </w:pPr>
            <w:r>
              <w:t>31 December 202</w:t>
            </w:r>
            <w:r w:rsidR="00812938">
              <w:t>7</w:t>
            </w:r>
          </w:p>
        </w:tc>
      </w:tr>
      <w:tr w:rsidR="002964DF" w14:paraId="7A284004" w14:textId="77777777" w:rsidTr="002964DF">
        <w:tc>
          <w:tcPr>
            <w:cnfStyle w:val="001000000000" w:firstRow="0" w:lastRow="0" w:firstColumn="1" w:lastColumn="0" w:oddVBand="0" w:evenVBand="0" w:oddHBand="0" w:evenHBand="0" w:firstRowFirstColumn="0" w:firstRowLastColumn="0" w:lastRowFirstColumn="0" w:lastRowLastColumn="0"/>
            <w:tcW w:w="4989" w:type="dxa"/>
          </w:tcPr>
          <w:p w14:paraId="41EA1B81" w14:textId="74D4C68A" w:rsidR="002964DF" w:rsidRDefault="002964DF" w:rsidP="005567E1">
            <w:pPr>
              <w:pStyle w:val="SABodytext"/>
            </w:pPr>
            <w:r>
              <w:t>Large market – NSW, VIC, TAS, SA, QLD (Shell)</w:t>
            </w:r>
          </w:p>
        </w:tc>
        <w:tc>
          <w:tcPr>
            <w:tcW w:w="4989" w:type="dxa"/>
          </w:tcPr>
          <w:p w14:paraId="4D2E0951" w14:textId="10BDBE7C" w:rsidR="002964DF" w:rsidRDefault="002964DF" w:rsidP="005567E1">
            <w:pPr>
              <w:pStyle w:val="SABodytext"/>
              <w:cnfStyle w:val="000000000000" w:firstRow="0" w:lastRow="0" w:firstColumn="0" w:lastColumn="0" w:oddVBand="0" w:evenVBand="0" w:oddHBand="0" w:evenHBand="0" w:firstRowFirstColumn="0" w:firstRowLastColumn="0" w:lastRowFirstColumn="0" w:lastRowLastColumn="0"/>
            </w:pPr>
            <w:r>
              <w:t>31 December 202</w:t>
            </w:r>
            <w:r w:rsidR="00812938">
              <w:t>6</w:t>
            </w:r>
          </w:p>
        </w:tc>
      </w:tr>
      <w:tr w:rsidR="002964DF" w14:paraId="0F027083" w14:textId="77777777" w:rsidTr="002964DF">
        <w:tc>
          <w:tcPr>
            <w:cnfStyle w:val="001000000000" w:firstRow="0" w:lastRow="0" w:firstColumn="1" w:lastColumn="0" w:oddVBand="0" w:evenVBand="0" w:oddHBand="0" w:evenHBand="0" w:firstRowFirstColumn="0" w:firstRowLastColumn="0" w:lastRowFirstColumn="0" w:lastRowLastColumn="0"/>
            <w:tcW w:w="4989" w:type="dxa"/>
          </w:tcPr>
          <w:p w14:paraId="0D8B737F" w14:textId="64F36E71" w:rsidR="002964DF" w:rsidRDefault="002964DF" w:rsidP="005567E1">
            <w:pPr>
              <w:pStyle w:val="SABodytext"/>
            </w:pPr>
            <w:r>
              <w:t>Complex market – NT (</w:t>
            </w:r>
            <w:r w:rsidR="00951085">
              <w:t>v</w:t>
            </w:r>
            <w:r>
              <w:t>arious)</w:t>
            </w:r>
          </w:p>
        </w:tc>
        <w:tc>
          <w:tcPr>
            <w:tcW w:w="4989" w:type="dxa"/>
          </w:tcPr>
          <w:p w14:paraId="39DA83E3" w14:textId="1EEF3DED" w:rsidR="002964DF" w:rsidRDefault="002964DF" w:rsidP="005567E1">
            <w:pPr>
              <w:pStyle w:val="SABodytext"/>
              <w:cnfStyle w:val="000000000000" w:firstRow="0" w:lastRow="0" w:firstColumn="0" w:lastColumn="0" w:oddVBand="0" w:evenVBand="0" w:oddHBand="0" w:evenHBand="0" w:firstRowFirstColumn="0" w:firstRowLastColumn="0" w:lastRowFirstColumn="0" w:lastRowLastColumn="0"/>
            </w:pPr>
            <w:r>
              <w:t>Various – 1 month notification required</w:t>
            </w:r>
          </w:p>
        </w:tc>
      </w:tr>
    </w:tbl>
    <w:p w14:paraId="53FFF241" w14:textId="290EFB85" w:rsidR="002964DF" w:rsidRPr="005567E1" w:rsidRDefault="002964DF" w:rsidP="005567E1">
      <w:pPr>
        <w:pStyle w:val="Caption"/>
      </w:pPr>
      <w:r>
        <w:t>Figure 7: Current electricity contracts</w:t>
      </w:r>
    </w:p>
    <w:tbl>
      <w:tblPr>
        <w:tblStyle w:val="ServicesAustralia"/>
        <w:tblW w:w="0" w:type="auto"/>
        <w:tblLook w:val="04A0" w:firstRow="1" w:lastRow="0" w:firstColumn="1" w:lastColumn="0" w:noHBand="0" w:noVBand="1"/>
      </w:tblPr>
      <w:tblGrid>
        <w:gridCol w:w="2127"/>
        <w:gridCol w:w="7851"/>
      </w:tblGrid>
      <w:tr w:rsidR="002964DF" w14:paraId="1BD8D9A1" w14:textId="77777777" w:rsidTr="00C15C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1B6C111A" w14:textId="62C8EE3E" w:rsidR="002964DF" w:rsidRDefault="002964DF" w:rsidP="005567E1">
            <w:pPr>
              <w:pStyle w:val="SABodytext"/>
              <w:rPr>
                <w:b w:val="0"/>
              </w:rPr>
            </w:pPr>
            <w:r w:rsidRPr="005567E1">
              <w:t>Renewable electricity – what the agency will do</w:t>
            </w:r>
          </w:p>
        </w:tc>
      </w:tr>
      <w:tr w:rsidR="002964DF" w14:paraId="50F3DE89"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6921BE64" w14:textId="67ACFFDB" w:rsidR="002964DF" w:rsidRPr="005567E1" w:rsidRDefault="002964DF" w:rsidP="005567E1">
            <w:pPr>
              <w:pStyle w:val="SABodytext"/>
              <w:rPr>
                <w:bCs w:val="0"/>
              </w:rPr>
            </w:pPr>
            <w:r w:rsidRPr="002964DF">
              <w:t>Review contracts</w:t>
            </w:r>
          </w:p>
        </w:tc>
        <w:tc>
          <w:tcPr>
            <w:tcW w:w="7851" w:type="dxa"/>
          </w:tcPr>
          <w:p w14:paraId="4E91F86A" w14:textId="37B65338" w:rsidR="002964DF" w:rsidRPr="005567E1"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t>R</w:t>
            </w:r>
            <w:r w:rsidRPr="00F46CC7">
              <w:t xml:space="preserve">eview of small and large market contracts </w:t>
            </w:r>
            <w:r>
              <w:t>and</w:t>
            </w:r>
            <w:r w:rsidRPr="00F46CC7">
              <w:t xml:space="preserve"> confirm feasibility of transition to renewable electricity</w:t>
            </w:r>
            <w:r w:rsidR="00B05A79">
              <w:t>.</w:t>
            </w:r>
          </w:p>
        </w:tc>
      </w:tr>
      <w:tr w:rsidR="002964DF" w14:paraId="5ABB84EA"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36AD1A6B" w14:textId="04FCD59F" w:rsidR="002964DF" w:rsidRPr="005567E1" w:rsidRDefault="002964DF" w:rsidP="005567E1">
            <w:pPr>
              <w:pStyle w:val="SABodytext"/>
              <w:rPr>
                <w:bCs w:val="0"/>
              </w:rPr>
            </w:pPr>
            <w:r w:rsidRPr="002964DF">
              <w:t>Consider next steps</w:t>
            </w:r>
          </w:p>
        </w:tc>
        <w:tc>
          <w:tcPr>
            <w:tcW w:w="7851" w:type="dxa"/>
          </w:tcPr>
          <w:p w14:paraId="67F55B36" w14:textId="35A2838C" w:rsidR="002964DF" w:rsidRPr="00FF1617"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 xml:space="preserve">Next steps informed </w:t>
            </w:r>
            <w:r w:rsidR="00B05A79">
              <w:t>by</w:t>
            </w:r>
            <w:r w:rsidRPr="00FF1617">
              <w:t xml:space="preserve"> Finance through </w:t>
            </w:r>
            <w:r w:rsidR="00B05A79">
              <w:t>whole of government r</w:t>
            </w:r>
            <w:r w:rsidRPr="00FF1617">
              <w:t xml:space="preserve">enewable </w:t>
            </w:r>
            <w:r w:rsidR="00B05A79">
              <w:t>e</w:t>
            </w:r>
            <w:r w:rsidRPr="00FF1617">
              <w:t>nergy procurements.</w:t>
            </w:r>
          </w:p>
          <w:p w14:paraId="4AB918F5" w14:textId="796D7F2A" w:rsidR="002964DF" w:rsidRPr="00FF1617" w:rsidRDefault="00951085" w:rsidP="005567E1">
            <w:pPr>
              <w:pStyle w:val="SABulletslevel"/>
              <w:cnfStyle w:val="000000000000" w:firstRow="0" w:lastRow="0" w:firstColumn="0" w:lastColumn="0" w:oddVBand="0" w:evenVBand="0" w:oddHBand="0" w:evenHBand="0" w:firstRowFirstColumn="0" w:firstRowLastColumn="0" w:lastRowFirstColumn="0" w:lastRowLastColumn="0"/>
            </w:pPr>
            <w:r>
              <w:t>We’ll</w:t>
            </w:r>
            <w:r w:rsidR="002964DF" w:rsidRPr="00FF1617">
              <w:t xml:space="preserve"> transition to </w:t>
            </w:r>
            <w:r w:rsidR="00B05A79">
              <w:t>whole of government</w:t>
            </w:r>
            <w:r w:rsidR="002964DF" w:rsidRPr="00FF1617">
              <w:t xml:space="preserve"> </w:t>
            </w:r>
            <w:r w:rsidR="00B05A79">
              <w:t>r</w:t>
            </w:r>
            <w:r w:rsidR="002964DF" w:rsidRPr="00FF1617">
              <w:t>enewable</w:t>
            </w:r>
            <w:r w:rsidR="00B05A79">
              <w:t xml:space="preserve"> e</w:t>
            </w:r>
            <w:r w:rsidR="002964DF" w:rsidRPr="00FF1617">
              <w:t xml:space="preserve">nergy contracts once procurements are finalised by Finance and upon expiry of current </w:t>
            </w:r>
            <w:r w:rsidR="00B05A79">
              <w:t>a</w:t>
            </w:r>
            <w:r w:rsidR="002964DF" w:rsidRPr="00FF1617">
              <w:t>gency contracts.</w:t>
            </w:r>
          </w:p>
          <w:p w14:paraId="29DB3CE2" w14:textId="01233DC4" w:rsidR="002964DF" w:rsidRPr="005567E1"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 xml:space="preserve">In the event of delays to </w:t>
            </w:r>
            <w:r w:rsidR="004B0F8C">
              <w:t>whole of government</w:t>
            </w:r>
            <w:r w:rsidRPr="00FF1617">
              <w:t xml:space="preserve"> contracts</w:t>
            </w:r>
            <w:r w:rsidR="00B05A79">
              <w:t xml:space="preserve">, </w:t>
            </w:r>
            <w:r w:rsidR="00951085">
              <w:t>we’ll</w:t>
            </w:r>
            <w:r w:rsidRPr="00FF1617">
              <w:t xml:space="preserve"> extend current contracts as necessary until transition to renewable contracts </w:t>
            </w:r>
            <w:r w:rsidR="00B05A79">
              <w:t xml:space="preserve">are </w:t>
            </w:r>
            <w:r w:rsidRPr="00FF1617">
              <w:t>ready.</w:t>
            </w:r>
          </w:p>
        </w:tc>
      </w:tr>
      <w:tr w:rsidR="002964DF" w14:paraId="516E29F1"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66E6E48A" w14:textId="28D6556A" w:rsidR="002964DF" w:rsidRPr="005567E1" w:rsidRDefault="002964DF" w:rsidP="005567E1">
            <w:pPr>
              <w:pStyle w:val="SABodytext"/>
              <w:rPr>
                <w:bCs w:val="0"/>
              </w:rPr>
            </w:pPr>
            <w:r w:rsidRPr="002964DF">
              <w:t>Communicate</w:t>
            </w:r>
          </w:p>
        </w:tc>
        <w:tc>
          <w:tcPr>
            <w:tcW w:w="7851" w:type="dxa"/>
          </w:tcPr>
          <w:p w14:paraId="12A88BFD" w14:textId="553AA485" w:rsidR="002964DF" w:rsidRPr="00FF1617"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Consult</w:t>
            </w:r>
            <w:r w:rsidR="00B05A79">
              <w:t>ation</w:t>
            </w:r>
            <w:r w:rsidRPr="00FF1617">
              <w:t xml:space="preserve"> with key stakeholders including Property Branch, Chief Financial Officer (CFO)</w:t>
            </w:r>
            <w:r w:rsidR="00B05A79">
              <w:t xml:space="preserve"> and</w:t>
            </w:r>
            <w:r w:rsidRPr="00FF1617">
              <w:t xml:space="preserve"> Procurement Branch on procurement.</w:t>
            </w:r>
          </w:p>
          <w:p w14:paraId="670F1830" w14:textId="77777777" w:rsidR="002964DF" w:rsidRPr="00FF1617"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Cost implications associated with power procurement transition determined and communicated to CFO and Procurement Branch.</w:t>
            </w:r>
          </w:p>
          <w:p w14:paraId="42DA72AD" w14:textId="6253EF1E" w:rsidR="002964DF" w:rsidRPr="005567E1" w:rsidRDefault="002964DF" w:rsidP="005567E1">
            <w:pPr>
              <w:pStyle w:val="SABulletslevel"/>
              <w:cnfStyle w:val="000000000000" w:firstRow="0" w:lastRow="0" w:firstColumn="0" w:lastColumn="0" w:oddVBand="0" w:evenVBand="0" w:oddHBand="0" w:evenHBand="0" w:firstRowFirstColumn="0" w:firstRowLastColumn="0" w:lastRowFirstColumn="0" w:lastRowLastColumn="0"/>
            </w:pPr>
            <w:r w:rsidRPr="00FF1883">
              <w:t xml:space="preserve">Electricity Contract Transition Plan in place </w:t>
            </w:r>
            <w:r w:rsidRPr="00FF1617">
              <w:t xml:space="preserve">and regularly updated </w:t>
            </w:r>
            <w:r w:rsidRPr="00FF1883">
              <w:t>to inform progress</w:t>
            </w:r>
            <w:r w:rsidRPr="00FF1617">
              <w:t xml:space="preserve"> and uptake as new contracts implemented.</w:t>
            </w:r>
          </w:p>
        </w:tc>
      </w:tr>
    </w:tbl>
    <w:p w14:paraId="45B6F908" w14:textId="4EA33037" w:rsidR="002964DF" w:rsidRDefault="002964DF" w:rsidP="005567E1">
      <w:pPr>
        <w:pStyle w:val="Caption"/>
      </w:pPr>
      <w:r>
        <w:t>Figure 8: Renewable electricity – what the agency will do</w:t>
      </w:r>
    </w:p>
    <w:p w14:paraId="2BB7C890" w14:textId="400541E6" w:rsidR="009414CD" w:rsidRPr="00AE3EA3" w:rsidRDefault="009414CD" w:rsidP="009414CD">
      <w:pPr>
        <w:pStyle w:val="SAHeadinglevel3"/>
        <w:rPr>
          <w:color w:val="002060"/>
        </w:rPr>
      </w:pPr>
      <w:bookmarkStart w:id="20" w:name="_Toc218750545"/>
      <w:r w:rsidRPr="00AE3EA3">
        <w:rPr>
          <w:color w:val="002060"/>
        </w:rPr>
        <w:t xml:space="preserve">Solar </w:t>
      </w:r>
      <w:r w:rsidR="00111FBE">
        <w:rPr>
          <w:color w:val="002060"/>
        </w:rPr>
        <w:t>photovoltaic (</w:t>
      </w:r>
      <w:r w:rsidRPr="00AE3EA3">
        <w:rPr>
          <w:color w:val="002060"/>
        </w:rPr>
        <w:t>PV</w:t>
      </w:r>
      <w:r w:rsidR="00111FBE">
        <w:rPr>
          <w:color w:val="002060"/>
        </w:rPr>
        <w:t>)</w:t>
      </w:r>
      <w:r w:rsidRPr="00AE3EA3">
        <w:rPr>
          <w:color w:val="002060"/>
        </w:rPr>
        <w:t xml:space="preserve"> </w:t>
      </w:r>
      <w:r w:rsidR="002964DF">
        <w:rPr>
          <w:color w:val="002060"/>
        </w:rPr>
        <w:t>u</w:t>
      </w:r>
      <w:r w:rsidR="002964DF" w:rsidRPr="00AE3EA3">
        <w:rPr>
          <w:color w:val="002060"/>
        </w:rPr>
        <w:t>pgrades</w:t>
      </w:r>
      <w:bookmarkEnd w:id="20"/>
    </w:p>
    <w:p w14:paraId="0F954038" w14:textId="34144084" w:rsidR="006F7F7E" w:rsidRDefault="002964DF" w:rsidP="005567E1">
      <w:pPr>
        <w:pStyle w:val="Introductory"/>
      </w:pPr>
      <w:r>
        <w:t>We’ll r</w:t>
      </w:r>
      <w:r w:rsidR="006F7F7E">
        <w:t>oll</w:t>
      </w:r>
      <w:r>
        <w:t xml:space="preserve"> </w:t>
      </w:r>
      <w:r w:rsidR="006F7F7E">
        <w:t xml:space="preserve">out </w:t>
      </w:r>
      <w:r w:rsidR="00B05A79">
        <w:t>s</w:t>
      </w:r>
      <w:r w:rsidR="006F7F7E">
        <w:t xml:space="preserve">olar PV upgrades for </w:t>
      </w:r>
      <w:r w:rsidR="00E843F3">
        <w:t>our</w:t>
      </w:r>
      <w:r w:rsidR="006F7F7E">
        <w:t xml:space="preserve"> sites</w:t>
      </w:r>
      <w:r w:rsidR="000F72DC">
        <w:t xml:space="preserve"> where possible through leasing events.</w:t>
      </w:r>
    </w:p>
    <w:p w14:paraId="666682AC" w14:textId="19B76D55" w:rsidR="009414CD" w:rsidRPr="00901B0B" w:rsidRDefault="009414CD" w:rsidP="000A447D">
      <w:pPr>
        <w:pStyle w:val="BodyText"/>
      </w:pPr>
      <w:r w:rsidRPr="00901B0B">
        <w:t xml:space="preserve">Solar energy is a </w:t>
      </w:r>
      <w:r w:rsidR="002964DF">
        <w:t xml:space="preserve">clean </w:t>
      </w:r>
      <w:r w:rsidRPr="00901B0B">
        <w:t>renewable energy source that creates no greenhouse gas emissions. It reduces the impact on electricity grids and reduces electricity bills. However, it</w:t>
      </w:r>
      <w:r w:rsidR="00B05A79">
        <w:t>’</w:t>
      </w:r>
      <w:r w:rsidRPr="00901B0B">
        <w:t xml:space="preserve">s important to note that there may be high installation costs and energy storage options required to maintain supply during periods of inclement weather. Roof </w:t>
      </w:r>
      <w:r w:rsidR="008E1FD4">
        <w:t>space availability</w:t>
      </w:r>
      <w:r w:rsidRPr="00901B0B">
        <w:t xml:space="preserve"> is another limiting factor for solar PV systems.</w:t>
      </w:r>
    </w:p>
    <w:p w14:paraId="25E7B54F" w14:textId="7111F09D" w:rsidR="009414CD" w:rsidRPr="00901B0B" w:rsidRDefault="008E1FD4" w:rsidP="000A447D">
      <w:pPr>
        <w:pStyle w:val="BodyText"/>
      </w:pPr>
      <w:r>
        <w:t xml:space="preserve">In 2022, </w:t>
      </w:r>
      <w:r w:rsidR="009B7CF5">
        <w:t xml:space="preserve">JLL, on behalf of the </w:t>
      </w:r>
      <w:r w:rsidR="00B05A79">
        <w:t>a</w:t>
      </w:r>
      <w:r w:rsidR="009B7CF5">
        <w:t>gency,</w:t>
      </w:r>
      <w:r w:rsidR="009414CD" w:rsidRPr="00901B0B">
        <w:t xml:space="preserve"> conducted a desktop review of 55 GLS sites and 164 properties of more than 1,000m</w:t>
      </w:r>
      <w:r w:rsidR="009414CD" w:rsidRPr="005567E1">
        <w:rPr>
          <w:vertAlign w:val="superscript"/>
        </w:rPr>
        <w:t>2</w:t>
      </w:r>
      <w:r w:rsidR="009414CD" w:rsidRPr="00B05A79">
        <w:t xml:space="preserve"> </w:t>
      </w:r>
      <w:r w:rsidR="009414CD" w:rsidRPr="00901B0B">
        <w:t xml:space="preserve">net lettable area for rooftop solar PV system suitability. </w:t>
      </w:r>
      <w:r w:rsidR="00B05A79" w:rsidRPr="00901B0B">
        <w:t>Several</w:t>
      </w:r>
      <w:r w:rsidR="009414CD" w:rsidRPr="00901B0B">
        <w:t xml:space="preserve"> sites were excluded due to </w:t>
      </w:r>
      <w:proofErr w:type="gramStart"/>
      <w:r w:rsidR="009414CD" w:rsidRPr="00901B0B">
        <w:t>a number of</w:t>
      </w:r>
      <w:proofErr w:type="gramEnd"/>
      <w:r w:rsidR="009414CD" w:rsidRPr="00901B0B">
        <w:t xml:space="preserve"> prevailing factors</w:t>
      </w:r>
      <w:r w:rsidR="00B05A79">
        <w:t>,</w:t>
      </w:r>
      <w:r w:rsidR="009414CD" w:rsidRPr="00901B0B">
        <w:t xml:space="preserve"> for example</w:t>
      </w:r>
      <w:r w:rsidR="00B05A79">
        <w:t>,</w:t>
      </w:r>
      <w:r w:rsidR="009414CD" w:rsidRPr="00901B0B">
        <w:t xml:space="preserve"> already having solar PV installed,</w:t>
      </w:r>
      <w:r w:rsidR="00B05A79">
        <w:t xml:space="preserve"> unsuitable</w:t>
      </w:r>
      <w:r w:rsidR="009414CD" w:rsidRPr="00901B0B">
        <w:t xml:space="preserve"> roof area</w:t>
      </w:r>
      <w:r w:rsidR="00B05A79">
        <w:t xml:space="preserve"> or </w:t>
      </w:r>
      <w:r w:rsidR="009414CD" w:rsidRPr="00901B0B">
        <w:t xml:space="preserve">metering configuration or imminent lease disposal. </w:t>
      </w:r>
    </w:p>
    <w:p w14:paraId="45234CAC" w14:textId="30227829" w:rsidR="009414CD" w:rsidRPr="00901B0B" w:rsidRDefault="009414CD" w:rsidP="000A447D">
      <w:pPr>
        <w:pStyle w:val="BodyText"/>
      </w:pPr>
      <w:r w:rsidRPr="00901B0B">
        <w:t xml:space="preserve">For 50 sites that </w:t>
      </w:r>
      <w:r w:rsidR="009B7CF5">
        <w:t>met the criteria for solar upgrades (no existing solar, roof space availability, positive return on investment)</w:t>
      </w:r>
      <w:r w:rsidRPr="00901B0B">
        <w:t>, the following</w:t>
      </w:r>
      <w:r w:rsidR="008E1FD4">
        <w:t xml:space="preserve"> information was gathered</w:t>
      </w:r>
      <w:r w:rsidRPr="00901B0B">
        <w:t>:</w:t>
      </w:r>
    </w:p>
    <w:p w14:paraId="76414C6E" w14:textId="5848BAFC" w:rsidR="009414CD" w:rsidRPr="00901B0B" w:rsidRDefault="00B05A79" w:rsidP="005567E1">
      <w:pPr>
        <w:pStyle w:val="SABulletslevel"/>
      </w:pPr>
      <w:r>
        <w:t>s</w:t>
      </w:r>
      <w:r w:rsidRPr="00901B0B">
        <w:t xml:space="preserve">olar </w:t>
      </w:r>
      <w:r w:rsidR="009414CD" w:rsidRPr="00901B0B">
        <w:t>PV capacity based on spatial estimates from aerial imagery</w:t>
      </w:r>
    </w:p>
    <w:p w14:paraId="421E1205" w14:textId="793A2A70" w:rsidR="009414CD" w:rsidRPr="00901B0B" w:rsidRDefault="00B05A79" w:rsidP="005567E1">
      <w:pPr>
        <w:pStyle w:val="SABulletslevel"/>
      </w:pPr>
      <w:r>
        <w:t>y</w:t>
      </w:r>
      <w:r w:rsidRPr="00901B0B">
        <w:t xml:space="preserve">ield </w:t>
      </w:r>
      <w:r w:rsidR="009414CD" w:rsidRPr="00901B0B">
        <w:t>and self-consumption rate</w:t>
      </w:r>
    </w:p>
    <w:p w14:paraId="16A61F9D" w14:textId="477B032C" w:rsidR="009414CD" w:rsidRPr="00901B0B" w:rsidRDefault="00B05A79" w:rsidP="005567E1">
      <w:pPr>
        <w:pStyle w:val="SABulletslevel"/>
      </w:pPr>
      <w:r>
        <w:t>c</w:t>
      </w:r>
      <w:r w:rsidRPr="00901B0B">
        <w:t xml:space="preserve">osts </w:t>
      </w:r>
      <w:r w:rsidR="009414CD" w:rsidRPr="00901B0B">
        <w:t>and return on investment</w:t>
      </w:r>
    </w:p>
    <w:p w14:paraId="7E177CAF" w14:textId="55358BD2" w:rsidR="009414CD" w:rsidRDefault="00B05A79" w:rsidP="005567E1">
      <w:pPr>
        <w:pStyle w:val="SABulletslevel"/>
      </w:pPr>
      <w:r>
        <w:t>e</w:t>
      </w:r>
      <w:r w:rsidRPr="00901B0B">
        <w:t xml:space="preserve">missions </w:t>
      </w:r>
      <w:r w:rsidR="009414CD" w:rsidRPr="00901B0B">
        <w:t>reduction potential (derived from carbon modelling)</w:t>
      </w:r>
      <w:r>
        <w:t>.</w:t>
      </w:r>
    </w:p>
    <w:tbl>
      <w:tblPr>
        <w:tblStyle w:val="ServicesAustralia"/>
        <w:tblW w:w="0" w:type="auto"/>
        <w:tblLook w:val="04A0" w:firstRow="1" w:lastRow="0" w:firstColumn="1" w:lastColumn="0" w:noHBand="0" w:noVBand="1"/>
      </w:tblPr>
      <w:tblGrid>
        <w:gridCol w:w="2552"/>
        <w:gridCol w:w="7426"/>
      </w:tblGrid>
      <w:tr w:rsidR="00B05A79" w14:paraId="16ABC594" w14:textId="77777777" w:rsidTr="00A936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44BCB655" w14:textId="10EF1FE2" w:rsidR="00B05A79" w:rsidRDefault="00B05A79" w:rsidP="005567E1">
            <w:pPr>
              <w:pStyle w:val="SABodytext"/>
            </w:pPr>
            <w:r>
              <w:t>Solar PV upgrades – what the agency will do</w:t>
            </w:r>
          </w:p>
        </w:tc>
      </w:tr>
      <w:tr w:rsidR="00B05A79" w14:paraId="667200D0" w14:textId="77777777" w:rsidTr="005567E1">
        <w:tc>
          <w:tcPr>
            <w:cnfStyle w:val="001000000000" w:firstRow="0" w:lastRow="0" w:firstColumn="1" w:lastColumn="0" w:oddVBand="0" w:evenVBand="0" w:oddHBand="0" w:evenHBand="0" w:firstRowFirstColumn="0" w:firstRowLastColumn="0" w:lastRowFirstColumn="0" w:lastRowLastColumn="0"/>
            <w:tcW w:w="2552" w:type="dxa"/>
          </w:tcPr>
          <w:p w14:paraId="56C78B6B" w14:textId="5469DF3E" w:rsidR="00B05A79" w:rsidRDefault="00B05A79" w:rsidP="005567E1">
            <w:pPr>
              <w:pStyle w:val="SABodytext"/>
            </w:pPr>
            <w:r>
              <w:t>Confirm leasing strategy</w:t>
            </w:r>
          </w:p>
        </w:tc>
        <w:tc>
          <w:tcPr>
            <w:tcW w:w="7426" w:type="dxa"/>
          </w:tcPr>
          <w:p w14:paraId="403C5ABE" w14:textId="0241D328" w:rsidR="00B05A79" w:rsidRDefault="00B05A79" w:rsidP="005567E1">
            <w:pPr>
              <w:pStyle w:val="SABulletslevel"/>
              <w:cnfStyle w:val="000000000000" w:firstRow="0" w:lastRow="0" w:firstColumn="0" w:lastColumn="0" w:oddVBand="0" w:evenVBand="0" w:oddHBand="0" w:evenHBand="0" w:firstRowFirstColumn="0" w:firstRowLastColumn="0" w:lastRowFirstColumn="0" w:lastRowLastColumn="0"/>
            </w:pPr>
            <w:r>
              <w:t xml:space="preserve">Confirm leasing strategy for </w:t>
            </w:r>
            <w:r w:rsidR="00D9759A">
              <w:t>our</w:t>
            </w:r>
            <w:r>
              <w:t xml:space="preserve"> sites.</w:t>
            </w:r>
          </w:p>
        </w:tc>
      </w:tr>
      <w:tr w:rsidR="00B05A79" w14:paraId="164210F8" w14:textId="77777777" w:rsidTr="005567E1">
        <w:tc>
          <w:tcPr>
            <w:cnfStyle w:val="001000000000" w:firstRow="0" w:lastRow="0" w:firstColumn="1" w:lastColumn="0" w:oddVBand="0" w:evenVBand="0" w:oddHBand="0" w:evenHBand="0" w:firstRowFirstColumn="0" w:firstRowLastColumn="0" w:lastRowFirstColumn="0" w:lastRowLastColumn="0"/>
            <w:tcW w:w="2552" w:type="dxa"/>
          </w:tcPr>
          <w:p w14:paraId="3E962AF1" w14:textId="23148C11" w:rsidR="00B05A79" w:rsidRDefault="00B05A79" w:rsidP="005567E1">
            <w:pPr>
              <w:pStyle w:val="SABodytext"/>
            </w:pPr>
            <w:r>
              <w:t>Site confirmation</w:t>
            </w:r>
          </w:p>
        </w:tc>
        <w:tc>
          <w:tcPr>
            <w:tcW w:w="7426" w:type="dxa"/>
          </w:tcPr>
          <w:p w14:paraId="21FA314D" w14:textId="26838357" w:rsidR="00B05A79" w:rsidRDefault="00B05A79" w:rsidP="005567E1">
            <w:pPr>
              <w:pStyle w:val="SABulletslevel"/>
              <w:cnfStyle w:val="000000000000" w:firstRow="0" w:lastRow="0" w:firstColumn="0" w:lastColumn="0" w:oddVBand="0" w:evenVBand="0" w:oddHBand="0" w:evenHBand="0" w:firstRowFirstColumn="0" w:firstRowLastColumn="0" w:lastRowFirstColumn="0" w:lastRowLastColumn="0"/>
            </w:pPr>
            <w:r>
              <w:t>Confirm priority sites based on leasing strategy.</w:t>
            </w:r>
          </w:p>
        </w:tc>
      </w:tr>
      <w:tr w:rsidR="00B05A79" w14:paraId="7D59897C" w14:textId="77777777" w:rsidTr="005567E1">
        <w:tc>
          <w:tcPr>
            <w:cnfStyle w:val="001000000000" w:firstRow="0" w:lastRow="0" w:firstColumn="1" w:lastColumn="0" w:oddVBand="0" w:evenVBand="0" w:oddHBand="0" w:evenHBand="0" w:firstRowFirstColumn="0" w:firstRowLastColumn="0" w:lastRowFirstColumn="0" w:lastRowLastColumn="0"/>
            <w:tcW w:w="2552" w:type="dxa"/>
          </w:tcPr>
          <w:p w14:paraId="7F91C432" w14:textId="102856D4" w:rsidR="00B05A79" w:rsidRDefault="00B05A79" w:rsidP="005567E1">
            <w:pPr>
              <w:pStyle w:val="SABodytext"/>
            </w:pPr>
            <w:r>
              <w:t>Lease negotiations</w:t>
            </w:r>
          </w:p>
        </w:tc>
        <w:tc>
          <w:tcPr>
            <w:tcW w:w="7426" w:type="dxa"/>
          </w:tcPr>
          <w:p w14:paraId="1620A4A8" w14:textId="1461EEC4" w:rsidR="00B05A79" w:rsidRDefault="00B05A79" w:rsidP="005567E1">
            <w:pPr>
              <w:pStyle w:val="SABulletslevel"/>
              <w:cnfStyle w:val="000000000000" w:firstRow="0" w:lastRow="0" w:firstColumn="0" w:lastColumn="0" w:oddVBand="0" w:evenVBand="0" w:oddHBand="0" w:evenHBand="0" w:firstRowFirstColumn="0" w:firstRowLastColumn="0" w:lastRowFirstColumn="0" w:lastRowLastColumn="0"/>
            </w:pPr>
            <w:r>
              <w:t>Incorporate solar PV into lease negotiations with landlords by Services Australia Leasing and National Accommodation Management.</w:t>
            </w:r>
          </w:p>
        </w:tc>
      </w:tr>
    </w:tbl>
    <w:p w14:paraId="63938608" w14:textId="1017A5BA" w:rsidR="00962EEB" w:rsidRPr="00B05A79" w:rsidRDefault="00B05A79" w:rsidP="005567E1">
      <w:pPr>
        <w:pStyle w:val="Caption"/>
      </w:pPr>
      <w:r>
        <w:t>Figure 9: Solar PV upgrades – what the agency will do</w:t>
      </w:r>
    </w:p>
    <w:p w14:paraId="4ECA1273" w14:textId="3086E2F7" w:rsidR="009414CD" w:rsidRPr="00AE3EA3" w:rsidRDefault="009414CD" w:rsidP="009414CD">
      <w:pPr>
        <w:pStyle w:val="SAHeadinglevel3"/>
        <w:rPr>
          <w:color w:val="002060"/>
        </w:rPr>
      </w:pPr>
      <w:bookmarkStart w:id="21" w:name="_Toc147758812"/>
      <w:bookmarkStart w:id="22" w:name="_Toc218750546"/>
      <w:r w:rsidRPr="00AE3EA3">
        <w:rPr>
          <w:color w:val="002060"/>
        </w:rPr>
        <w:t xml:space="preserve">LED </w:t>
      </w:r>
      <w:r w:rsidR="002964DF">
        <w:rPr>
          <w:color w:val="002060"/>
        </w:rPr>
        <w:t>l</w:t>
      </w:r>
      <w:r w:rsidR="002964DF" w:rsidRPr="00AE3EA3">
        <w:rPr>
          <w:color w:val="002060"/>
        </w:rPr>
        <w:t xml:space="preserve">ighting </w:t>
      </w:r>
      <w:bookmarkEnd w:id="21"/>
      <w:r w:rsidR="002964DF">
        <w:rPr>
          <w:color w:val="002060"/>
        </w:rPr>
        <w:t>u</w:t>
      </w:r>
      <w:r w:rsidR="002964DF" w:rsidRPr="00AE3EA3">
        <w:rPr>
          <w:color w:val="002060"/>
        </w:rPr>
        <w:t>pgrades</w:t>
      </w:r>
      <w:bookmarkEnd w:id="22"/>
    </w:p>
    <w:p w14:paraId="2785A69F" w14:textId="713F02FE" w:rsidR="00C44156" w:rsidRDefault="00B05A79" w:rsidP="005567E1">
      <w:pPr>
        <w:pStyle w:val="Introductory"/>
      </w:pPr>
      <w:r>
        <w:t>We’ll r</w:t>
      </w:r>
      <w:r w:rsidR="00604E3D">
        <w:t>oll</w:t>
      </w:r>
      <w:r>
        <w:t xml:space="preserve"> </w:t>
      </w:r>
      <w:r w:rsidR="00604E3D">
        <w:t xml:space="preserve">out LED lighting upgrades at </w:t>
      </w:r>
      <w:r w:rsidR="00AA2EF2">
        <w:t>our</w:t>
      </w:r>
      <w:r w:rsidR="00604E3D">
        <w:t xml:space="preserve"> sites </w:t>
      </w:r>
      <w:r w:rsidR="000F72DC">
        <w:t>where possible through leasing events</w:t>
      </w:r>
      <w:r>
        <w:t>.</w:t>
      </w:r>
    </w:p>
    <w:p w14:paraId="5ECBDBD7" w14:textId="77777777" w:rsidR="000A447D" w:rsidRPr="000A447D" w:rsidRDefault="009414CD" w:rsidP="000A447D">
      <w:pPr>
        <w:pStyle w:val="BodyText"/>
      </w:pPr>
      <w:r>
        <w:t xml:space="preserve">LED lighting is an energy-efficient and </w:t>
      </w:r>
      <w:r w:rsidR="001E3770">
        <w:t>rapidly developing</w:t>
      </w:r>
      <w:r>
        <w:t xml:space="preserve"> technology that is replacing the standard fluorescent lighting in </w:t>
      </w:r>
      <w:r w:rsidRPr="000A447D">
        <w:t xml:space="preserve">office buildings. Aside from energy efficiency, LEDs have </w:t>
      </w:r>
      <w:r w:rsidR="00DA3B3B" w:rsidRPr="000A447D">
        <w:t>several advantages</w:t>
      </w:r>
      <w:r w:rsidRPr="000A447D">
        <w:t xml:space="preserve"> over other lighting types including being safer, </w:t>
      </w:r>
      <w:proofErr w:type="gramStart"/>
      <w:r w:rsidRPr="000A447D">
        <w:t>longer</w:t>
      </w:r>
      <w:r w:rsidR="00B05A79" w:rsidRPr="000A447D">
        <w:t>-</w:t>
      </w:r>
      <w:r w:rsidRPr="000A447D">
        <w:t>lasting</w:t>
      </w:r>
      <w:proofErr w:type="gramEnd"/>
      <w:r w:rsidRPr="000A447D">
        <w:t xml:space="preserve"> and easy to install.</w:t>
      </w:r>
    </w:p>
    <w:p w14:paraId="2EA89848" w14:textId="154A4F2B" w:rsidR="009414CD" w:rsidRDefault="002506B9" w:rsidP="000A447D">
      <w:pPr>
        <w:pStyle w:val="BodyText"/>
      </w:pPr>
      <w:r w:rsidRPr="000A447D">
        <w:t>In 2022, a</w:t>
      </w:r>
      <w:r w:rsidR="009414CD" w:rsidRPr="000A447D">
        <w:t xml:space="preserve"> desktop review was conducted to identify existing lighting type and controls at 55 Green Lease Schedule (GLS</w:t>
      </w:r>
      <w:r w:rsidR="009414CD" w:rsidRPr="00901B0B">
        <w:t>) sites. For the sites that demonstrated potential</w:t>
      </w:r>
      <w:r w:rsidR="008F1CA3">
        <w:t xml:space="preserve"> (no existing LED, high electricity usage, existing Tenancy Lighting Assessment categorised as ‘</w:t>
      </w:r>
      <w:r w:rsidR="004B0F8C">
        <w:t>poor’</w:t>
      </w:r>
      <w:r w:rsidR="003B0AAD">
        <w:t>)</w:t>
      </w:r>
      <w:r w:rsidR="009414CD" w:rsidRPr="00901B0B">
        <w:t xml:space="preserve"> for LED lighting upgrades, the</w:t>
      </w:r>
      <w:r w:rsidR="00125595">
        <w:t>y found</w:t>
      </w:r>
      <w:r w:rsidR="009414CD" w:rsidRPr="00901B0B">
        <w:t>:</w:t>
      </w:r>
    </w:p>
    <w:p w14:paraId="14E6DCBF" w14:textId="4B67CDFA" w:rsidR="009414CD" w:rsidRPr="00901B0B" w:rsidRDefault="00125595" w:rsidP="005567E1">
      <w:pPr>
        <w:pStyle w:val="SABulletslevel"/>
      </w:pPr>
      <w:r>
        <w:t>e</w:t>
      </w:r>
      <w:r w:rsidRPr="00901B0B">
        <w:t xml:space="preserve">nergy </w:t>
      </w:r>
      <w:r w:rsidR="009414CD" w:rsidRPr="00901B0B">
        <w:t>and expenditure savings</w:t>
      </w:r>
    </w:p>
    <w:p w14:paraId="77AF5603" w14:textId="31259E0F" w:rsidR="009414CD" w:rsidRPr="00901B0B" w:rsidRDefault="00125595" w:rsidP="005567E1">
      <w:pPr>
        <w:pStyle w:val="SABulletslevel"/>
      </w:pPr>
      <w:r>
        <w:t>u</w:t>
      </w:r>
      <w:r w:rsidRPr="00901B0B">
        <w:t xml:space="preserve">pgrade </w:t>
      </w:r>
      <w:r w:rsidR="009414CD" w:rsidRPr="00901B0B">
        <w:t xml:space="preserve">costs and </w:t>
      </w:r>
      <w:r>
        <w:t>r</w:t>
      </w:r>
      <w:r w:rsidRPr="00901B0B">
        <w:t xml:space="preserve">eturn </w:t>
      </w:r>
      <w:r w:rsidR="009414CD">
        <w:t>o</w:t>
      </w:r>
      <w:r w:rsidR="009414CD" w:rsidRPr="00901B0B">
        <w:t xml:space="preserve">n </w:t>
      </w:r>
      <w:r w:rsidR="00A77CEC">
        <w:t>i</w:t>
      </w:r>
      <w:r w:rsidR="009414CD" w:rsidRPr="00901B0B">
        <w:t>nvestment</w:t>
      </w:r>
    </w:p>
    <w:p w14:paraId="1C83ADFF" w14:textId="0B2D7746" w:rsidR="009414CD" w:rsidRPr="00901B0B" w:rsidRDefault="00125595" w:rsidP="005567E1">
      <w:pPr>
        <w:pStyle w:val="SABulletslevel"/>
      </w:pPr>
      <w:r>
        <w:t>e</w:t>
      </w:r>
      <w:r w:rsidRPr="00901B0B">
        <w:t xml:space="preserve">missions </w:t>
      </w:r>
      <w:r w:rsidR="009414CD" w:rsidRPr="00901B0B">
        <w:t>reduction potential (derived from carbon modelling)</w:t>
      </w:r>
      <w:r>
        <w:t>.</w:t>
      </w:r>
    </w:p>
    <w:p w14:paraId="4E8FA4DA" w14:textId="7D38ED95" w:rsidR="00125595" w:rsidRPr="000A447D" w:rsidRDefault="009414CD" w:rsidP="000A447D">
      <w:pPr>
        <w:pStyle w:val="BodyText"/>
      </w:pPr>
      <w:r w:rsidRPr="00901B0B">
        <w:t>A screening exercise was also conducted for non-GLS sites equal</w:t>
      </w:r>
      <w:r>
        <w:t>l</w:t>
      </w:r>
      <w:r w:rsidRPr="00901B0B">
        <w:t>ing or larger than 1,000m</w:t>
      </w:r>
      <w:r w:rsidRPr="005567E1">
        <w:rPr>
          <w:vertAlign w:val="superscript"/>
        </w:rPr>
        <w:t>2</w:t>
      </w:r>
      <w:r w:rsidRPr="00901B0B">
        <w:t>. Sites without a GLS and smaller than 1,000m</w:t>
      </w:r>
      <w:r w:rsidRPr="005567E1">
        <w:rPr>
          <w:vertAlign w:val="superscript"/>
        </w:rPr>
        <w:t>2</w:t>
      </w:r>
      <w:r w:rsidRPr="00901B0B">
        <w:t xml:space="preserve"> were deemed out of scope.</w:t>
      </w:r>
      <w:r w:rsidR="00125595">
        <w:t xml:space="preserve"> Eight</w:t>
      </w:r>
      <w:r w:rsidRPr="00901B0B">
        <w:t xml:space="preserve"> GLS sites and 119 non-GLS sites have been identified for LED upgrades </w:t>
      </w:r>
      <w:proofErr w:type="gramStart"/>
      <w:r w:rsidRPr="00901B0B">
        <w:t>as a result of</w:t>
      </w:r>
      <w:proofErr w:type="gramEnd"/>
      <w:r w:rsidRPr="00901B0B">
        <w:t xml:space="preserve"> the screening exercise. </w:t>
      </w:r>
    </w:p>
    <w:tbl>
      <w:tblPr>
        <w:tblStyle w:val="ServicesAustralia"/>
        <w:tblW w:w="0" w:type="auto"/>
        <w:tblLook w:val="04A0" w:firstRow="1" w:lastRow="0" w:firstColumn="1" w:lastColumn="0" w:noHBand="0" w:noVBand="1"/>
      </w:tblPr>
      <w:tblGrid>
        <w:gridCol w:w="2977"/>
        <w:gridCol w:w="7001"/>
      </w:tblGrid>
      <w:tr w:rsidR="00125595" w14:paraId="46FD8688" w14:textId="77777777" w:rsidTr="007406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16333ED1" w14:textId="67CB9C68" w:rsidR="00125595" w:rsidRDefault="00125595" w:rsidP="005567E1">
            <w:pPr>
              <w:pStyle w:val="SABodytext"/>
            </w:pPr>
            <w:r>
              <w:t>LED lighting upgrades – what the agency will do</w:t>
            </w:r>
          </w:p>
        </w:tc>
      </w:tr>
      <w:tr w:rsidR="00125595" w14:paraId="318E0F6F" w14:textId="77777777" w:rsidTr="005567E1">
        <w:trPr>
          <w:trHeight w:val="506"/>
        </w:trPr>
        <w:tc>
          <w:tcPr>
            <w:cnfStyle w:val="001000000000" w:firstRow="0" w:lastRow="0" w:firstColumn="1" w:lastColumn="0" w:oddVBand="0" w:evenVBand="0" w:oddHBand="0" w:evenHBand="0" w:firstRowFirstColumn="0" w:firstRowLastColumn="0" w:lastRowFirstColumn="0" w:lastRowLastColumn="0"/>
            <w:tcW w:w="2977" w:type="dxa"/>
          </w:tcPr>
          <w:p w14:paraId="071EE880" w14:textId="341E56D6" w:rsidR="00125595" w:rsidRPr="005567E1" w:rsidRDefault="00125595" w:rsidP="005567E1">
            <w:pPr>
              <w:pStyle w:val="SABodytext"/>
              <w:rPr>
                <w:b w:val="0"/>
                <w:bCs w:val="0"/>
              </w:rPr>
            </w:pPr>
            <w:r w:rsidRPr="004A2848">
              <w:t>Confirm leasing strategy</w:t>
            </w:r>
          </w:p>
        </w:tc>
        <w:tc>
          <w:tcPr>
            <w:tcW w:w="7001" w:type="dxa"/>
          </w:tcPr>
          <w:p w14:paraId="47CA28DA" w14:textId="47B5FBA1" w:rsidR="00125595" w:rsidRDefault="00125595" w:rsidP="005567E1">
            <w:pPr>
              <w:pStyle w:val="SABulletslevel"/>
              <w:cnfStyle w:val="000000000000" w:firstRow="0" w:lastRow="0" w:firstColumn="0" w:lastColumn="0" w:oddVBand="0" w:evenVBand="0" w:oddHBand="0" w:evenHBand="0" w:firstRowFirstColumn="0" w:firstRowLastColumn="0" w:lastRowFirstColumn="0" w:lastRowLastColumn="0"/>
            </w:pPr>
            <w:r w:rsidRPr="00E07341">
              <w:t xml:space="preserve">Confirm leasing strategy for </w:t>
            </w:r>
            <w:r w:rsidR="00A77CEC">
              <w:t>our</w:t>
            </w:r>
            <w:r w:rsidRPr="00E07341">
              <w:t xml:space="preserve"> sites</w:t>
            </w:r>
            <w:r w:rsidR="00A77CEC">
              <w:t>.</w:t>
            </w:r>
            <w:r w:rsidRPr="00E07341">
              <w:t xml:space="preserve">  </w:t>
            </w:r>
          </w:p>
        </w:tc>
      </w:tr>
      <w:tr w:rsidR="00125595" w14:paraId="5C178B43" w14:textId="77777777" w:rsidTr="005567E1">
        <w:tc>
          <w:tcPr>
            <w:cnfStyle w:val="001000000000" w:firstRow="0" w:lastRow="0" w:firstColumn="1" w:lastColumn="0" w:oddVBand="0" w:evenVBand="0" w:oddHBand="0" w:evenHBand="0" w:firstRowFirstColumn="0" w:firstRowLastColumn="0" w:lastRowFirstColumn="0" w:lastRowLastColumn="0"/>
            <w:tcW w:w="2977" w:type="dxa"/>
          </w:tcPr>
          <w:p w14:paraId="31F2DFCE" w14:textId="1A0046D2" w:rsidR="00125595" w:rsidRPr="005567E1" w:rsidRDefault="00125595" w:rsidP="005567E1">
            <w:pPr>
              <w:pStyle w:val="SABodytext"/>
              <w:rPr>
                <w:b w:val="0"/>
                <w:bCs w:val="0"/>
              </w:rPr>
            </w:pPr>
            <w:r w:rsidRPr="004A2848">
              <w:t xml:space="preserve">Detailed </w:t>
            </w:r>
            <w:r w:rsidR="00DB6D03">
              <w:t>f</w:t>
            </w:r>
            <w:r w:rsidRPr="004A2848">
              <w:t xml:space="preserve">easibility </w:t>
            </w:r>
            <w:r w:rsidR="00DB6D03">
              <w:t>s</w:t>
            </w:r>
            <w:r w:rsidRPr="004A2848">
              <w:t>tudy</w:t>
            </w:r>
          </w:p>
        </w:tc>
        <w:tc>
          <w:tcPr>
            <w:tcW w:w="7001" w:type="dxa"/>
          </w:tcPr>
          <w:p w14:paraId="4D80AA71" w14:textId="3902F28D" w:rsidR="00125595" w:rsidRPr="001613D3" w:rsidRDefault="00125595" w:rsidP="005567E1">
            <w:pPr>
              <w:pStyle w:val="SABulletslevel"/>
              <w:cnfStyle w:val="000000000000" w:firstRow="0" w:lastRow="0" w:firstColumn="0" w:lastColumn="0" w:oddVBand="0" w:evenVBand="0" w:oddHBand="0" w:evenHBand="0" w:firstRowFirstColumn="0" w:firstRowLastColumn="0" w:lastRowFirstColumn="0" w:lastRowLastColumn="0"/>
            </w:pPr>
            <w:r w:rsidRPr="00E07341">
              <w:rPr>
                <w:rFonts w:asciiTheme="minorHAnsi" w:hAnsiTheme="minorHAnsi"/>
              </w:rPr>
              <w:t>Conduct detailed feasibility study on selected sites</w:t>
            </w:r>
            <w:r>
              <w:rPr>
                <w:rFonts w:asciiTheme="minorHAnsi" w:hAnsiTheme="minorHAnsi"/>
              </w:rPr>
              <w:t>, where required.</w:t>
            </w:r>
          </w:p>
        </w:tc>
      </w:tr>
      <w:tr w:rsidR="00125595" w14:paraId="418EA311" w14:textId="77777777" w:rsidTr="005567E1">
        <w:tc>
          <w:tcPr>
            <w:cnfStyle w:val="001000000000" w:firstRow="0" w:lastRow="0" w:firstColumn="1" w:lastColumn="0" w:oddVBand="0" w:evenVBand="0" w:oddHBand="0" w:evenHBand="0" w:firstRowFirstColumn="0" w:firstRowLastColumn="0" w:lastRowFirstColumn="0" w:lastRowLastColumn="0"/>
            <w:tcW w:w="2977" w:type="dxa"/>
          </w:tcPr>
          <w:p w14:paraId="0E467DDB" w14:textId="2844D832" w:rsidR="00125595" w:rsidRDefault="00125595" w:rsidP="005567E1">
            <w:pPr>
              <w:pStyle w:val="SABodytext"/>
            </w:pPr>
            <w:r w:rsidRPr="004A2848">
              <w:t>Lease negotiations</w:t>
            </w:r>
          </w:p>
        </w:tc>
        <w:tc>
          <w:tcPr>
            <w:tcW w:w="7001" w:type="dxa"/>
          </w:tcPr>
          <w:p w14:paraId="4156FF58" w14:textId="6C308E08" w:rsidR="00125595" w:rsidRPr="001613D3" w:rsidRDefault="00125595" w:rsidP="005567E1">
            <w:pPr>
              <w:pStyle w:val="SABulletslevel"/>
              <w:cnfStyle w:val="000000000000" w:firstRow="0" w:lastRow="0" w:firstColumn="0" w:lastColumn="0" w:oddVBand="0" w:evenVBand="0" w:oddHBand="0" w:evenHBand="0" w:firstRowFirstColumn="0" w:firstRowLastColumn="0" w:lastRowFirstColumn="0" w:lastRowLastColumn="0"/>
            </w:pPr>
            <w:r w:rsidRPr="00E07341">
              <w:rPr>
                <w:rFonts w:asciiTheme="minorHAnsi" w:hAnsiTheme="minorHAnsi"/>
              </w:rPr>
              <w:t>Incorporat</w:t>
            </w:r>
            <w:r>
              <w:rPr>
                <w:rFonts w:asciiTheme="minorHAnsi" w:hAnsiTheme="minorHAnsi"/>
              </w:rPr>
              <w:t>e</w:t>
            </w:r>
            <w:r w:rsidRPr="00E07341">
              <w:rPr>
                <w:rFonts w:asciiTheme="minorHAnsi" w:hAnsiTheme="minorHAnsi"/>
              </w:rPr>
              <w:t xml:space="preserve"> LED lighting requirements into lease negotiations with landlords by Services Australia Leasing and National Accommodation Management</w:t>
            </w:r>
            <w:r>
              <w:rPr>
                <w:rFonts w:asciiTheme="minorHAnsi" w:hAnsiTheme="minorHAnsi"/>
              </w:rPr>
              <w:t>.</w:t>
            </w:r>
          </w:p>
        </w:tc>
      </w:tr>
    </w:tbl>
    <w:p w14:paraId="35B6483A" w14:textId="095E5BEC" w:rsidR="00125595" w:rsidRDefault="00CC4A46" w:rsidP="005567E1">
      <w:pPr>
        <w:pStyle w:val="Caption"/>
      </w:pPr>
      <w:r>
        <w:t>Figure 10: LED lighting upgrades – what the agency will do</w:t>
      </w:r>
    </w:p>
    <w:p w14:paraId="6C45FACE" w14:textId="627645F2" w:rsidR="00A03448" w:rsidRPr="00AE3EA3" w:rsidRDefault="00A03448" w:rsidP="00A03448">
      <w:pPr>
        <w:pStyle w:val="SAHeadinglevel3"/>
        <w:rPr>
          <w:color w:val="002060"/>
        </w:rPr>
      </w:pPr>
      <w:bookmarkStart w:id="23" w:name="_Toc218750547"/>
      <w:r w:rsidRPr="00AE3EA3">
        <w:rPr>
          <w:color w:val="002060"/>
        </w:rPr>
        <w:t xml:space="preserve">Improving </w:t>
      </w:r>
      <w:r w:rsidR="00CC4A46">
        <w:rPr>
          <w:color w:val="002060"/>
        </w:rPr>
        <w:t>b</w:t>
      </w:r>
      <w:r w:rsidRPr="00AE3EA3">
        <w:rPr>
          <w:color w:val="002060"/>
        </w:rPr>
        <w:t xml:space="preserve">uilding </w:t>
      </w:r>
      <w:bookmarkEnd w:id="19"/>
      <w:r w:rsidR="00CC4A46">
        <w:rPr>
          <w:color w:val="002060"/>
        </w:rPr>
        <w:t>p</w:t>
      </w:r>
      <w:r w:rsidR="00AF3F0F" w:rsidRPr="00AE3EA3">
        <w:rPr>
          <w:color w:val="002060"/>
        </w:rPr>
        <w:t>erformance</w:t>
      </w:r>
      <w:bookmarkEnd w:id="23"/>
    </w:p>
    <w:p w14:paraId="08F7C354" w14:textId="6E662DB4" w:rsidR="007F6AB4" w:rsidRPr="00AE3EA3" w:rsidRDefault="007F6AB4" w:rsidP="00CA3F80">
      <w:pPr>
        <w:pStyle w:val="SAHeadinglevel4"/>
        <w:rPr>
          <w:b/>
          <w:bCs w:val="0"/>
          <w:color w:val="002060"/>
        </w:rPr>
      </w:pPr>
      <w:r w:rsidRPr="00AE3EA3">
        <w:rPr>
          <w:b/>
          <w:bCs w:val="0"/>
          <w:color w:val="002060"/>
        </w:rPr>
        <w:t xml:space="preserve">New </w:t>
      </w:r>
      <w:r w:rsidR="00CC4A46">
        <w:rPr>
          <w:b/>
          <w:bCs w:val="0"/>
          <w:color w:val="002060"/>
        </w:rPr>
        <w:t>b</w:t>
      </w:r>
      <w:r w:rsidR="00CC4A46" w:rsidRPr="00AE3EA3">
        <w:rPr>
          <w:b/>
          <w:bCs w:val="0"/>
          <w:color w:val="002060"/>
        </w:rPr>
        <w:t>uildings</w:t>
      </w:r>
    </w:p>
    <w:p w14:paraId="1A8AA621" w14:textId="504D23A2" w:rsidR="002D1AD7" w:rsidRDefault="004B3076" w:rsidP="00160F40">
      <w:pPr>
        <w:pStyle w:val="KeyInfo"/>
        <w:rPr>
          <w:b/>
          <w:bCs/>
        </w:rPr>
      </w:pPr>
      <w:r>
        <w:rPr>
          <w:b/>
          <w:bCs/>
        </w:rPr>
        <w:t xml:space="preserve">Action: </w:t>
      </w:r>
      <w:r w:rsidR="00406C11">
        <w:rPr>
          <w:b/>
          <w:bCs/>
        </w:rPr>
        <w:t>F</w:t>
      </w:r>
      <w:r w:rsidR="00934572">
        <w:rPr>
          <w:b/>
          <w:bCs/>
        </w:rPr>
        <w:t>or n</w:t>
      </w:r>
      <w:r w:rsidR="00187F41" w:rsidRPr="002C2336">
        <w:rPr>
          <w:b/>
          <w:bCs/>
        </w:rPr>
        <w:t xml:space="preserve">ew </w:t>
      </w:r>
      <w:r w:rsidR="00934572">
        <w:rPr>
          <w:b/>
          <w:bCs/>
        </w:rPr>
        <w:t>o</w:t>
      </w:r>
      <w:r w:rsidR="00187F41" w:rsidRPr="002C2336">
        <w:rPr>
          <w:b/>
          <w:bCs/>
        </w:rPr>
        <w:t>ffice space</w:t>
      </w:r>
      <w:r w:rsidR="00934572">
        <w:rPr>
          <w:b/>
          <w:bCs/>
        </w:rPr>
        <w:t>s</w:t>
      </w:r>
      <w:r w:rsidR="00187F41" w:rsidRPr="002C2336">
        <w:rPr>
          <w:b/>
          <w:bCs/>
        </w:rPr>
        <w:t xml:space="preserve"> greater than $15 million in value</w:t>
      </w:r>
      <w:r w:rsidR="003A5837">
        <w:rPr>
          <w:b/>
          <w:bCs/>
        </w:rPr>
        <w:t>, they must o</w:t>
      </w:r>
      <w:r w:rsidR="00187F41" w:rsidRPr="006870DB">
        <w:rPr>
          <w:b/>
          <w:bCs/>
        </w:rPr>
        <w:t>btain</w:t>
      </w:r>
      <w:r w:rsidR="00187F41" w:rsidRPr="002C2336">
        <w:rPr>
          <w:b/>
          <w:bCs/>
        </w:rPr>
        <w:t xml:space="preserve"> </w:t>
      </w:r>
      <w:r w:rsidR="00187F41" w:rsidRPr="006870DB">
        <w:rPr>
          <w:b/>
          <w:bCs/>
        </w:rPr>
        <w:t>Green Building Council of Australia Green Star Design and As Built rating of 4</w:t>
      </w:r>
      <w:r w:rsidR="003A5837">
        <w:rPr>
          <w:b/>
          <w:bCs/>
        </w:rPr>
        <w:t xml:space="preserve">, </w:t>
      </w:r>
      <w:r w:rsidR="00187F41" w:rsidRPr="006870DB">
        <w:rPr>
          <w:b/>
          <w:bCs/>
        </w:rPr>
        <w:t xml:space="preserve">NABERS </w:t>
      </w:r>
      <w:r w:rsidR="00160F40">
        <w:rPr>
          <w:b/>
          <w:bCs/>
        </w:rPr>
        <w:t>e</w:t>
      </w:r>
      <w:r w:rsidR="00187F41" w:rsidRPr="006870DB">
        <w:rPr>
          <w:b/>
          <w:bCs/>
        </w:rPr>
        <w:t>nergy rating of 6</w:t>
      </w:r>
      <w:r w:rsidR="00160F40">
        <w:rPr>
          <w:b/>
          <w:bCs/>
        </w:rPr>
        <w:t>-s</w:t>
      </w:r>
      <w:r w:rsidR="00187F41" w:rsidRPr="006870DB">
        <w:rPr>
          <w:b/>
          <w:bCs/>
        </w:rPr>
        <w:t>tar or higher</w:t>
      </w:r>
      <w:r w:rsidR="00160F40">
        <w:rPr>
          <w:b/>
          <w:bCs/>
        </w:rPr>
        <w:t xml:space="preserve"> and be a</w:t>
      </w:r>
      <w:r w:rsidR="00187F41" w:rsidRPr="002C2336">
        <w:rPr>
          <w:b/>
          <w:bCs/>
        </w:rPr>
        <w:t>ll-electric</w:t>
      </w:r>
      <w:r w:rsidR="00187F41">
        <w:rPr>
          <w:b/>
          <w:bCs/>
        </w:rPr>
        <w:t xml:space="preserve"> buildings</w:t>
      </w:r>
      <w:r w:rsidR="00160F40">
        <w:rPr>
          <w:b/>
          <w:bCs/>
        </w:rPr>
        <w:t>, i</w:t>
      </w:r>
      <w:r w:rsidR="00187F41" w:rsidRPr="002C2336">
        <w:rPr>
          <w:b/>
          <w:bCs/>
        </w:rPr>
        <w:t>nclud</w:t>
      </w:r>
      <w:r w:rsidR="00160F40">
        <w:rPr>
          <w:b/>
          <w:bCs/>
        </w:rPr>
        <w:t>ing</w:t>
      </w:r>
      <w:r w:rsidR="00187F41" w:rsidRPr="002C2336">
        <w:rPr>
          <w:b/>
          <w:bCs/>
        </w:rPr>
        <w:t xml:space="preserve"> building heating, cooling and water heating</w:t>
      </w:r>
      <w:r w:rsidR="00160F40">
        <w:rPr>
          <w:b/>
          <w:bCs/>
        </w:rPr>
        <w:t>.</w:t>
      </w:r>
    </w:p>
    <w:p w14:paraId="22D79002" w14:textId="33D44E7D" w:rsidR="00B66AC3" w:rsidRDefault="004450E8" w:rsidP="000A447D">
      <w:pPr>
        <w:pStyle w:val="BodyText"/>
        <w:rPr>
          <w:rFonts w:eastAsia="Roboto"/>
          <w:lang w:val="en-US" w:eastAsia="en-US"/>
        </w:rPr>
      </w:pPr>
      <w:r>
        <w:rPr>
          <w:rFonts w:eastAsia="Roboto"/>
          <w:lang w:val="en-US" w:eastAsia="en-US"/>
        </w:rPr>
        <w:t xml:space="preserve">The NZGO </w:t>
      </w:r>
      <w:r w:rsidR="00DB6D03">
        <w:rPr>
          <w:rFonts w:eastAsia="Roboto"/>
          <w:lang w:val="en-US" w:eastAsia="en-US"/>
        </w:rPr>
        <w:t xml:space="preserve">strategy </w:t>
      </w:r>
      <w:r>
        <w:rPr>
          <w:rFonts w:eastAsia="Roboto"/>
          <w:lang w:val="en-US" w:eastAsia="en-US"/>
        </w:rPr>
        <w:t>introduce</w:t>
      </w:r>
      <w:r w:rsidR="00B06476">
        <w:rPr>
          <w:rFonts w:eastAsia="Roboto"/>
          <w:lang w:val="en-US" w:eastAsia="en-US"/>
        </w:rPr>
        <w:t>d</w:t>
      </w:r>
      <w:r>
        <w:rPr>
          <w:rFonts w:eastAsia="Roboto"/>
          <w:lang w:val="en-US" w:eastAsia="en-US"/>
        </w:rPr>
        <w:t xml:space="preserve"> </w:t>
      </w:r>
      <w:r w:rsidR="00934572">
        <w:rPr>
          <w:rFonts w:eastAsia="Roboto"/>
          <w:lang w:val="en-US" w:eastAsia="en-US"/>
        </w:rPr>
        <w:t>several</w:t>
      </w:r>
      <w:r w:rsidR="00A03448" w:rsidRPr="001D4C6F">
        <w:rPr>
          <w:rFonts w:eastAsia="Roboto"/>
          <w:lang w:val="en-US" w:eastAsia="en-US"/>
        </w:rPr>
        <w:t xml:space="preserve"> targets</w:t>
      </w:r>
      <w:r w:rsidR="00F37DD9">
        <w:rPr>
          <w:rFonts w:eastAsia="Roboto"/>
          <w:lang w:val="en-US" w:eastAsia="en-US"/>
        </w:rPr>
        <w:t xml:space="preserve"> </w:t>
      </w:r>
      <w:r w:rsidR="00A03448" w:rsidRPr="001D4C6F">
        <w:rPr>
          <w:rFonts w:eastAsia="Roboto"/>
          <w:lang w:val="en-US" w:eastAsia="en-US"/>
        </w:rPr>
        <w:t xml:space="preserve">for all new buildings and office </w:t>
      </w:r>
      <w:r w:rsidR="00A32A54" w:rsidRPr="001D4C6F">
        <w:rPr>
          <w:rFonts w:eastAsia="Roboto"/>
          <w:lang w:val="en-US" w:eastAsia="en-US"/>
        </w:rPr>
        <w:t>space</w:t>
      </w:r>
      <w:r w:rsidR="002806B8">
        <w:rPr>
          <w:rFonts w:eastAsia="Roboto"/>
          <w:lang w:val="en-US" w:eastAsia="en-US"/>
        </w:rPr>
        <w:t>s</w:t>
      </w:r>
      <w:r w:rsidR="00934572">
        <w:rPr>
          <w:rFonts w:eastAsia="Roboto"/>
          <w:lang w:val="en-US" w:eastAsia="en-US"/>
        </w:rPr>
        <w:t>.</w:t>
      </w:r>
      <w:r w:rsidR="00A03448" w:rsidRPr="001D4C6F">
        <w:rPr>
          <w:rFonts w:eastAsia="Roboto"/>
          <w:lang w:val="en-US" w:eastAsia="en-US"/>
        </w:rPr>
        <w:t xml:space="preserve"> </w:t>
      </w:r>
      <w:r w:rsidR="00934572">
        <w:rPr>
          <w:rFonts w:eastAsia="Roboto"/>
          <w:lang w:val="en-US" w:eastAsia="en-US"/>
        </w:rPr>
        <w:t>T</w:t>
      </w:r>
      <w:r w:rsidR="00B06476">
        <w:rPr>
          <w:rFonts w:eastAsia="Roboto"/>
          <w:lang w:val="en-US" w:eastAsia="en-US"/>
        </w:rPr>
        <w:t>hese</w:t>
      </w:r>
      <w:r w:rsidR="00A03448" w:rsidRPr="001D4C6F">
        <w:rPr>
          <w:rFonts w:eastAsia="Roboto"/>
          <w:lang w:val="en-US" w:eastAsia="en-US"/>
        </w:rPr>
        <w:t xml:space="preserve"> apply to the </w:t>
      </w:r>
      <w:r w:rsidR="00934572">
        <w:rPr>
          <w:rFonts w:eastAsia="Roboto"/>
          <w:lang w:val="en-US" w:eastAsia="en-US"/>
        </w:rPr>
        <w:t>a</w:t>
      </w:r>
      <w:r w:rsidR="00934572" w:rsidRPr="001D4C6F">
        <w:rPr>
          <w:rFonts w:eastAsia="Roboto"/>
          <w:lang w:val="en-US" w:eastAsia="en-US"/>
        </w:rPr>
        <w:t xml:space="preserve">gency </w:t>
      </w:r>
      <w:r w:rsidR="00B06476">
        <w:rPr>
          <w:rFonts w:eastAsia="Roboto"/>
          <w:lang w:val="en-US" w:eastAsia="en-US"/>
        </w:rPr>
        <w:t>as</w:t>
      </w:r>
      <w:r w:rsidR="00A03448" w:rsidRPr="001D4C6F">
        <w:rPr>
          <w:rFonts w:eastAsia="Roboto"/>
          <w:lang w:val="en-US" w:eastAsia="en-US"/>
        </w:rPr>
        <w:t xml:space="preserve"> outlined in Appendix </w:t>
      </w:r>
      <w:r w:rsidR="00C37F36">
        <w:rPr>
          <w:rFonts w:eastAsia="Roboto"/>
          <w:lang w:val="en-US" w:eastAsia="en-US"/>
        </w:rPr>
        <w:t>A</w:t>
      </w:r>
      <w:r w:rsidR="00FC3E63">
        <w:rPr>
          <w:rFonts w:eastAsia="Roboto"/>
          <w:lang w:val="en-US" w:eastAsia="en-US"/>
        </w:rPr>
        <w:t>.</w:t>
      </w:r>
      <w:r w:rsidR="00A03448" w:rsidRPr="001D4C6F">
        <w:rPr>
          <w:rFonts w:eastAsia="Roboto"/>
          <w:lang w:val="en-US" w:eastAsia="en-US"/>
        </w:rPr>
        <w:t xml:space="preserve"> </w:t>
      </w:r>
    </w:p>
    <w:p w14:paraId="2DA621CD" w14:textId="3BEF0943" w:rsidR="00A03448" w:rsidRPr="00142673" w:rsidRDefault="00A03448" w:rsidP="000A447D">
      <w:pPr>
        <w:pStyle w:val="BodyText"/>
        <w:rPr>
          <w:rFonts w:eastAsia="Roboto"/>
          <w:lang w:val="en-US" w:eastAsia="en-US"/>
        </w:rPr>
      </w:pPr>
      <w:r w:rsidRPr="001D4C6F">
        <w:rPr>
          <w:rFonts w:eastAsia="Roboto"/>
          <w:lang w:val="en-US" w:eastAsia="en-US"/>
        </w:rPr>
        <w:t>The following section</w:t>
      </w:r>
      <w:r w:rsidR="00F63B3E">
        <w:rPr>
          <w:rFonts w:eastAsia="Roboto"/>
          <w:lang w:val="en-US" w:eastAsia="en-US"/>
        </w:rPr>
        <w:t>s</w:t>
      </w:r>
      <w:r w:rsidRPr="001D4C6F">
        <w:rPr>
          <w:rFonts w:eastAsia="Roboto"/>
          <w:lang w:val="en-US" w:eastAsia="en-US"/>
        </w:rPr>
        <w:t xml:space="preserve"> outline how </w:t>
      </w:r>
      <w:r w:rsidR="00934572">
        <w:rPr>
          <w:rFonts w:eastAsia="Roboto"/>
          <w:lang w:val="en-US" w:eastAsia="en-US"/>
        </w:rPr>
        <w:t>we’</w:t>
      </w:r>
      <w:r w:rsidRPr="001D4C6F">
        <w:rPr>
          <w:rFonts w:eastAsia="Roboto"/>
          <w:lang w:val="en-US" w:eastAsia="en-US"/>
        </w:rPr>
        <w:t>ll achieve these targets</w:t>
      </w:r>
      <w:r w:rsidR="003A5837">
        <w:rPr>
          <w:rFonts w:eastAsia="Roboto"/>
          <w:lang w:val="en-US" w:eastAsia="en-US"/>
        </w:rPr>
        <w:t xml:space="preserve"> </w:t>
      </w:r>
      <w:r w:rsidR="00F63B3E">
        <w:rPr>
          <w:rFonts w:eastAsia="Roboto"/>
          <w:lang w:val="en-US" w:eastAsia="en-US"/>
        </w:rPr>
        <w:t>and improve energy efficiency</w:t>
      </w:r>
      <w:r w:rsidR="00790723">
        <w:rPr>
          <w:rFonts w:eastAsia="Roboto"/>
          <w:lang w:val="en-US" w:eastAsia="en-US"/>
        </w:rPr>
        <w:t xml:space="preserve"> </w:t>
      </w:r>
      <w:r w:rsidRPr="00142673">
        <w:rPr>
          <w:rFonts w:eastAsia="Roboto"/>
          <w:lang w:val="en-US" w:eastAsia="en-US"/>
        </w:rPr>
        <w:t>for new buildings</w:t>
      </w:r>
      <w:r w:rsidR="00790723">
        <w:rPr>
          <w:rFonts w:eastAsia="Roboto"/>
          <w:lang w:val="en-US" w:eastAsia="en-US"/>
        </w:rPr>
        <w:t>,</w:t>
      </w:r>
      <w:r w:rsidRPr="00142673">
        <w:rPr>
          <w:rFonts w:eastAsia="Roboto"/>
          <w:lang w:val="en-US" w:eastAsia="en-US"/>
        </w:rPr>
        <w:t xml:space="preserve"> </w:t>
      </w:r>
      <w:r w:rsidR="006811D0">
        <w:rPr>
          <w:rFonts w:eastAsia="Roboto"/>
          <w:lang w:val="en-US" w:eastAsia="en-US"/>
        </w:rPr>
        <w:t xml:space="preserve">including those </w:t>
      </w:r>
      <w:r w:rsidR="00F63B3E">
        <w:rPr>
          <w:rFonts w:eastAsia="Roboto"/>
          <w:lang w:val="en-US" w:eastAsia="en-US"/>
        </w:rPr>
        <w:t xml:space="preserve">applicable </w:t>
      </w:r>
      <w:r w:rsidRPr="00142673">
        <w:rPr>
          <w:rFonts w:eastAsia="Roboto"/>
          <w:lang w:val="en-US" w:eastAsia="en-US"/>
        </w:rPr>
        <w:t xml:space="preserve">from </w:t>
      </w:r>
      <w:r w:rsidR="00F63B3E">
        <w:rPr>
          <w:rFonts w:eastAsia="Roboto"/>
          <w:lang w:val="en-US" w:eastAsia="en-US"/>
        </w:rPr>
        <w:t>1 July 2025</w:t>
      </w:r>
      <w:r w:rsidRPr="00142673">
        <w:rPr>
          <w:rFonts w:eastAsia="Roboto"/>
          <w:lang w:val="en-US" w:eastAsia="en-US"/>
        </w:rPr>
        <w:t xml:space="preserve"> </w:t>
      </w:r>
      <w:r w:rsidR="00F63B3E">
        <w:rPr>
          <w:rFonts w:eastAsia="Roboto"/>
          <w:lang w:val="en-US" w:eastAsia="en-US"/>
        </w:rPr>
        <w:t xml:space="preserve">and 1 </w:t>
      </w:r>
      <w:r w:rsidRPr="00142673">
        <w:rPr>
          <w:rFonts w:eastAsia="Roboto"/>
          <w:lang w:val="en-US" w:eastAsia="en-US"/>
        </w:rPr>
        <w:t>July 2026</w:t>
      </w:r>
      <w:r w:rsidR="006870DB">
        <w:rPr>
          <w:rFonts w:eastAsia="Roboto"/>
          <w:lang w:val="en-US" w:eastAsia="en-US"/>
        </w:rPr>
        <w:t>.</w:t>
      </w:r>
    </w:p>
    <w:p w14:paraId="7542F606" w14:textId="5C432E0C" w:rsidR="00A03448" w:rsidRPr="00AE3EA3" w:rsidRDefault="00A03448" w:rsidP="00A03448">
      <w:pPr>
        <w:pStyle w:val="SAHeadinglevel4"/>
        <w:rPr>
          <w:b/>
          <w:bCs w:val="0"/>
          <w:color w:val="002060"/>
        </w:rPr>
      </w:pPr>
      <w:r w:rsidRPr="00AE3EA3">
        <w:rPr>
          <w:b/>
          <w:bCs w:val="0"/>
          <w:color w:val="002060"/>
        </w:rPr>
        <w:t xml:space="preserve">Existing </w:t>
      </w:r>
      <w:r w:rsidR="003A5837">
        <w:rPr>
          <w:b/>
          <w:bCs w:val="0"/>
          <w:color w:val="002060"/>
        </w:rPr>
        <w:t>b</w:t>
      </w:r>
      <w:r w:rsidR="003A5837" w:rsidRPr="00AE3EA3">
        <w:rPr>
          <w:b/>
          <w:bCs w:val="0"/>
          <w:color w:val="002060"/>
        </w:rPr>
        <w:t>uildings</w:t>
      </w:r>
    </w:p>
    <w:p w14:paraId="106505C7" w14:textId="383BAABC" w:rsidR="00187F41" w:rsidRDefault="004B3076" w:rsidP="00187F41">
      <w:pPr>
        <w:pStyle w:val="KeyInfo"/>
      </w:pPr>
      <w:r>
        <w:rPr>
          <w:b/>
        </w:rPr>
        <w:t xml:space="preserve">Action: </w:t>
      </w:r>
      <w:r w:rsidR="00406C11">
        <w:rPr>
          <w:b/>
        </w:rPr>
        <w:t>F</w:t>
      </w:r>
      <w:r w:rsidR="00187F41" w:rsidRPr="00142673">
        <w:rPr>
          <w:b/>
        </w:rPr>
        <w:t>rom 1 July 2025</w:t>
      </w:r>
      <w:r w:rsidR="00187F41">
        <w:rPr>
          <w:b/>
        </w:rPr>
        <w:t>,</w:t>
      </w:r>
      <w:r w:rsidR="00187F41" w:rsidRPr="00142673">
        <w:rPr>
          <w:b/>
        </w:rPr>
        <w:t xml:space="preserve"> </w:t>
      </w:r>
      <w:r w:rsidR="00160F40">
        <w:rPr>
          <w:b/>
        </w:rPr>
        <w:t>o</w:t>
      </w:r>
      <w:r w:rsidR="00187F41" w:rsidRPr="00142673">
        <w:rPr>
          <w:b/>
        </w:rPr>
        <w:t>btain NABERS ratings of 5.5 stars (4.5 for regional locations) to leases of 4 or more years</w:t>
      </w:r>
      <w:r w:rsidR="00160F40">
        <w:rPr>
          <w:b/>
        </w:rPr>
        <w:t xml:space="preserve"> </w:t>
      </w:r>
      <w:r w:rsidR="00187F41" w:rsidRPr="00142673">
        <w:rPr>
          <w:b/>
        </w:rPr>
        <w:t>and office space</w:t>
      </w:r>
      <w:r w:rsidR="00160F40">
        <w:rPr>
          <w:b/>
        </w:rPr>
        <w:t>s that are</w:t>
      </w:r>
      <w:r w:rsidR="00187F41" w:rsidRPr="00142673">
        <w:rPr>
          <w:b/>
        </w:rPr>
        <w:t xml:space="preserve"> 1,00</w:t>
      </w:r>
      <w:r w:rsidR="00160F40">
        <w:rPr>
          <w:b/>
          <w:bCs/>
        </w:rPr>
        <w:t>0m</w:t>
      </w:r>
      <w:r w:rsidR="00160F40">
        <w:rPr>
          <w:b/>
          <w:bCs/>
          <w:vertAlign w:val="superscript"/>
        </w:rPr>
        <w:t>2</w:t>
      </w:r>
      <w:r w:rsidR="00160F40">
        <w:rPr>
          <w:b/>
          <w:bCs/>
        </w:rPr>
        <w:t>.</w:t>
      </w:r>
    </w:p>
    <w:p w14:paraId="24E54CED" w14:textId="3475CF18" w:rsidR="00A03448" w:rsidRPr="00142673" w:rsidRDefault="009135B1" w:rsidP="000A447D">
      <w:pPr>
        <w:pStyle w:val="BodyText"/>
      </w:pPr>
      <w:r>
        <w:t>We’ll</w:t>
      </w:r>
      <w:r w:rsidR="00F01601">
        <w:t xml:space="preserve"> i</w:t>
      </w:r>
      <w:r w:rsidR="00A03448" w:rsidRPr="00142673">
        <w:t>mprove energy efficiency through certifications and ratings</w:t>
      </w:r>
      <w:r w:rsidR="00F01601">
        <w:t>.</w:t>
      </w:r>
      <w:r w:rsidR="00A03448" w:rsidRPr="00142673">
        <w:t xml:space="preserve"> National As Built Environmental Rating System (NABERS) is an environmental performance rating system assigned to </w:t>
      </w:r>
      <w:r w:rsidR="003A5837">
        <w:t xml:space="preserve">agency </w:t>
      </w:r>
      <w:r w:rsidR="00A03448" w:rsidRPr="00142673">
        <w:t>buildings</w:t>
      </w:r>
      <w:r w:rsidR="00B06476">
        <w:t xml:space="preserve"> where applicable</w:t>
      </w:r>
      <w:r w:rsidR="00A03448" w:rsidRPr="00142673">
        <w:t>. It</w:t>
      </w:r>
      <w:r w:rsidR="003A5837">
        <w:t>’</w:t>
      </w:r>
      <w:r w:rsidR="00A03448" w:rsidRPr="00142673">
        <w:t>s used to accurately measure the environmental performance of a building and identify areas for future improvement.</w:t>
      </w:r>
    </w:p>
    <w:p w14:paraId="049ADE70" w14:textId="38691622" w:rsidR="00A03448" w:rsidRPr="003A5837" w:rsidRDefault="006870DB" w:rsidP="000A447D">
      <w:pPr>
        <w:pStyle w:val="BodyText"/>
        <w:rPr>
          <w:bCs/>
        </w:rPr>
      </w:pPr>
      <w:r w:rsidRPr="00142673">
        <w:rPr>
          <w:bCs/>
        </w:rPr>
        <w:t xml:space="preserve">To achieve this, </w:t>
      </w:r>
      <w:r w:rsidR="009135B1">
        <w:rPr>
          <w:bCs/>
        </w:rPr>
        <w:t>we</w:t>
      </w:r>
      <w:r w:rsidR="003A5837" w:rsidRPr="00142673">
        <w:rPr>
          <w:bCs/>
        </w:rPr>
        <w:t xml:space="preserve"> </w:t>
      </w:r>
      <w:r w:rsidRPr="00142673">
        <w:rPr>
          <w:bCs/>
        </w:rPr>
        <w:t>incorporate emissions reduction activities</w:t>
      </w:r>
      <w:r w:rsidR="00AD6832">
        <w:rPr>
          <w:bCs/>
        </w:rPr>
        <w:t xml:space="preserve"> that positively impact NABERS ratings</w:t>
      </w:r>
      <w:r w:rsidRPr="00142673">
        <w:rPr>
          <w:bCs/>
        </w:rPr>
        <w:t xml:space="preserve"> (such as LED lighting and </w:t>
      </w:r>
      <w:r w:rsidR="00DB6D03">
        <w:rPr>
          <w:bCs/>
        </w:rPr>
        <w:t>s</w:t>
      </w:r>
      <w:r w:rsidR="00DB6D03" w:rsidRPr="00142673">
        <w:rPr>
          <w:bCs/>
        </w:rPr>
        <w:t xml:space="preserve">olar </w:t>
      </w:r>
      <w:r w:rsidRPr="00142673">
        <w:rPr>
          <w:bCs/>
        </w:rPr>
        <w:t xml:space="preserve">PV) into </w:t>
      </w:r>
      <w:r w:rsidR="009135B1">
        <w:rPr>
          <w:bCs/>
        </w:rPr>
        <w:t>l</w:t>
      </w:r>
      <w:r w:rsidRPr="00142673">
        <w:rPr>
          <w:bCs/>
        </w:rPr>
        <w:t>ease negotiations</w:t>
      </w:r>
      <w:r w:rsidRPr="00142673">
        <w:rPr>
          <w:b/>
        </w:rPr>
        <w:t>.</w:t>
      </w:r>
      <w:r w:rsidR="007C5295">
        <w:rPr>
          <w:b/>
        </w:rPr>
        <w:t xml:space="preserve"> </w:t>
      </w:r>
      <w:r w:rsidR="009135B1">
        <w:rPr>
          <w:bCs/>
        </w:rPr>
        <w:t>We</w:t>
      </w:r>
      <w:r w:rsidR="007C5295" w:rsidRPr="005567E1">
        <w:rPr>
          <w:bCs/>
        </w:rPr>
        <w:t xml:space="preserve"> also incorporate NZGO requirements into lease events prior to 1 July 2025 to future</w:t>
      </w:r>
      <w:r w:rsidR="003A5837">
        <w:rPr>
          <w:bCs/>
        </w:rPr>
        <w:t>-</w:t>
      </w:r>
      <w:r w:rsidR="007C5295" w:rsidRPr="005567E1">
        <w:rPr>
          <w:bCs/>
        </w:rPr>
        <w:t>proof energy efficiency of leased buildings.</w:t>
      </w:r>
    </w:p>
    <w:p w14:paraId="44542A55" w14:textId="0D3047F4" w:rsidR="00A03448" w:rsidRPr="00AE3EA3" w:rsidRDefault="00A03448" w:rsidP="00A03448">
      <w:pPr>
        <w:pStyle w:val="SAHeadinglevel4"/>
        <w:rPr>
          <w:b/>
          <w:bCs w:val="0"/>
          <w:color w:val="002060"/>
        </w:rPr>
      </w:pPr>
      <w:r w:rsidRPr="00AE3EA3">
        <w:rPr>
          <w:b/>
          <w:bCs w:val="0"/>
          <w:color w:val="002060"/>
        </w:rPr>
        <w:t xml:space="preserve">Office </w:t>
      </w:r>
      <w:proofErr w:type="gramStart"/>
      <w:r w:rsidR="003A5837">
        <w:rPr>
          <w:b/>
          <w:bCs w:val="0"/>
          <w:color w:val="002060"/>
        </w:rPr>
        <w:t>f</w:t>
      </w:r>
      <w:r w:rsidRPr="00AE3EA3">
        <w:rPr>
          <w:b/>
          <w:bCs w:val="0"/>
          <w:color w:val="002060"/>
        </w:rPr>
        <w:t>it</w:t>
      </w:r>
      <w:r w:rsidR="003A5837">
        <w:rPr>
          <w:b/>
          <w:bCs w:val="0"/>
          <w:color w:val="002060"/>
        </w:rPr>
        <w:t>-</w:t>
      </w:r>
      <w:r w:rsidRPr="00AE3EA3">
        <w:rPr>
          <w:b/>
          <w:bCs w:val="0"/>
          <w:color w:val="002060"/>
        </w:rPr>
        <w:t>outs</w:t>
      </w:r>
      <w:proofErr w:type="gramEnd"/>
      <w:r w:rsidR="003A5837">
        <w:rPr>
          <w:b/>
          <w:bCs w:val="0"/>
          <w:color w:val="002060"/>
        </w:rPr>
        <w:t xml:space="preserve"> or r</w:t>
      </w:r>
      <w:r w:rsidRPr="00AE3EA3">
        <w:rPr>
          <w:b/>
          <w:bCs w:val="0"/>
          <w:color w:val="002060"/>
        </w:rPr>
        <w:t>efurbishments</w:t>
      </w:r>
    </w:p>
    <w:p w14:paraId="1D9BA635" w14:textId="7EC32558" w:rsidR="004862AD" w:rsidRPr="002C2336" w:rsidRDefault="004B3076" w:rsidP="00187F41">
      <w:pPr>
        <w:pStyle w:val="KeyInfo"/>
        <w:rPr>
          <w:b/>
          <w:bCs/>
        </w:rPr>
      </w:pPr>
      <w:r>
        <w:rPr>
          <w:b/>
          <w:bCs/>
        </w:rPr>
        <w:t xml:space="preserve">Action: </w:t>
      </w:r>
      <w:r w:rsidR="00406C11">
        <w:rPr>
          <w:b/>
          <w:bCs/>
        </w:rPr>
        <w:t>F</w:t>
      </w:r>
      <w:r w:rsidR="00187F41" w:rsidRPr="002C2336">
        <w:rPr>
          <w:b/>
          <w:bCs/>
        </w:rPr>
        <w:t xml:space="preserve">rom 1 July 2026, </w:t>
      </w:r>
      <w:r w:rsidR="00B83EC4">
        <w:rPr>
          <w:b/>
          <w:bCs/>
        </w:rPr>
        <w:t>we’ll</w:t>
      </w:r>
      <w:r w:rsidR="00187F41" w:rsidRPr="002C2336">
        <w:rPr>
          <w:b/>
          <w:bCs/>
        </w:rPr>
        <w:t xml:space="preserve"> achieve a 5.5 Star NABERS </w:t>
      </w:r>
      <w:r w:rsidR="00160F40">
        <w:rPr>
          <w:b/>
          <w:bCs/>
        </w:rPr>
        <w:t>e</w:t>
      </w:r>
      <w:r w:rsidR="00187F41" w:rsidRPr="002C2336">
        <w:rPr>
          <w:b/>
          <w:bCs/>
        </w:rPr>
        <w:t>nergy rating for fit</w:t>
      </w:r>
      <w:r w:rsidR="00160F40">
        <w:rPr>
          <w:b/>
          <w:bCs/>
        </w:rPr>
        <w:t>-</w:t>
      </w:r>
      <w:r w:rsidR="00187F41" w:rsidRPr="002C2336">
        <w:rPr>
          <w:b/>
          <w:bCs/>
        </w:rPr>
        <w:t>outs</w:t>
      </w:r>
      <w:r w:rsidR="00160F40">
        <w:rPr>
          <w:b/>
          <w:bCs/>
        </w:rPr>
        <w:t xml:space="preserve"> or </w:t>
      </w:r>
      <w:r w:rsidR="00187F41" w:rsidRPr="002C2336">
        <w:rPr>
          <w:b/>
          <w:bCs/>
        </w:rPr>
        <w:t xml:space="preserve">refurbishments for leases of 4 or more years, and </w:t>
      </w:r>
      <w:r w:rsidR="00160F40" w:rsidRPr="00142673">
        <w:rPr>
          <w:b/>
        </w:rPr>
        <w:t>office space</w:t>
      </w:r>
      <w:r w:rsidR="00160F40">
        <w:rPr>
          <w:b/>
        </w:rPr>
        <w:t>s that are</w:t>
      </w:r>
      <w:r w:rsidR="00160F40" w:rsidRPr="00142673">
        <w:rPr>
          <w:b/>
        </w:rPr>
        <w:t xml:space="preserve"> 1,00</w:t>
      </w:r>
      <w:r w:rsidR="00160F40">
        <w:rPr>
          <w:b/>
          <w:bCs/>
        </w:rPr>
        <w:t>0m</w:t>
      </w:r>
      <w:r w:rsidR="00160F40">
        <w:rPr>
          <w:b/>
          <w:bCs/>
          <w:vertAlign w:val="superscript"/>
        </w:rPr>
        <w:t>2</w:t>
      </w:r>
      <w:r w:rsidR="00160F40">
        <w:rPr>
          <w:b/>
          <w:bCs/>
        </w:rPr>
        <w:t>. We’ll a</w:t>
      </w:r>
      <w:r w:rsidR="004862AD">
        <w:rPr>
          <w:b/>
          <w:bCs/>
        </w:rPr>
        <w:t xml:space="preserve">mend </w:t>
      </w:r>
      <w:r w:rsidR="00160F40">
        <w:rPr>
          <w:b/>
          <w:bCs/>
        </w:rPr>
        <w:t>the agency’s fit-out guide.</w:t>
      </w:r>
    </w:p>
    <w:p w14:paraId="6BE8C8D5" w14:textId="3232C857" w:rsidR="00A03448" w:rsidRPr="00142673" w:rsidRDefault="00A03448" w:rsidP="000A447D">
      <w:pPr>
        <w:pStyle w:val="BodyText"/>
      </w:pPr>
      <w:r w:rsidRPr="00142673">
        <w:t>An office fit</w:t>
      </w:r>
      <w:r w:rsidR="00160F40">
        <w:t>-</w:t>
      </w:r>
      <w:r w:rsidRPr="00142673">
        <w:t>out</w:t>
      </w:r>
      <w:r w:rsidR="00160F40">
        <w:t xml:space="preserve"> or </w:t>
      </w:r>
      <w:r w:rsidRPr="00142673">
        <w:t xml:space="preserve">refurbishment represents an opportunity to </w:t>
      </w:r>
      <w:r w:rsidR="00160F40">
        <w:t>make sure</w:t>
      </w:r>
      <w:r w:rsidR="00160F40" w:rsidRPr="00142673">
        <w:t xml:space="preserve"> </w:t>
      </w:r>
      <w:r w:rsidR="00B83EC4">
        <w:t>our</w:t>
      </w:r>
      <w:r w:rsidR="00160F40" w:rsidRPr="00142673">
        <w:t xml:space="preserve"> </w:t>
      </w:r>
      <w:r w:rsidRPr="00142673">
        <w:t>office space</w:t>
      </w:r>
      <w:r w:rsidR="00B83EC4">
        <w:t>s</w:t>
      </w:r>
      <w:r w:rsidRPr="00142673">
        <w:t xml:space="preserve"> </w:t>
      </w:r>
      <w:r w:rsidR="00B83EC4">
        <w:t>are</w:t>
      </w:r>
      <w:r w:rsidRPr="00142673">
        <w:t xml:space="preserve"> fit</w:t>
      </w:r>
      <w:r w:rsidR="00160F40">
        <w:t xml:space="preserve"> </w:t>
      </w:r>
      <w:r w:rsidRPr="00142673">
        <w:t>for</w:t>
      </w:r>
      <w:r w:rsidR="00160F40">
        <w:t xml:space="preserve"> </w:t>
      </w:r>
      <w:r w:rsidRPr="00142673">
        <w:t>purpose. It also allows upgraded environmental sustainability measures to be incorporated</w:t>
      </w:r>
      <w:r w:rsidR="00160F40">
        <w:t>,</w:t>
      </w:r>
      <w:r w:rsidRPr="00142673">
        <w:t xml:space="preserve"> such as using recycled products to support a circular economy.</w:t>
      </w:r>
    </w:p>
    <w:p w14:paraId="5A12AF54" w14:textId="1A68CA6F" w:rsidR="00A03448" w:rsidRDefault="00812500" w:rsidP="000A447D">
      <w:pPr>
        <w:pStyle w:val="BodyText"/>
      </w:pPr>
      <w:r>
        <w:t xml:space="preserve">To achieve this, the current </w:t>
      </w:r>
      <w:r w:rsidR="00160F40">
        <w:t>fit</w:t>
      </w:r>
      <w:r w:rsidR="00B83EC4">
        <w:t>-</w:t>
      </w:r>
      <w:r>
        <w:t xml:space="preserve">out </w:t>
      </w:r>
      <w:r w:rsidR="00160F40">
        <w:t>g</w:t>
      </w:r>
      <w:r>
        <w:t>uide will be revised to support this target.</w:t>
      </w:r>
    </w:p>
    <w:p w14:paraId="19DD1424" w14:textId="412ABA7F" w:rsidR="00A03448" w:rsidRPr="00AE3EA3" w:rsidRDefault="00A03448" w:rsidP="00A03448">
      <w:pPr>
        <w:pStyle w:val="SAHeadinglevel4"/>
        <w:rPr>
          <w:b/>
          <w:bCs w:val="0"/>
          <w:color w:val="002060"/>
        </w:rPr>
      </w:pPr>
      <w:r w:rsidRPr="00AE3EA3">
        <w:rPr>
          <w:b/>
          <w:bCs w:val="0"/>
          <w:color w:val="002060"/>
        </w:rPr>
        <w:t>Expand Green Lease Schedules</w:t>
      </w:r>
    </w:p>
    <w:p w14:paraId="4B109F25" w14:textId="3E3C1DC8" w:rsidR="009B57EB" w:rsidRDefault="004B3076" w:rsidP="009B57EB">
      <w:pPr>
        <w:pStyle w:val="KeyInfo"/>
        <w:rPr>
          <w:b/>
          <w:bCs/>
        </w:rPr>
      </w:pPr>
      <w:r>
        <w:rPr>
          <w:b/>
        </w:rPr>
        <w:t xml:space="preserve">Action: </w:t>
      </w:r>
      <w:r w:rsidR="00406C11">
        <w:rPr>
          <w:b/>
        </w:rPr>
        <w:t>F</w:t>
      </w:r>
      <w:r w:rsidR="009B57EB">
        <w:rPr>
          <w:b/>
        </w:rPr>
        <w:t xml:space="preserve">rom 1 January 2025, </w:t>
      </w:r>
      <w:r w:rsidR="00160F40">
        <w:rPr>
          <w:b/>
        </w:rPr>
        <w:t>we’ll i</w:t>
      </w:r>
      <w:r w:rsidR="009B57EB" w:rsidRPr="00142673">
        <w:rPr>
          <w:b/>
        </w:rPr>
        <w:t>ncorporate GLS into leases (4 or more years) for offices 1,000m</w:t>
      </w:r>
      <w:r w:rsidR="009B57EB" w:rsidRPr="005567E1">
        <w:rPr>
          <w:b/>
          <w:vertAlign w:val="superscript"/>
        </w:rPr>
        <w:t>2</w:t>
      </w:r>
      <w:r w:rsidR="009B57EB" w:rsidRPr="00142673">
        <w:rPr>
          <w:b/>
        </w:rPr>
        <w:t xml:space="preserve"> or more of NLA</w:t>
      </w:r>
      <w:r w:rsidR="00160F40">
        <w:rPr>
          <w:b/>
        </w:rPr>
        <w:t xml:space="preserve">. We’ll </w:t>
      </w:r>
      <w:r w:rsidR="00160F40">
        <w:rPr>
          <w:b/>
          <w:bCs/>
        </w:rPr>
        <w:t>e</w:t>
      </w:r>
      <w:r w:rsidR="009B57EB" w:rsidRPr="002C2336">
        <w:rPr>
          <w:b/>
          <w:bCs/>
        </w:rPr>
        <w:t xml:space="preserve">xpand </w:t>
      </w:r>
      <w:r w:rsidR="00160F40">
        <w:rPr>
          <w:b/>
          <w:bCs/>
        </w:rPr>
        <w:t xml:space="preserve">our </w:t>
      </w:r>
      <w:r w:rsidR="009B57EB" w:rsidRPr="002C2336">
        <w:rPr>
          <w:b/>
          <w:bCs/>
        </w:rPr>
        <w:t xml:space="preserve">portfolio of 55 Green Lease sites to sites </w:t>
      </w:r>
      <w:r w:rsidR="00C164F3">
        <w:rPr>
          <w:b/>
          <w:bCs/>
        </w:rPr>
        <w:t>more</w:t>
      </w:r>
      <w:r w:rsidR="009B57EB" w:rsidRPr="002C2336">
        <w:rPr>
          <w:b/>
          <w:bCs/>
        </w:rPr>
        <w:t xml:space="preserve"> than </w:t>
      </w:r>
      <w:r w:rsidR="00C164F3">
        <w:rPr>
          <w:b/>
          <w:bCs/>
        </w:rPr>
        <w:t>1</w:t>
      </w:r>
      <w:r w:rsidR="009B57EB" w:rsidRPr="002C2336">
        <w:rPr>
          <w:b/>
          <w:bCs/>
        </w:rPr>
        <w:t>,000m</w:t>
      </w:r>
      <w:r w:rsidR="009B57EB" w:rsidRPr="005567E1">
        <w:rPr>
          <w:b/>
          <w:bCs/>
          <w:vertAlign w:val="superscript"/>
        </w:rPr>
        <w:t>2</w:t>
      </w:r>
      <w:r w:rsidR="009B57EB" w:rsidRPr="002C2336">
        <w:rPr>
          <w:b/>
          <w:bCs/>
        </w:rPr>
        <w:t xml:space="preserve"> </w:t>
      </w:r>
    </w:p>
    <w:p w14:paraId="698EED00" w14:textId="1810FDD2" w:rsidR="00C227D8" w:rsidRDefault="00E01124" w:rsidP="000A447D">
      <w:pPr>
        <w:pStyle w:val="BodyText"/>
        <w:rPr>
          <w:bCs/>
        </w:rPr>
      </w:pPr>
      <w:r>
        <w:t>Green Lease Schedules</w:t>
      </w:r>
      <w:r w:rsidR="00A03448" w:rsidRPr="00142673">
        <w:t xml:space="preserve"> </w:t>
      </w:r>
      <w:r>
        <w:t>(</w:t>
      </w:r>
      <w:r w:rsidR="00263852">
        <w:t>GLS</w:t>
      </w:r>
      <w:r>
        <w:t>)</w:t>
      </w:r>
      <w:r w:rsidR="00A03448" w:rsidRPr="00142673">
        <w:t xml:space="preserve"> </w:t>
      </w:r>
      <w:r>
        <w:t>are</w:t>
      </w:r>
      <w:r w:rsidR="00A03448" w:rsidRPr="00142673">
        <w:t xml:space="preserve"> a type of leasing arrangement developed by the former Department of the Environment and Water Resources and the Australian Government Solicitor (AGS) for </w:t>
      </w:r>
      <w:r w:rsidR="00B36CD7">
        <w:t>g</w:t>
      </w:r>
      <w:r w:rsidR="00B36CD7" w:rsidRPr="00142673">
        <w:t xml:space="preserve">overnment </w:t>
      </w:r>
      <w:r w:rsidR="00B36CD7">
        <w:t>a</w:t>
      </w:r>
      <w:r w:rsidR="00B36CD7" w:rsidRPr="00142673">
        <w:t>gencies</w:t>
      </w:r>
      <w:r w:rsidR="00A03448" w:rsidRPr="00142673">
        <w:t xml:space="preserve">. </w:t>
      </w:r>
      <w:r w:rsidR="00406C11">
        <w:t>They</w:t>
      </w:r>
      <w:r w:rsidR="00A03448" w:rsidRPr="00142673">
        <w:t xml:space="preserve"> contain mutual obligations for tenants and owners of office buildings to achieve efficiency targets. The GLS improve energy efficiency by setting a minimum ongoing operational building energy performance standard.</w:t>
      </w:r>
      <w:r w:rsidR="009B57EB">
        <w:rPr>
          <w:bCs/>
        </w:rPr>
        <w:t xml:space="preserve"> </w:t>
      </w:r>
    </w:p>
    <w:p w14:paraId="18ED5CE6" w14:textId="3EA2D340" w:rsidR="00363F10" w:rsidRPr="00BF709E" w:rsidRDefault="00363F10" w:rsidP="000A447D">
      <w:pPr>
        <w:pStyle w:val="BodyText"/>
        <w:rPr>
          <w:bCs/>
        </w:rPr>
      </w:pPr>
      <w:r>
        <w:rPr>
          <w:bCs/>
        </w:rPr>
        <w:t>A</w:t>
      </w:r>
      <w:r w:rsidRPr="00BF709E">
        <w:rPr>
          <w:bCs/>
        </w:rPr>
        <w:t xml:space="preserve"> process for collecting base building electricity consumption data via landlords will be developed with a view to better understanding </w:t>
      </w:r>
      <w:r w:rsidR="00DB6D03">
        <w:rPr>
          <w:bCs/>
        </w:rPr>
        <w:t>s</w:t>
      </w:r>
      <w:r w:rsidR="00DB6D03" w:rsidRPr="00BF709E">
        <w:rPr>
          <w:bCs/>
        </w:rPr>
        <w:t xml:space="preserve">cope </w:t>
      </w:r>
      <w:r w:rsidRPr="00BF709E">
        <w:rPr>
          <w:bCs/>
        </w:rPr>
        <w:t>2 and 3 emissions. This will then be used to further inform site-specific emissions reduction strategies.</w:t>
      </w:r>
    </w:p>
    <w:p w14:paraId="49C3723E" w14:textId="078F1A57" w:rsidR="00A03448" w:rsidRPr="00AE3EA3" w:rsidRDefault="00A03448" w:rsidP="00A03448">
      <w:pPr>
        <w:pStyle w:val="SAHeadinglevel4"/>
        <w:rPr>
          <w:b/>
          <w:bCs w:val="0"/>
          <w:color w:val="002060"/>
        </w:rPr>
      </w:pPr>
      <w:r w:rsidRPr="00AE3EA3">
        <w:rPr>
          <w:b/>
          <w:bCs w:val="0"/>
          <w:color w:val="002060"/>
        </w:rPr>
        <w:t>Commonwealth National Lease</w:t>
      </w:r>
    </w:p>
    <w:p w14:paraId="2986BA7B" w14:textId="2ECAF70B" w:rsidR="001E5DFF" w:rsidRDefault="00A03448" w:rsidP="000A447D">
      <w:pPr>
        <w:pStyle w:val="BodyText"/>
      </w:pPr>
      <w:r w:rsidRPr="00142673">
        <w:t xml:space="preserve">The </w:t>
      </w:r>
      <w:r w:rsidR="00406C11">
        <w:t>Commonwealth National Lease (</w:t>
      </w:r>
      <w:r w:rsidRPr="00142673">
        <w:t>CNL</w:t>
      </w:r>
      <w:r w:rsidR="00406C11">
        <w:t>)</w:t>
      </w:r>
      <w:r w:rsidRPr="00142673">
        <w:t xml:space="preserve"> is a leasing template used by Commonwealth tenant entities. It</w:t>
      </w:r>
      <w:r w:rsidR="00B36CD7">
        <w:t>’</w:t>
      </w:r>
      <w:r w:rsidRPr="00142673">
        <w:t>s designed to assist Commonwealth tenant entities with lease negotiations</w:t>
      </w:r>
      <w:r w:rsidR="00845A8D">
        <w:t>,</w:t>
      </w:r>
      <w:r w:rsidRPr="00142673">
        <w:t xml:space="preserve"> as using standard form documents can reduce the time and costs associated with negotiations.</w:t>
      </w:r>
    </w:p>
    <w:p w14:paraId="6A8D3CDB" w14:textId="23DE9B32" w:rsidR="000A447D" w:rsidRPr="000A447D" w:rsidRDefault="001E5DFF" w:rsidP="000A447D">
      <w:pPr>
        <w:pStyle w:val="BodyText"/>
      </w:pPr>
      <w:r>
        <w:t xml:space="preserve">The current CNL </w:t>
      </w:r>
      <w:r w:rsidR="00780C53">
        <w:t xml:space="preserve">was reviewed in </w:t>
      </w:r>
      <w:r>
        <w:t xml:space="preserve">late 2024 </w:t>
      </w:r>
      <w:r w:rsidR="00780C53">
        <w:t xml:space="preserve">and now </w:t>
      </w:r>
      <w:r w:rsidR="00213C01">
        <w:t>incorporate</w:t>
      </w:r>
      <w:r w:rsidR="00780C53">
        <w:t>s</w:t>
      </w:r>
      <w:r w:rsidR="00213C01">
        <w:t xml:space="preserve"> environmental sustainability and emissions reduction clauses.</w:t>
      </w:r>
    </w:p>
    <w:p w14:paraId="0112F2E3" w14:textId="4035C9D8" w:rsidR="00A03448" w:rsidRPr="00AE3EA3" w:rsidRDefault="00A03448" w:rsidP="00A03448">
      <w:pPr>
        <w:pStyle w:val="SAHeadinglevel4"/>
        <w:rPr>
          <w:b/>
          <w:bCs w:val="0"/>
          <w:color w:val="002060"/>
        </w:rPr>
      </w:pPr>
      <w:r w:rsidRPr="00AE3EA3">
        <w:rPr>
          <w:b/>
          <w:bCs w:val="0"/>
          <w:color w:val="002060"/>
        </w:rPr>
        <w:t xml:space="preserve">Improving </w:t>
      </w:r>
      <w:r w:rsidR="00B36CD7">
        <w:rPr>
          <w:b/>
          <w:bCs w:val="0"/>
          <w:color w:val="002060"/>
        </w:rPr>
        <w:t>b</w:t>
      </w:r>
      <w:r w:rsidR="00B36CD7" w:rsidRPr="00AE3EA3">
        <w:rPr>
          <w:b/>
          <w:bCs w:val="0"/>
          <w:color w:val="002060"/>
        </w:rPr>
        <w:t xml:space="preserve">ase </w:t>
      </w:r>
      <w:r w:rsidR="00B36CD7">
        <w:rPr>
          <w:b/>
          <w:bCs w:val="0"/>
          <w:color w:val="002060"/>
        </w:rPr>
        <w:t>b</w:t>
      </w:r>
      <w:r w:rsidR="00B36CD7" w:rsidRPr="00AE3EA3">
        <w:rPr>
          <w:b/>
          <w:bCs w:val="0"/>
          <w:color w:val="002060"/>
        </w:rPr>
        <w:t xml:space="preserve">uilding </w:t>
      </w:r>
      <w:r w:rsidR="00B36CD7">
        <w:rPr>
          <w:b/>
          <w:bCs w:val="0"/>
          <w:color w:val="002060"/>
        </w:rPr>
        <w:t>m</w:t>
      </w:r>
      <w:r w:rsidR="00B36CD7" w:rsidRPr="00AE3EA3">
        <w:rPr>
          <w:b/>
          <w:bCs w:val="0"/>
          <w:color w:val="002060"/>
        </w:rPr>
        <w:t xml:space="preserve">inimum </w:t>
      </w:r>
      <w:r w:rsidR="00B36CD7">
        <w:rPr>
          <w:b/>
          <w:bCs w:val="0"/>
          <w:color w:val="002060"/>
        </w:rPr>
        <w:t>p</w:t>
      </w:r>
      <w:r w:rsidR="00B36CD7" w:rsidRPr="00AE3EA3">
        <w:rPr>
          <w:b/>
          <w:bCs w:val="0"/>
          <w:color w:val="002060"/>
        </w:rPr>
        <w:t xml:space="preserve">erformance </w:t>
      </w:r>
      <w:r w:rsidR="00B36CD7">
        <w:rPr>
          <w:b/>
          <w:bCs w:val="0"/>
          <w:color w:val="002060"/>
        </w:rPr>
        <w:t>s</w:t>
      </w:r>
      <w:r w:rsidR="00B36CD7" w:rsidRPr="00AE3EA3">
        <w:rPr>
          <w:b/>
          <w:bCs w:val="0"/>
          <w:color w:val="002060"/>
        </w:rPr>
        <w:t xml:space="preserve">pecifications </w:t>
      </w:r>
    </w:p>
    <w:p w14:paraId="11F6F7F3" w14:textId="5E523261" w:rsidR="00200F06" w:rsidRPr="00931EE4" w:rsidRDefault="00D643EB" w:rsidP="00200F06">
      <w:pPr>
        <w:pStyle w:val="KeyInfo"/>
        <w:spacing w:after="240"/>
        <w:rPr>
          <w:b/>
          <w:bCs/>
        </w:rPr>
      </w:pPr>
      <w:r>
        <w:rPr>
          <w:b/>
          <w:bCs/>
        </w:rPr>
        <w:t xml:space="preserve">Action: </w:t>
      </w:r>
      <w:r w:rsidR="00406C11">
        <w:rPr>
          <w:b/>
          <w:bCs/>
        </w:rPr>
        <w:t>R</w:t>
      </w:r>
      <w:r w:rsidR="00200F06" w:rsidRPr="00931EE4">
        <w:rPr>
          <w:b/>
          <w:bCs/>
        </w:rPr>
        <w:t xml:space="preserve">eview and consolidate </w:t>
      </w:r>
      <w:r w:rsidR="00B36CD7">
        <w:rPr>
          <w:b/>
          <w:bCs/>
        </w:rPr>
        <w:t>b</w:t>
      </w:r>
      <w:r w:rsidR="00B36CD7" w:rsidRPr="00931EE4">
        <w:rPr>
          <w:b/>
          <w:bCs/>
        </w:rPr>
        <w:t xml:space="preserve">ase </w:t>
      </w:r>
      <w:r w:rsidR="00B36CD7">
        <w:rPr>
          <w:b/>
          <w:bCs/>
        </w:rPr>
        <w:t>b</w:t>
      </w:r>
      <w:r w:rsidR="00B36CD7" w:rsidRPr="00931EE4">
        <w:rPr>
          <w:b/>
          <w:bCs/>
        </w:rPr>
        <w:t xml:space="preserve">uilding </w:t>
      </w:r>
      <w:r w:rsidR="00B36CD7">
        <w:rPr>
          <w:b/>
          <w:bCs/>
        </w:rPr>
        <w:t>m</w:t>
      </w:r>
      <w:r w:rsidR="00B36CD7" w:rsidRPr="00931EE4">
        <w:rPr>
          <w:b/>
          <w:bCs/>
        </w:rPr>
        <w:t xml:space="preserve">inimum </w:t>
      </w:r>
      <w:r w:rsidR="00B36CD7">
        <w:rPr>
          <w:b/>
          <w:bCs/>
        </w:rPr>
        <w:t>p</w:t>
      </w:r>
      <w:r w:rsidR="00B36CD7" w:rsidRPr="00931EE4">
        <w:rPr>
          <w:b/>
          <w:bCs/>
        </w:rPr>
        <w:t xml:space="preserve">erformance </w:t>
      </w:r>
      <w:r w:rsidR="00B36CD7">
        <w:rPr>
          <w:b/>
          <w:bCs/>
        </w:rPr>
        <w:t>s</w:t>
      </w:r>
      <w:r w:rsidR="00B36CD7" w:rsidRPr="00931EE4">
        <w:rPr>
          <w:b/>
          <w:bCs/>
        </w:rPr>
        <w:t xml:space="preserve">pecifications </w:t>
      </w:r>
      <w:r w:rsidR="00200F06" w:rsidRPr="00931EE4">
        <w:rPr>
          <w:b/>
          <w:bCs/>
        </w:rPr>
        <w:t>for new and existing buildings over and under 18,000m</w:t>
      </w:r>
      <w:r w:rsidR="00200F06" w:rsidRPr="005567E1">
        <w:rPr>
          <w:b/>
          <w:bCs/>
          <w:vertAlign w:val="superscript"/>
        </w:rPr>
        <w:t>2</w:t>
      </w:r>
      <w:r w:rsidR="00B36CD7">
        <w:rPr>
          <w:b/>
          <w:bCs/>
        </w:rPr>
        <w:t>.</w:t>
      </w:r>
    </w:p>
    <w:p w14:paraId="4EF9355C" w14:textId="004CA904" w:rsidR="00FA44A1" w:rsidRPr="000A447D" w:rsidRDefault="00BA64BE" w:rsidP="000A447D">
      <w:pPr>
        <w:pStyle w:val="BodyText"/>
      </w:pPr>
      <w:r>
        <w:t>Separate to</w:t>
      </w:r>
      <w:r w:rsidR="00A03448" w:rsidRPr="00142673">
        <w:t xml:space="preserve"> the CNL review, </w:t>
      </w:r>
      <w:bookmarkStart w:id="24" w:name="_Hlk148345932"/>
      <w:r w:rsidR="005556A4" w:rsidRPr="005567E1">
        <w:t>we</w:t>
      </w:r>
      <w:r w:rsidR="00B36CD7" w:rsidRPr="00931EE4">
        <w:t xml:space="preserve"> </w:t>
      </w:r>
      <w:r w:rsidR="00A03448" w:rsidRPr="00931EE4">
        <w:t>review</w:t>
      </w:r>
      <w:r w:rsidR="00DE43D1">
        <w:t>ed</w:t>
      </w:r>
      <w:r w:rsidR="00A03448" w:rsidRPr="00931EE4">
        <w:t xml:space="preserve"> </w:t>
      </w:r>
      <w:bookmarkEnd w:id="24"/>
      <w:r w:rsidR="0053073F" w:rsidRPr="00931EE4">
        <w:t>existing building specifications</w:t>
      </w:r>
      <w:r w:rsidR="00DE43D1">
        <w:t xml:space="preserve"> and </w:t>
      </w:r>
      <w:r w:rsidR="00A03448" w:rsidRPr="00142673">
        <w:t>incorporate</w:t>
      </w:r>
      <w:r w:rsidR="00DE43D1">
        <w:t>d</w:t>
      </w:r>
      <w:r w:rsidR="00A03448" w:rsidRPr="00142673">
        <w:t xml:space="preserve"> requirements </w:t>
      </w:r>
      <w:r w:rsidR="00DE43D1">
        <w:t>to support</w:t>
      </w:r>
      <w:r w:rsidR="00A03448" w:rsidRPr="00142673">
        <w:t xml:space="preserve"> NZGO policy.</w:t>
      </w:r>
    </w:p>
    <w:p w14:paraId="7D736394" w14:textId="4A64A5B7" w:rsidR="00A03448" w:rsidRPr="00AE3EA3" w:rsidRDefault="00A03448" w:rsidP="00A03448">
      <w:pPr>
        <w:pStyle w:val="SAHeadinglevel4"/>
        <w:rPr>
          <w:b/>
          <w:bCs w:val="0"/>
          <w:color w:val="002060"/>
        </w:rPr>
      </w:pPr>
      <w:r w:rsidRPr="00AE3EA3">
        <w:rPr>
          <w:b/>
          <w:bCs w:val="0"/>
          <w:color w:val="002060"/>
        </w:rPr>
        <w:t xml:space="preserve">Measures to achieve energy efficiency for buildings </w:t>
      </w:r>
    </w:p>
    <w:p w14:paraId="2D134A94" w14:textId="3980066A" w:rsidR="00200F06" w:rsidRPr="00931EE4" w:rsidRDefault="00D643EB" w:rsidP="00200F06">
      <w:pPr>
        <w:pStyle w:val="KeyInfo"/>
        <w:spacing w:after="240"/>
        <w:rPr>
          <w:b/>
          <w:bCs/>
        </w:rPr>
      </w:pPr>
      <w:r>
        <w:rPr>
          <w:b/>
          <w:bCs/>
        </w:rPr>
        <w:t xml:space="preserve">Action: </w:t>
      </w:r>
      <w:r w:rsidR="00406C11">
        <w:rPr>
          <w:b/>
          <w:bCs/>
        </w:rPr>
        <w:t>I</w:t>
      </w:r>
      <w:r w:rsidR="00200F06">
        <w:rPr>
          <w:b/>
          <w:bCs/>
        </w:rPr>
        <w:t>mplement energy efficiency measures at Services Australia sites</w:t>
      </w:r>
      <w:r w:rsidR="00B36CD7">
        <w:rPr>
          <w:b/>
          <w:bCs/>
        </w:rPr>
        <w:t>.</w:t>
      </w:r>
    </w:p>
    <w:p w14:paraId="267031AF" w14:textId="025578BC" w:rsidR="00B36CD7" w:rsidRPr="000A447D" w:rsidRDefault="002D1880" w:rsidP="000A447D">
      <w:pPr>
        <w:pStyle w:val="BodyText"/>
        <w:rPr>
          <w:rFonts w:eastAsia="Roboto"/>
          <w:lang w:val="en-US" w:eastAsia="en-US"/>
        </w:rPr>
      </w:pPr>
      <w:r>
        <w:rPr>
          <w:rFonts w:eastAsia="Roboto"/>
          <w:lang w:val="en-US" w:eastAsia="en-US"/>
        </w:rPr>
        <w:t>We’ll</w:t>
      </w:r>
      <w:r w:rsidR="00A8616D">
        <w:rPr>
          <w:rFonts w:eastAsia="Roboto"/>
          <w:lang w:val="en-US" w:eastAsia="en-US"/>
        </w:rPr>
        <w:t xml:space="preserve"> also implement </w:t>
      </w:r>
      <w:r w:rsidR="005A36AA">
        <w:rPr>
          <w:rFonts w:eastAsia="Roboto"/>
          <w:lang w:val="en-US" w:eastAsia="en-US"/>
        </w:rPr>
        <w:t>several</w:t>
      </w:r>
      <w:r w:rsidR="00A8616D">
        <w:rPr>
          <w:rFonts w:eastAsia="Roboto"/>
          <w:lang w:val="en-US" w:eastAsia="en-US"/>
        </w:rPr>
        <w:t xml:space="preserve"> additional </w:t>
      </w:r>
      <w:r w:rsidR="00D05EB1">
        <w:rPr>
          <w:rFonts w:eastAsia="Roboto"/>
          <w:lang w:val="en-US" w:eastAsia="en-US"/>
        </w:rPr>
        <w:t xml:space="preserve">sustainability-related </w:t>
      </w:r>
      <w:r w:rsidR="00A03448" w:rsidRPr="00142673">
        <w:rPr>
          <w:rFonts w:eastAsia="Roboto"/>
          <w:lang w:val="en-US" w:eastAsia="en-US"/>
        </w:rPr>
        <w:t xml:space="preserve">actions that </w:t>
      </w:r>
      <w:r w:rsidR="00A8616D">
        <w:rPr>
          <w:rFonts w:eastAsia="Roboto"/>
          <w:lang w:val="en-US" w:eastAsia="en-US"/>
        </w:rPr>
        <w:t>contribute to achieving improved energy efficiency for our buildings, as well as</w:t>
      </w:r>
      <w:r w:rsidR="00A03448" w:rsidRPr="00142673">
        <w:rPr>
          <w:rFonts w:eastAsia="Roboto"/>
          <w:lang w:val="en-US" w:eastAsia="en-US"/>
        </w:rPr>
        <w:t xml:space="preserve"> meeting the targets set by NZGO</w:t>
      </w:r>
      <w:r w:rsidR="00A8616D">
        <w:rPr>
          <w:rFonts w:eastAsia="Roboto"/>
          <w:lang w:val="en-US" w:eastAsia="en-US"/>
        </w:rPr>
        <w:t xml:space="preserve">. </w:t>
      </w:r>
      <w:r w:rsidR="00D05EB1">
        <w:rPr>
          <w:rFonts w:eastAsia="Roboto"/>
          <w:lang w:val="en-US" w:eastAsia="en-US"/>
        </w:rPr>
        <w:t xml:space="preserve">This will allow </w:t>
      </w:r>
      <w:r>
        <w:rPr>
          <w:rFonts w:eastAsia="Roboto"/>
          <w:lang w:val="en-US" w:eastAsia="en-US"/>
        </w:rPr>
        <w:t>us</w:t>
      </w:r>
      <w:r w:rsidR="00B36CD7">
        <w:rPr>
          <w:rFonts w:eastAsia="Roboto"/>
          <w:lang w:val="en-US" w:eastAsia="en-US"/>
        </w:rPr>
        <w:t xml:space="preserve"> </w:t>
      </w:r>
      <w:r w:rsidR="00D05EB1">
        <w:rPr>
          <w:rFonts w:eastAsia="Roboto"/>
          <w:lang w:val="en-US" w:eastAsia="en-US"/>
        </w:rPr>
        <w:t>to set and maintain a high standard of environmental performance in the APS</w:t>
      </w:r>
      <w:r w:rsidR="00A8616D">
        <w:rPr>
          <w:rFonts w:eastAsia="Roboto"/>
          <w:lang w:val="en-US" w:eastAsia="en-US"/>
        </w:rPr>
        <w:t>.</w:t>
      </w:r>
    </w:p>
    <w:tbl>
      <w:tblPr>
        <w:tblStyle w:val="ServicesAustralia"/>
        <w:tblW w:w="0" w:type="auto"/>
        <w:tblLook w:val="04A0" w:firstRow="1" w:lastRow="0" w:firstColumn="1" w:lastColumn="0" w:noHBand="0" w:noVBand="1"/>
      </w:tblPr>
      <w:tblGrid>
        <w:gridCol w:w="2127"/>
        <w:gridCol w:w="7851"/>
      </w:tblGrid>
      <w:tr w:rsidR="00B36CD7" w14:paraId="647A8FD1" w14:textId="77777777" w:rsidTr="00A667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1976251D" w14:textId="7329FDEE" w:rsidR="00B36CD7" w:rsidRDefault="00B36CD7" w:rsidP="005567E1">
            <w:pPr>
              <w:pStyle w:val="SABodytext"/>
              <w:rPr>
                <w:rFonts w:asciiTheme="minorHAnsi" w:eastAsia="Roboto" w:hAnsiTheme="minorHAnsi" w:cs="Roboto"/>
                <w:lang w:val="en-US" w:eastAsia="en-US"/>
              </w:rPr>
            </w:pPr>
            <w:r>
              <w:rPr>
                <w:rFonts w:eastAsia="Roboto"/>
                <w:lang w:val="en-US" w:eastAsia="en-US"/>
              </w:rPr>
              <w:t>Energy efficiency measures</w:t>
            </w:r>
          </w:p>
        </w:tc>
      </w:tr>
      <w:tr w:rsidR="00B36CD7" w14:paraId="6787A78D"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4CEC2D4D" w14:textId="37E04A29" w:rsidR="00B36CD7" w:rsidRDefault="00B36CD7" w:rsidP="005567E1">
            <w:pPr>
              <w:pStyle w:val="SABodytext"/>
              <w:rPr>
                <w:rFonts w:eastAsia="Roboto"/>
                <w:lang w:val="en-US" w:eastAsia="en-US"/>
              </w:rPr>
            </w:pPr>
            <w:r w:rsidRPr="004A2848">
              <w:t xml:space="preserve">All </w:t>
            </w:r>
            <w:r>
              <w:t>s</w:t>
            </w:r>
            <w:r w:rsidRPr="004A2848">
              <w:t>ites</w:t>
            </w:r>
          </w:p>
        </w:tc>
        <w:tc>
          <w:tcPr>
            <w:tcW w:w="7851" w:type="dxa"/>
          </w:tcPr>
          <w:p w14:paraId="2B41A283" w14:textId="1B86C558"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Target Premium WELL rating where possible</w:t>
            </w:r>
            <w:r w:rsidR="00755600">
              <w:rPr>
                <w:rFonts w:eastAsia="Roboto"/>
              </w:rPr>
              <w:t>.</w:t>
            </w:r>
          </w:p>
          <w:p w14:paraId="100441CD" w14:textId="1C17FCD3"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Environmentally friendly and low-harm product selection</w:t>
            </w:r>
            <w:r w:rsidR="00755600">
              <w:rPr>
                <w:rFonts w:eastAsia="Roboto"/>
              </w:rPr>
              <w:t>.</w:t>
            </w:r>
          </w:p>
          <w:p w14:paraId="0E5D1085" w14:textId="44920321"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Improved metering provisions</w:t>
            </w:r>
            <w:r w:rsidR="0098306A">
              <w:rPr>
                <w:rFonts w:eastAsia="Roboto"/>
              </w:rPr>
              <w:t xml:space="preserve">, </w:t>
            </w:r>
            <w:r w:rsidRPr="00142673">
              <w:rPr>
                <w:rFonts w:eastAsia="Roboto"/>
              </w:rPr>
              <w:t>such as sub-metering</w:t>
            </w:r>
            <w:r w:rsidR="00755600">
              <w:rPr>
                <w:rFonts w:eastAsia="Roboto"/>
              </w:rPr>
              <w:t>.</w:t>
            </w:r>
          </w:p>
          <w:p w14:paraId="234F76E4" w14:textId="0E2580E4"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After</w:t>
            </w:r>
            <w:r w:rsidR="0098306A">
              <w:rPr>
                <w:rFonts w:eastAsia="Roboto"/>
              </w:rPr>
              <w:t>-h</w:t>
            </w:r>
            <w:r w:rsidRPr="00142673">
              <w:rPr>
                <w:rFonts w:eastAsia="Roboto"/>
              </w:rPr>
              <w:t xml:space="preserve">ours </w:t>
            </w:r>
            <w:r w:rsidR="0098306A">
              <w:rPr>
                <w:rFonts w:eastAsia="Roboto"/>
              </w:rPr>
              <w:t>a</w:t>
            </w:r>
            <w:r w:rsidRPr="00142673">
              <w:rPr>
                <w:rFonts w:eastAsia="Roboto"/>
              </w:rPr>
              <w:t xml:space="preserve">ir </w:t>
            </w:r>
            <w:r w:rsidR="0098306A">
              <w:rPr>
                <w:rFonts w:eastAsia="Roboto"/>
              </w:rPr>
              <w:t>c</w:t>
            </w:r>
            <w:r w:rsidRPr="00142673">
              <w:rPr>
                <w:rFonts w:eastAsia="Roboto"/>
              </w:rPr>
              <w:t>onditioning and rate calculation</w:t>
            </w:r>
            <w:r w:rsidR="00755600">
              <w:rPr>
                <w:rFonts w:eastAsia="Roboto"/>
              </w:rPr>
              <w:t>.</w:t>
            </w:r>
          </w:p>
          <w:p w14:paraId="3A90C1A0" w14:textId="2775E844"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Improved data sharing between tenant and landlord</w:t>
            </w:r>
            <w:r w:rsidR="00755600">
              <w:rPr>
                <w:rFonts w:eastAsia="Roboto"/>
              </w:rPr>
              <w:t>.</w:t>
            </w:r>
          </w:p>
          <w:p w14:paraId="5E60E4D3" w14:textId="704FFC55"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 xml:space="preserve">Waste </w:t>
            </w:r>
            <w:proofErr w:type="spellStart"/>
            <w:r w:rsidRPr="00142673">
              <w:rPr>
                <w:rFonts w:eastAsia="Roboto"/>
              </w:rPr>
              <w:t>minimisation</w:t>
            </w:r>
            <w:proofErr w:type="spellEnd"/>
            <w:r w:rsidRPr="00142673">
              <w:rPr>
                <w:rFonts w:eastAsia="Roboto"/>
              </w:rPr>
              <w:t xml:space="preserve"> (qualitative improvement measures)</w:t>
            </w:r>
            <w:r w:rsidR="00755600">
              <w:rPr>
                <w:rFonts w:eastAsia="Roboto"/>
              </w:rPr>
              <w:t>.</w:t>
            </w:r>
          </w:p>
          <w:p w14:paraId="46375A5A" w14:textId="1D84714B" w:rsidR="00B36CD7"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Indoor air quality monitoring and outside air control</w:t>
            </w:r>
            <w:r w:rsidR="00755600">
              <w:rPr>
                <w:rFonts w:eastAsia="Roboto"/>
              </w:rPr>
              <w:t>.</w:t>
            </w:r>
          </w:p>
          <w:p w14:paraId="1B92BDCA" w14:textId="754BE2B2" w:rsidR="00B36CD7" w:rsidRPr="00B36CD7"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Pr>
                <w:rFonts w:eastAsia="Roboto"/>
              </w:rPr>
              <w:t>A range of clauses in lease documents to facilitate more efficient operation of buildings</w:t>
            </w:r>
            <w:r w:rsidR="00755600">
              <w:rPr>
                <w:rFonts w:eastAsia="Roboto"/>
              </w:rPr>
              <w:t>.</w:t>
            </w:r>
          </w:p>
        </w:tc>
      </w:tr>
      <w:tr w:rsidR="00B36CD7" w14:paraId="05431450"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039D2795" w14:textId="77777777" w:rsidR="00B36CD7" w:rsidRDefault="00B36CD7" w:rsidP="005567E1">
            <w:pPr>
              <w:pStyle w:val="SABodytext"/>
              <w:rPr>
                <w:b w:val="0"/>
                <w:bCs w:val="0"/>
              </w:rPr>
            </w:pPr>
          </w:p>
          <w:p w14:paraId="5A33BCC4" w14:textId="17E395DE" w:rsidR="00B36CD7" w:rsidRDefault="00B36CD7" w:rsidP="005567E1">
            <w:pPr>
              <w:pStyle w:val="SABodytext"/>
              <w:rPr>
                <w:rFonts w:eastAsia="Roboto"/>
                <w:lang w:val="en-US" w:eastAsia="en-US"/>
              </w:rPr>
            </w:pPr>
            <w:r w:rsidRPr="004A2848">
              <w:t xml:space="preserve">Sites </w:t>
            </w:r>
            <w:r>
              <w:t>greater than</w:t>
            </w:r>
            <w:r w:rsidRPr="004A2848">
              <w:t xml:space="preserve"> 1,000m</w:t>
            </w:r>
            <w:r w:rsidRPr="005567E1">
              <w:rPr>
                <w:vertAlign w:val="superscript"/>
              </w:rPr>
              <w:t>2</w:t>
            </w:r>
          </w:p>
        </w:tc>
        <w:tc>
          <w:tcPr>
            <w:tcW w:w="7851" w:type="dxa"/>
          </w:tcPr>
          <w:p w14:paraId="4844A758" w14:textId="74EAED68" w:rsidR="00B36CD7" w:rsidRPr="00962EEB"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Reduced area threshold for GLS from 2,000m</w:t>
            </w:r>
            <w:r w:rsidRPr="005567E1">
              <w:rPr>
                <w:rFonts w:eastAsia="Roboto"/>
                <w:vertAlign w:val="superscript"/>
              </w:rPr>
              <w:t>2</w:t>
            </w:r>
            <w:r w:rsidRPr="00142673">
              <w:rPr>
                <w:rFonts w:eastAsia="Roboto"/>
              </w:rPr>
              <w:t xml:space="preserve"> to 1,000m</w:t>
            </w:r>
            <w:r w:rsidRPr="005567E1">
              <w:rPr>
                <w:rFonts w:eastAsia="Roboto"/>
                <w:vertAlign w:val="superscript"/>
              </w:rPr>
              <w:t>2</w:t>
            </w:r>
            <w:r w:rsidR="00755600">
              <w:rPr>
                <w:rFonts w:eastAsia="Roboto"/>
                <w:vertAlign w:val="superscript"/>
              </w:rPr>
              <w:t>.</w:t>
            </w:r>
          </w:p>
          <w:p w14:paraId="0CD4BD21" w14:textId="581B4113"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Increased NABERS energy targets and new water target</w:t>
            </w:r>
            <w:r w:rsidR="0098306A">
              <w:rPr>
                <w:rFonts w:eastAsia="Roboto"/>
              </w:rPr>
              <w:t>s</w:t>
            </w:r>
            <w:r w:rsidR="00755600">
              <w:rPr>
                <w:rFonts w:eastAsia="Roboto"/>
              </w:rPr>
              <w:t>.</w:t>
            </w:r>
          </w:p>
          <w:p w14:paraId="58684C84" w14:textId="1BA0B5DB"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 xml:space="preserve">Waste </w:t>
            </w:r>
            <w:proofErr w:type="spellStart"/>
            <w:r w:rsidRPr="00142673">
              <w:rPr>
                <w:rFonts w:eastAsia="Roboto"/>
              </w:rPr>
              <w:t>minimisation</w:t>
            </w:r>
            <w:proofErr w:type="spellEnd"/>
            <w:r w:rsidRPr="00142673">
              <w:rPr>
                <w:rFonts w:eastAsia="Roboto"/>
              </w:rPr>
              <w:t xml:space="preserve"> plan</w:t>
            </w:r>
            <w:r w:rsidR="00755600">
              <w:rPr>
                <w:rFonts w:eastAsia="Roboto"/>
              </w:rPr>
              <w:t>.</w:t>
            </w:r>
          </w:p>
          <w:p w14:paraId="344C4044" w14:textId="419E797A" w:rsidR="00B36CD7" w:rsidRPr="00142673"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Building electrification plan</w:t>
            </w:r>
            <w:r w:rsidR="00755600">
              <w:rPr>
                <w:rFonts w:eastAsia="Roboto"/>
              </w:rPr>
              <w:t>.</w:t>
            </w:r>
          </w:p>
          <w:p w14:paraId="0DDD7E4D" w14:textId="4522B8BA" w:rsidR="00B36CD7" w:rsidRPr="00B36CD7" w:rsidRDefault="00B36CD7"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142673">
              <w:rPr>
                <w:rFonts w:eastAsia="Roboto"/>
              </w:rPr>
              <w:t>Green Star Performance certification</w:t>
            </w:r>
            <w:r w:rsidR="00755600">
              <w:rPr>
                <w:rFonts w:eastAsia="Roboto"/>
              </w:rPr>
              <w:t>.</w:t>
            </w:r>
          </w:p>
        </w:tc>
      </w:tr>
    </w:tbl>
    <w:p w14:paraId="1B168FFF" w14:textId="6F76EF7B" w:rsidR="00B36CD7" w:rsidRDefault="0098306A" w:rsidP="005567E1">
      <w:pPr>
        <w:pStyle w:val="Caption"/>
        <w:rPr>
          <w:lang w:val="en-US"/>
        </w:rPr>
      </w:pPr>
      <w:r>
        <w:rPr>
          <w:lang w:val="en-US"/>
        </w:rPr>
        <w:t>Figure 11: Energy efficiency measures</w:t>
      </w:r>
    </w:p>
    <w:p w14:paraId="549C60E0" w14:textId="6E0BEB4C" w:rsidR="00A03448" w:rsidRPr="00AE3EA3" w:rsidRDefault="00A03448" w:rsidP="00A03448">
      <w:pPr>
        <w:pStyle w:val="SAHeadinglevel3"/>
        <w:rPr>
          <w:color w:val="002060"/>
        </w:rPr>
      </w:pPr>
      <w:bookmarkStart w:id="25" w:name="_Toc147758809"/>
      <w:bookmarkStart w:id="26" w:name="_Toc218750548"/>
      <w:r w:rsidRPr="00AE3EA3">
        <w:rPr>
          <w:color w:val="002060"/>
        </w:rPr>
        <w:t xml:space="preserve">Fleet </w:t>
      </w:r>
      <w:r w:rsidR="0098306A">
        <w:rPr>
          <w:color w:val="002060"/>
        </w:rPr>
        <w:t>t</w:t>
      </w:r>
      <w:r w:rsidR="0098306A" w:rsidRPr="00AE3EA3">
        <w:rPr>
          <w:color w:val="002060"/>
        </w:rPr>
        <w:t xml:space="preserve">ransition </w:t>
      </w:r>
      <w:r w:rsidRPr="00AE3EA3">
        <w:rPr>
          <w:color w:val="002060"/>
        </w:rPr>
        <w:t xml:space="preserve">and </w:t>
      </w:r>
      <w:r w:rsidR="0098306A">
        <w:rPr>
          <w:color w:val="002060"/>
        </w:rPr>
        <w:t>c</w:t>
      </w:r>
      <w:r w:rsidR="0098306A" w:rsidRPr="00AE3EA3">
        <w:rPr>
          <w:color w:val="002060"/>
        </w:rPr>
        <w:t xml:space="preserve">harging </w:t>
      </w:r>
      <w:bookmarkEnd w:id="25"/>
      <w:r w:rsidR="0098306A">
        <w:rPr>
          <w:color w:val="002060"/>
        </w:rPr>
        <w:t>i</w:t>
      </w:r>
      <w:r w:rsidR="0098306A" w:rsidRPr="00AE3EA3">
        <w:rPr>
          <w:color w:val="002060"/>
        </w:rPr>
        <w:t>nfrastructure</w:t>
      </w:r>
      <w:bookmarkEnd w:id="26"/>
    </w:p>
    <w:p w14:paraId="0E3D4C27" w14:textId="5A4EA19E" w:rsidR="00A03448" w:rsidRDefault="00A03448" w:rsidP="000A447D">
      <w:pPr>
        <w:pStyle w:val="BodyText"/>
      </w:pPr>
      <w:r w:rsidRPr="00D778DD">
        <w:t xml:space="preserve">The Budget measure </w:t>
      </w:r>
      <w:r w:rsidRPr="00D778DD">
        <w:rPr>
          <w:i/>
          <w:iCs/>
        </w:rPr>
        <w:t xml:space="preserve">Powering Australia – Commonwealth Fleet Leases </w:t>
      </w:r>
      <w:r w:rsidRPr="00D778DD">
        <w:t xml:space="preserve">supports the </w:t>
      </w:r>
      <w:r w:rsidR="0098306A">
        <w:t>g</w:t>
      </w:r>
      <w:r w:rsidR="0098306A" w:rsidRPr="00D778DD">
        <w:t xml:space="preserve">overnment’s </w:t>
      </w:r>
      <w:r w:rsidRPr="00D778DD">
        <w:t xml:space="preserve">commitment to achieve net zero emissions in the APS by 2030. </w:t>
      </w:r>
    </w:p>
    <w:p w14:paraId="448E6143" w14:textId="3E4ABFD6" w:rsidR="00A03448" w:rsidRPr="00D778DD" w:rsidRDefault="00A03448" w:rsidP="000A447D">
      <w:pPr>
        <w:pStyle w:val="BodyText"/>
      </w:pPr>
      <w:r w:rsidRPr="00D778DD">
        <w:t>The Commonwealth Fleet Leases Measure includes a LEV target</w:t>
      </w:r>
      <w:r w:rsidR="00FA3CC0">
        <w:rPr>
          <w:rStyle w:val="FootnoteReference"/>
          <w:rFonts w:asciiTheme="minorHAnsi" w:hAnsiTheme="minorHAnsi"/>
          <w:szCs w:val="20"/>
        </w:rPr>
        <w:footnoteReference w:customMarkFollows="1" w:id="2"/>
        <w:t>5</w:t>
      </w:r>
      <w:r w:rsidRPr="00D778DD">
        <w:t xml:space="preserve"> of 75% of new passenger vehicle purchases or leases by 2025 and will provide $15.9 million to entities over </w:t>
      </w:r>
      <w:r w:rsidR="00DB6D03">
        <w:t>4</w:t>
      </w:r>
      <w:r w:rsidRPr="00D778DD">
        <w:t xml:space="preserve"> years from 2022</w:t>
      </w:r>
      <w:r w:rsidR="0098306A">
        <w:t>–</w:t>
      </w:r>
      <w:r w:rsidRPr="00D778DD">
        <w:t xml:space="preserve">23. The measure will be delivered as a per vehicle lump sum payment, to contribute towards charging infrastructure. LEV are defined to include battery electric vehicles (BEV), plug-in hybrid vehicles (PHEV) and hydrogen fuel cell vehicles (FCEV). </w:t>
      </w:r>
    </w:p>
    <w:p w14:paraId="0666E362" w14:textId="15432CA5" w:rsidR="00A03448" w:rsidRPr="00D778DD" w:rsidRDefault="007C53B1" w:rsidP="000A447D">
      <w:pPr>
        <w:pStyle w:val="BodyText"/>
      </w:pPr>
      <w:r>
        <w:t>We’re</w:t>
      </w:r>
      <w:r w:rsidR="00A03448" w:rsidRPr="00D778DD">
        <w:t xml:space="preserve"> mandated to use the </w:t>
      </w:r>
      <w:r w:rsidR="0098306A">
        <w:t>whole of government f</w:t>
      </w:r>
      <w:r w:rsidR="00A03448" w:rsidRPr="00D778DD">
        <w:t>leet arrangement and are eligible for the per vehicle lump sum payment on delivery of a LEV which will be applied to associated charging infrastructure.</w:t>
      </w:r>
      <w:r w:rsidR="0098306A">
        <w:t xml:space="preserve"> </w:t>
      </w:r>
      <w:r w:rsidR="00A03448" w:rsidRPr="00D778DD">
        <w:t xml:space="preserve">The measure also requires vehicles acquired to be sold within </w:t>
      </w:r>
      <w:r>
        <w:t>3</w:t>
      </w:r>
      <w:r w:rsidR="00A03448" w:rsidRPr="00D778DD">
        <w:t xml:space="preserve"> years to increase the supply of second-hand electric vehicles in Australia. </w:t>
      </w:r>
    </w:p>
    <w:p w14:paraId="342DDC07" w14:textId="77777777" w:rsidR="00A03448" w:rsidRPr="00D778DD" w:rsidRDefault="00A03448" w:rsidP="000A447D">
      <w:pPr>
        <w:pStyle w:val="BodyText"/>
      </w:pPr>
      <w:r w:rsidRPr="00D778DD">
        <w:t>All future agency property leases will include a requirement for charging infrastructure, and this will be consistent with CNL updates to support charging infrastructure requirements.</w:t>
      </w:r>
    </w:p>
    <w:p w14:paraId="5E5EBF93" w14:textId="4D147FE5" w:rsidR="00A03448" w:rsidRPr="00AE3EA3" w:rsidRDefault="00A03448" w:rsidP="00A03448">
      <w:pPr>
        <w:pStyle w:val="SAHeadinglevel4"/>
        <w:rPr>
          <w:b/>
          <w:bCs w:val="0"/>
          <w:color w:val="002060"/>
        </w:rPr>
      </w:pPr>
      <w:r w:rsidRPr="00AE3EA3">
        <w:rPr>
          <w:b/>
          <w:bCs w:val="0"/>
          <w:color w:val="002060"/>
        </w:rPr>
        <w:t xml:space="preserve">Fleet </w:t>
      </w:r>
      <w:r w:rsidR="0098306A">
        <w:rPr>
          <w:b/>
          <w:bCs w:val="0"/>
          <w:color w:val="002060"/>
        </w:rPr>
        <w:t>t</w:t>
      </w:r>
      <w:r w:rsidR="0098306A" w:rsidRPr="00AE3EA3">
        <w:rPr>
          <w:b/>
          <w:bCs w:val="0"/>
          <w:color w:val="002060"/>
        </w:rPr>
        <w:t>ransition</w:t>
      </w:r>
    </w:p>
    <w:p w14:paraId="0848E5E4" w14:textId="73C4CEC0" w:rsidR="00246940" w:rsidRDefault="00D643EB" w:rsidP="0098306A">
      <w:pPr>
        <w:pStyle w:val="KeyInfo"/>
        <w:rPr>
          <w:b/>
          <w:bCs/>
        </w:rPr>
      </w:pPr>
      <w:r>
        <w:rPr>
          <w:b/>
          <w:bCs/>
        </w:rPr>
        <w:t xml:space="preserve">Action: </w:t>
      </w:r>
      <w:r w:rsidR="00246940" w:rsidRPr="00931EE4">
        <w:rPr>
          <w:b/>
          <w:bCs/>
        </w:rPr>
        <w:t xml:space="preserve">75% of </w:t>
      </w:r>
      <w:r>
        <w:rPr>
          <w:b/>
          <w:bCs/>
        </w:rPr>
        <w:t>f</w:t>
      </w:r>
      <w:r w:rsidRPr="00931EE4">
        <w:rPr>
          <w:b/>
          <w:bCs/>
        </w:rPr>
        <w:t xml:space="preserve">leet </w:t>
      </w:r>
      <w:r w:rsidR="00246940">
        <w:rPr>
          <w:b/>
          <w:bCs/>
        </w:rPr>
        <w:t>orders</w:t>
      </w:r>
      <w:r w:rsidR="00246940" w:rsidRPr="00931EE4">
        <w:rPr>
          <w:b/>
          <w:bCs/>
        </w:rPr>
        <w:t xml:space="preserve"> to LEV by 2025</w:t>
      </w:r>
      <w:r w:rsidR="0098306A">
        <w:rPr>
          <w:b/>
          <w:bCs/>
        </w:rPr>
        <w:t>.</w:t>
      </w:r>
    </w:p>
    <w:p w14:paraId="778645D3" w14:textId="08C28239" w:rsidR="005A36AA" w:rsidRPr="00A32A54" w:rsidRDefault="007C53B1" w:rsidP="000A447D">
      <w:pPr>
        <w:pStyle w:val="BodyText"/>
      </w:pPr>
      <w:r>
        <w:t>We’ll</w:t>
      </w:r>
      <w:r w:rsidR="006C073E">
        <w:t xml:space="preserve"> t</w:t>
      </w:r>
      <w:r w:rsidR="00931EE4" w:rsidRPr="00931EE4">
        <w:t>ransition existing fleet cars to electric vehicles in support of the LEV targets.</w:t>
      </w:r>
      <w:r w:rsidR="0098306A">
        <w:t xml:space="preserve"> </w:t>
      </w:r>
      <w:r w:rsidR="00A03448" w:rsidRPr="00931EE4">
        <w:t>Fleet Vehicle Control Officers analysed fleet-level data</w:t>
      </w:r>
      <w:r w:rsidR="0098306A">
        <w:t xml:space="preserve">, </w:t>
      </w:r>
      <w:r w:rsidR="00A03448" w:rsidRPr="00931EE4">
        <w:t>including car usage to identify where the most need is</w:t>
      </w:r>
      <w:r w:rsidR="0098306A">
        <w:t xml:space="preserve">, </w:t>
      </w:r>
      <w:r w:rsidR="00A03448" w:rsidRPr="00931EE4">
        <w:t>and</w:t>
      </w:r>
      <w:r w:rsidR="005A5C3D">
        <w:t xml:space="preserve"> </w:t>
      </w:r>
      <w:r w:rsidR="00FC5CAE">
        <w:t xml:space="preserve">156 </w:t>
      </w:r>
      <w:r w:rsidR="00A03448" w:rsidRPr="00931EE4">
        <w:t xml:space="preserve">electric vehicles have been </w:t>
      </w:r>
      <w:r w:rsidR="00477DF2">
        <w:t>delivered</w:t>
      </w:r>
      <w:r w:rsidR="00A03448" w:rsidRPr="00931EE4">
        <w:t xml:space="preserve"> across </w:t>
      </w:r>
      <w:proofErr w:type="gramStart"/>
      <w:r w:rsidR="00A03448" w:rsidRPr="00931EE4">
        <w:t>a number of</w:t>
      </w:r>
      <w:proofErr w:type="gramEnd"/>
      <w:r w:rsidR="00A03448" w:rsidRPr="00931EE4">
        <w:t xml:space="preserve"> </w:t>
      </w:r>
      <w:r>
        <w:t>our</w:t>
      </w:r>
      <w:r w:rsidR="00315AF4">
        <w:t xml:space="preserve"> </w:t>
      </w:r>
      <w:r w:rsidR="00A03448" w:rsidRPr="00931EE4">
        <w:t xml:space="preserve">sites. </w:t>
      </w:r>
    </w:p>
    <w:p w14:paraId="53F79C94" w14:textId="2CD8981E" w:rsidR="00A03448" w:rsidRPr="00AE3EA3" w:rsidRDefault="00A03448" w:rsidP="00A32A54">
      <w:pPr>
        <w:pStyle w:val="SAHeadinglevel4"/>
        <w:rPr>
          <w:b/>
          <w:bCs w:val="0"/>
          <w:color w:val="002060"/>
        </w:rPr>
      </w:pPr>
      <w:r w:rsidRPr="00AE3EA3">
        <w:rPr>
          <w:b/>
          <w:bCs w:val="0"/>
          <w:color w:val="002060"/>
        </w:rPr>
        <w:t>E</w:t>
      </w:r>
      <w:r w:rsidR="0098306A">
        <w:rPr>
          <w:b/>
          <w:bCs w:val="0"/>
          <w:color w:val="002060"/>
        </w:rPr>
        <w:t>lectric vehicle</w:t>
      </w:r>
      <w:r w:rsidRPr="00AE3EA3">
        <w:rPr>
          <w:b/>
          <w:bCs w:val="0"/>
          <w:color w:val="002060"/>
        </w:rPr>
        <w:t xml:space="preserve"> </w:t>
      </w:r>
      <w:r w:rsidR="0098306A">
        <w:rPr>
          <w:b/>
          <w:bCs w:val="0"/>
          <w:color w:val="002060"/>
        </w:rPr>
        <w:t>c</w:t>
      </w:r>
      <w:r w:rsidRPr="00AE3EA3">
        <w:rPr>
          <w:b/>
          <w:bCs w:val="0"/>
          <w:color w:val="002060"/>
        </w:rPr>
        <w:t xml:space="preserve">harging </w:t>
      </w:r>
      <w:r w:rsidR="0098306A">
        <w:rPr>
          <w:b/>
          <w:bCs w:val="0"/>
          <w:color w:val="002060"/>
        </w:rPr>
        <w:t>i</w:t>
      </w:r>
      <w:r w:rsidR="0098306A" w:rsidRPr="00AE3EA3">
        <w:rPr>
          <w:b/>
          <w:bCs w:val="0"/>
          <w:color w:val="002060"/>
        </w:rPr>
        <w:t xml:space="preserve">nfrastructure </w:t>
      </w:r>
      <w:r w:rsidR="00051599" w:rsidRPr="00AE3EA3">
        <w:rPr>
          <w:b/>
          <w:bCs w:val="0"/>
          <w:color w:val="002060"/>
        </w:rPr>
        <w:t xml:space="preserve">and approach to support </w:t>
      </w:r>
      <w:r w:rsidR="0098306A">
        <w:rPr>
          <w:b/>
          <w:bCs w:val="0"/>
          <w:color w:val="002060"/>
        </w:rPr>
        <w:t>f</w:t>
      </w:r>
      <w:r w:rsidR="0098306A" w:rsidRPr="00AE3EA3">
        <w:rPr>
          <w:b/>
          <w:bCs w:val="0"/>
          <w:color w:val="002060"/>
        </w:rPr>
        <w:t xml:space="preserve">leet </w:t>
      </w:r>
      <w:r w:rsidR="00051599" w:rsidRPr="00AE3EA3">
        <w:rPr>
          <w:b/>
          <w:bCs w:val="0"/>
          <w:color w:val="002060"/>
        </w:rPr>
        <w:t>transition</w:t>
      </w:r>
    </w:p>
    <w:p w14:paraId="556C0C64" w14:textId="0E34819F" w:rsidR="00246940" w:rsidRDefault="00D643EB" w:rsidP="00246940">
      <w:pPr>
        <w:pStyle w:val="KeyInfo"/>
        <w:rPr>
          <w:b/>
          <w:bCs/>
        </w:rPr>
      </w:pPr>
      <w:r>
        <w:rPr>
          <w:b/>
          <w:bCs/>
        </w:rPr>
        <w:t xml:space="preserve">Action: </w:t>
      </w:r>
      <w:r w:rsidR="00406C11">
        <w:rPr>
          <w:b/>
          <w:bCs/>
        </w:rPr>
        <w:t>W</w:t>
      </w:r>
      <w:r w:rsidR="0098306A">
        <w:rPr>
          <w:b/>
          <w:bCs/>
        </w:rPr>
        <w:t xml:space="preserve">e’ll </w:t>
      </w:r>
      <w:r w:rsidR="008169CD">
        <w:rPr>
          <w:b/>
          <w:bCs/>
        </w:rPr>
        <w:t>i</w:t>
      </w:r>
      <w:r w:rsidR="00246940">
        <w:rPr>
          <w:b/>
          <w:bCs/>
        </w:rPr>
        <w:t>nstall EV charging infrastructure</w:t>
      </w:r>
      <w:r w:rsidR="004E2141">
        <w:rPr>
          <w:b/>
          <w:bCs/>
        </w:rPr>
        <w:t xml:space="preserve"> (</w:t>
      </w:r>
      <w:r w:rsidR="008169CD">
        <w:rPr>
          <w:b/>
          <w:bCs/>
        </w:rPr>
        <w:t>f</w:t>
      </w:r>
      <w:r w:rsidR="004E2141">
        <w:rPr>
          <w:b/>
          <w:bCs/>
        </w:rPr>
        <w:t>leet cars only)</w:t>
      </w:r>
      <w:r w:rsidR="00246940">
        <w:rPr>
          <w:b/>
          <w:bCs/>
        </w:rPr>
        <w:t xml:space="preserve"> at </w:t>
      </w:r>
      <w:r w:rsidR="00A73D50">
        <w:rPr>
          <w:b/>
          <w:bCs/>
        </w:rPr>
        <w:t>our</w:t>
      </w:r>
      <w:r w:rsidR="00246940">
        <w:rPr>
          <w:b/>
          <w:bCs/>
        </w:rPr>
        <w:t xml:space="preserve"> sites </w:t>
      </w:r>
      <w:r w:rsidR="009F6F43">
        <w:rPr>
          <w:b/>
          <w:bCs/>
        </w:rPr>
        <w:t xml:space="preserve">to support </w:t>
      </w:r>
      <w:r w:rsidR="008169CD">
        <w:rPr>
          <w:b/>
          <w:bCs/>
        </w:rPr>
        <w:t>f</w:t>
      </w:r>
      <w:r w:rsidR="009F6F43">
        <w:rPr>
          <w:b/>
          <w:bCs/>
        </w:rPr>
        <w:t>leet transition</w:t>
      </w:r>
      <w:r w:rsidR="008169CD">
        <w:rPr>
          <w:b/>
          <w:bCs/>
        </w:rPr>
        <w:t>.</w:t>
      </w:r>
    </w:p>
    <w:p w14:paraId="4E931839" w14:textId="0B928FE9" w:rsidR="00A32A54" w:rsidRDefault="008169CD" w:rsidP="000A447D">
      <w:pPr>
        <w:pStyle w:val="BodyText"/>
      </w:pPr>
      <w:r>
        <w:t>As</w:t>
      </w:r>
      <w:r w:rsidR="00577114">
        <w:t xml:space="preserve"> </w:t>
      </w:r>
      <w:proofErr w:type="gramStart"/>
      <w:r w:rsidR="00577114">
        <w:t>at</w:t>
      </w:r>
      <w:proofErr w:type="gramEnd"/>
      <w:r w:rsidR="00577114">
        <w:t xml:space="preserve"> </w:t>
      </w:r>
      <w:r w:rsidR="0073029E">
        <w:t xml:space="preserve">30 </w:t>
      </w:r>
      <w:r w:rsidR="003807D8">
        <w:t>Ju</w:t>
      </w:r>
      <w:r w:rsidR="0073029E">
        <w:t>ne</w:t>
      </w:r>
      <w:r w:rsidR="00577114">
        <w:t xml:space="preserve"> </w:t>
      </w:r>
      <w:r w:rsidR="00FC5CAE">
        <w:t>2025</w:t>
      </w:r>
      <w:r w:rsidR="00577114">
        <w:t>,</w:t>
      </w:r>
      <w:r w:rsidR="00EC1360">
        <w:t xml:space="preserve"> </w:t>
      </w:r>
      <w:r w:rsidR="00A73D50">
        <w:t>we have</w:t>
      </w:r>
      <w:r>
        <w:t xml:space="preserve"> </w:t>
      </w:r>
      <w:r w:rsidR="00EC1360">
        <w:t>installed</w:t>
      </w:r>
      <w:r w:rsidR="00577114">
        <w:t xml:space="preserve"> </w:t>
      </w:r>
      <w:r w:rsidR="00FC5CAE">
        <w:t xml:space="preserve">26 </w:t>
      </w:r>
      <w:r w:rsidR="00EC1360">
        <w:t xml:space="preserve">EV </w:t>
      </w:r>
      <w:r w:rsidR="000F454D">
        <w:t>chargers,</w:t>
      </w:r>
      <w:r w:rsidR="001435B6">
        <w:t xml:space="preserve"> </w:t>
      </w:r>
      <w:r>
        <w:t xml:space="preserve">with </w:t>
      </w:r>
      <w:r w:rsidR="00FC5CAE">
        <w:t xml:space="preserve">13 sites currently installing and 72 sites </w:t>
      </w:r>
      <w:r w:rsidR="001435B6">
        <w:t>in negotiations with the landlord.</w:t>
      </w:r>
    </w:p>
    <w:p w14:paraId="588690BF" w14:textId="072F4A7B" w:rsidR="002C1B65" w:rsidRPr="00D40DC1" w:rsidRDefault="001435B6" w:rsidP="000A447D">
      <w:pPr>
        <w:pStyle w:val="BodyText"/>
      </w:pPr>
      <w:r w:rsidRPr="00780C53">
        <w:t>This highlights</w:t>
      </w:r>
      <w:r>
        <w:t xml:space="preserve"> the complexities </w:t>
      </w:r>
      <w:r w:rsidR="00A73D50">
        <w:t>we</w:t>
      </w:r>
      <w:r w:rsidR="008169CD">
        <w:t xml:space="preserve"> </w:t>
      </w:r>
      <w:r>
        <w:t>navigate with leased sites and there is no one-size-fits-all solution as landlords have different requirements and priorities for their property portfolios.</w:t>
      </w:r>
      <w:r w:rsidR="007E13E7">
        <w:t xml:space="preserve"> Additionally</w:t>
      </w:r>
      <w:r w:rsidR="00ED403A">
        <w:t>,</w:t>
      </w:r>
      <w:r w:rsidR="007E13E7">
        <w:t xml:space="preserve"> there m</w:t>
      </w:r>
      <w:r w:rsidR="00A73D50">
        <w:t>ight</w:t>
      </w:r>
      <w:r w:rsidR="007E13E7">
        <w:t xml:space="preserve"> be other constraints such as insurance requirements and electrical upgrades that must be considered before charger installation can commence.</w:t>
      </w:r>
      <w:r w:rsidR="00C07BAC">
        <w:t xml:space="preserve"> This is evident in older buildings where electrical infrastructure is outdated and requires upgrades to cope with higher electrical demand.</w:t>
      </w:r>
      <w:r>
        <w:t xml:space="preserve">  </w:t>
      </w:r>
      <w:r w:rsidR="00A03448" w:rsidRPr="00D778DD">
        <w:t xml:space="preserve"> </w:t>
      </w:r>
    </w:p>
    <w:p w14:paraId="2F398317" w14:textId="3C491279" w:rsidR="00384792" w:rsidRPr="00AE3EA3" w:rsidRDefault="00384792" w:rsidP="00915873">
      <w:pPr>
        <w:pStyle w:val="SAHeadinglevel3"/>
        <w:rPr>
          <w:color w:val="002060"/>
        </w:rPr>
      </w:pPr>
      <w:bookmarkStart w:id="27" w:name="_Toc218750549"/>
      <w:r w:rsidRPr="00AE3EA3">
        <w:rPr>
          <w:color w:val="002060"/>
        </w:rPr>
        <w:t xml:space="preserve">Sustainable </w:t>
      </w:r>
      <w:r w:rsidR="008169CD">
        <w:rPr>
          <w:color w:val="002060"/>
        </w:rPr>
        <w:t>p</w:t>
      </w:r>
      <w:r w:rsidR="008169CD" w:rsidRPr="00AE3EA3">
        <w:rPr>
          <w:color w:val="002060"/>
        </w:rPr>
        <w:t>rocurement</w:t>
      </w:r>
      <w:bookmarkEnd w:id="27"/>
    </w:p>
    <w:p w14:paraId="5B1C2709" w14:textId="0D2CD618" w:rsidR="00B52DEE" w:rsidRPr="00931EE4" w:rsidRDefault="00D643EB" w:rsidP="00B52DEE">
      <w:pPr>
        <w:pStyle w:val="KeyInfo"/>
        <w:spacing w:after="240"/>
        <w:rPr>
          <w:b/>
          <w:bCs/>
        </w:rPr>
      </w:pPr>
      <w:r>
        <w:rPr>
          <w:b/>
          <w:bCs/>
        </w:rPr>
        <w:t xml:space="preserve">Action: </w:t>
      </w:r>
      <w:r w:rsidR="00406C11">
        <w:rPr>
          <w:b/>
          <w:bCs/>
        </w:rPr>
        <w:t>W</w:t>
      </w:r>
      <w:r w:rsidR="008169CD">
        <w:rPr>
          <w:b/>
          <w:bCs/>
        </w:rPr>
        <w:t>e’ll s</w:t>
      </w:r>
      <w:r w:rsidR="00BC0391">
        <w:rPr>
          <w:b/>
          <w:bCs/>
        </w:rPr>
        <w:t xml:space="preserve">upport the </w:t>
      </w:r>
      <w:r w:rsidR="0031296A">
        <w:rPr>
          <w:b/>
          <w:bCs/>
        </w:rPr>
        <w:t>ESPP</w:t>
      </w:r>
      <w:r w:rsidR="008169CD">
        <w:rPr>
          <w:b/>
          <w:bCs/>
        </w:rPr>
        <w:t>.</w:t>
      </w:r>
    </w:p>
    <w:p w14:paraId="533F891E" w14:textId="717327A7" w:rsidR="00A03448" w:rsidRPr="0084235C" w:rsidRDefault="00A03448" w:rsidP="000A447D">
      <w:pPr>
        <w:pStyle w:val="BodyText"/>
      </w:pPr>
      <w:r w:rsidRPr="0084235C">
        <w:t xml:space="preserve">The Australian Government has committed to strengthen the environmental sustainability provisions in the Commonwealth Procurement Rules to drive demand for recycled content. Sustainable procurement also supports </w:t>
      </w:r>
      <w:r w:rsidR="004A3249">
        <w:t>our</w:t>
      </w:r>
      <w:r w:rsidR="008169CD" w:rsidRPr="0084235C">
        <w:t xml:space="preserve"> </w:t>
      </w:r>
      <w:r w:rsidRPr="0084235C">
        <w:t xml:space="preserve">commitment to </w:t>
      </w:r>
      <w:r w:rsidR="008169CD">
        <w:t>n</w:t>
      </w:r>
      <w:r w:rsidR="008169CD" w:rsidRPr="0084235C">
        <w:t xml:space="preserve">et </w:t>
      </w:r>
      <w:r w:rsidR="008169CD">
        <w:t>z</w:t>
      </w:r>
      <w:r w:rsidR="008169CD" w:rsidRPr="0084235C">
        <w:t xml:space="preserve">ero </w:t>
      </w:r>
      <w:r w:rsidRPr="0084235C">
        <w:t xml:space="preserve">by 2030, a circular economy, the National Waste Policy and the Buy Australia Plan. </w:t>
      </w:r>
    </w:p>
    <w:p w14:paraId="26096806" w14:textId="637E45DA" w:rsidR="00C16808" w:rsidRDefault="00A03448" w:rsidP="000A447D">
      <w:pPr>
        <w:pStyle w:val="BodyText"/>
      </w:pPr>
      <w:r w:rsidRPr="0084235C">
        <w:t xml:space="preserve">To support this, </w:t>
      </w:r>
      <w:r w:rsidR="004A3249">
        <w:t>we’re</w:t>
      </w:r>
      <w:r w:rsidRPr="0084235C">
        <w:t xml:space="preserve"> committed to support </w:t>
      </w:r>
      <w:r w:rsidR="00BB135A">
        <w:t>DCCEEW</w:t>
      </w:r>
      <w:r w:rsidR="006A1C77">
        <w:t>’s</w:t>
      </w:r>
      <w:r w:rsidRPr="0084235C">
        <w:t xml:space="preserve"> </w:t>
      </w:r>
      <w:r w:rsidR="0031296A">
        <w:t>ESPP</w:t>
      </w:r>
      <w:r w:rsidR="00CC6550">
        <w:t xml:space="preserve"> (released May 2024)</w:t>
      </w:r>
      <w:r w:rsidRPr="0084235C">
        <w:t xml:space="preserve">. </w:t>
      </w:r>
      <w:r w:rsidR="00780C53">
        <w:t>This</w:t>
      </w:r>
      <w:r w:rsidRPr="00780C53">
        <w:t xml:space="preserve"> policy allow</w:t>
      </w:r>
      <w:r w:rsidR="00CC6550" w:rsidRPr="00780C53">
        <w:t>s</w:t>
      </w:r>
      <w:r w:rsidRPr="00780C53">
        <w:t xml:space="preserve"> </w:t>
      </w:r>
      <w:r w:rsidR="00A06D73">
        <w:t>us</w:t>
      </w:r>
      <w:r w:rsidR="008169CD" w:rsidRPr="00780C53">
        <w:t xml:space="preserve"> </w:t>
      </w:r>
      <w:r w:rsidRPr="00780C53">
        <w:t>to integrate robust sustainable procurement information for staff and teams and refer to the relevant policy owners</w:t>
      </w:r>
      <w:r w:rsidR="006A1C77" w:rsidRPr="00780C53">
        <w:t xml:space="preserve"> and their responsibilities</w:t>
      </w:r>
      <w:r w:rsidRPr="00780C53">
        <w:t>.</w:t>
      </w:r>
    </w:p>
    <w:p w14:paraId="759DA7F8" w14:textId="3BEF2ABA" w:rsidR="000F3F4A" w:rsidRDefault="00C16808" w:rsidP="000A447D">
      <w:pPr>
        <w:pStyle w:val="BodyText"/>
      </w:pPr>
      <w:r w:rsidRPr="00D9661D">
        <w:rPr>
          <w:b/>
          <w:bCs/>
        </w:rPr>
        <w:t>Procurement of construction services over $7.</w:t>
      </w:r>
      <w:r w:rsidR="0031296A" w:rsidRPr="00D9661D">
        <w:rPr>
          <w:b/>
          <w:bCs/>
        </w:rPr>
        <w:t>5</w:t>
      </w:r>
      <w:r w:rsidR="0031296A">
        <w:rPr>
          <w:b/>
          <w:bCs/>
        </w:rPr>
        <w:t xml:space="preserve"> million</w:t>
      </w:r>
      <w:r w:rsidR="008169CD">
        <w:rPr>
          <w:b/>
          <w:bCs/>
        </w:rPr>
        <w:t xml:space="preserve">: </w:t>
      </w:r>
      <w:r w:rsidRPr="005567E1">
        <w:t>From 1 July 2024</w:t>
      </w:r>
      <w:r>
        <w:t xml:space="preserve">, </w:t>
      </w:r>
      <w:r w:rsidR="00A06D73">
        <w:t>we’ll</w:t>
      </w:r>
      <w:r>
        <w:t xml:space="preserve"> require </w:t>
      </w:r>
      <w:r w:rsidR="008169CD">
        <w:t xml:space="preserve">tenderers </w:t>
      </w:r>
      <w:r>
        <w:t>to address and report against environmental sustainability through a Supplier Environmental Sustainability Plan (SESP). A SESP will be submitted by the supplier as part of their tender response.</w:t>
      </w:r>
      <w:r w:rsidR="000F3F4A">
        <w:t xml:space="preserve"> The SESP also includes specific reporting requirement.</w:t>
      </w:r>
    </w:p>
    <w:p w14:paraId="19BCE206" w14:textId="3189866E" w:rsidR="00F44CC7" w:rsidRDefault="000F3F4A" w:rsidP="000A447D">
      <w:pPr>
        <w:pStyle w:val="BodyText"/>
      </w:pPr>
      <w:r w:rsidRPr="00D9661D">
        <w:rPr>
          <w:b/>
          <w:bCs/>
        </w:rPr>
        <w:t>Procurement of furniture, fittings and equipment over $</w:t>
      </w:r>
      <w:r w:rsidR="0031296A" w:rsidRPr="00D9661D">
        <w:rPr>
          <w:b/>
          <w:bCs/>
        </w:rPr>
        <w:t>1</w:t>
      </w:r>
      <w:r w:rsidR="0031296A">
        <w:rPr>
          <w:b/>
          <w:bCs/>
        </w:rPr>
        <w:t xml:space="preserve"> million</w:t>
      </w:r>
      <w:r w:rsidR="008169CD">
        <w:t xml:space="preserve">: </w:t>
      </w:r>
      <w:r>
        <w:t>From 1 July 2025</w:t>
      </w:r>
      <w:r w:rsidR="008169CD">
        <w:t>,</w:t>
      </w:r>
      <w:r>
        <w:t xml:space="preserve"> there will be additional requirements for suppliers</w:t>
      </w:r>
      <w:r w:rsidR="00462EAA">
        <w:t>.</w:t>
      </w:r>
      <w:r>
        <w:t xml:space="preserve"> </w:t>
      </w:r>
      <w:r w:rsidR="00462EAA">
        <w:t>T</w:t>
      </w:r>
      <w:r>
        <w:t>he specifics</w:t>
      </w:r>
      <w:r w:rsidR="00E21B5F">
        <w:t xml:space="preserve"> and reporting requirements</w:t>
      </w:r>
      <w:r>
        <w:t xml:space="preserve"> are in development by </w:t>
      </w:r>
      <w:r w:rsidR="00BB135A">
        <w:t>DCCEEW</w:t>
      </w:r>
      <w:r>
        <w:t>.</w:t>
      </w:r>
    </w:p>
    <w:tbl>
      <w:tblPr>
        <w:tblStyle w:val="ServicesAustralia"/>
        <w:tblW w:w="0" w:type="auto"/>
        <w:tblLook w:val="04A0" w:firstRow="1" w:lastRow="0" w:firstColumn="1" w:lastColumn="0" w:noHBand="0" w:noVBand="1"/>
      </w:tblPr>
      <w:tblGrid>
        <w:gridCol w:w="3402"/>
        <w:gridCol w:w="6576"/>
      </w:tblGrid>
      <w:tr w:rsidR="008169CD" w14:paraId="62725DC2" w14:textId="77777777" w:rsidTr="00963B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1C32C312" w14:textId="42185B63" w:rsidR="008169CD" w:rsidRDefault="008169CD" w:rsidP="005567E1">
            <w:pPr>
              <w:pStyle w:val="SABodytext"/>
            </w:pPr>
            <w:r>
              <w:t>Sustainable procurement – what the agency will do</w:t>
            </w:r>
          </w:p>
        </w:tc>
      </w:tr>
      <w:tr w:rsidR="008169CD" w14:paraId="1DA4754A" w14:textId="77777777" w:rsidTr="005567E1">
        <w:tc>
          <w:tcPr>
            <w:cnfStyle w:val="001000000000" w:firstRow="0" w:lastRow="0" w:firstColumn="1" w:lastColumn="0" w:oddVBand="0" w:evenVBand="0" w:oddHBand="0" w:evenHBand="0" w:firstRowFirstColumn="0" w:firstRowLastColumn="0" w:lastRowFirstColumn="0" w:lastRowLastColumn="0"/>
            <w:tcW w:w="3402" w:type="dxa"/>
          </w:tcPr>
          <w:p w14:paraId="5883BB9C" w14:textId="1DEBB576" w:rsidR="008169CD" w:rsidRDefault="008169CD" w:rsidP="005567E1">
            <w:pPr>
              <w:pStyle w:val="SABodytext"/>
            </w:pPr>
            <w:r w:rsidRPr="004A2848">
              <w:t>Support a circular economy</w:t>
            </w:r>
          </w:p>
        </w:tc>
        <w:tc>
          <w:tcPr>
            <w:tcW w:w="6576" w:type="dxa"/>
          </w:tcPr>
          <w:p w14:paraId="50C12B3C" w14:textId="6C491BFD" w:rsidR="008169CD" w:rsidRPr="000A447D" w:rsidRDefault="008169CD" w:rsidP="000A447D">
            <w:pPr>
              <w:pStyle w:val="SABulletslevel"/>
              <w:cnfStyle w:val="000000000000" w:firstRow="0" w:lastRow="0" w:firstColumn="0" w:lastColumn="0" w:oddVBand="0" w:evenVBand="0" w:oddHBand="0" w:evenHBand="0" w:firstRowFirstColumn="0" w:firstRowLastColumn="0" w:lastRowFirstColumn="0" w:lastRowLastColumn="0"/>
            </w:pPr>
            <w:r w:rsidRPr="000A447D">
              <w:t xml:space="preserve">Reuse, repair, refurbish and use of recycled content where possible. This is driven by </w:t>
            </w:r>
            <w:r w:rsidR="00462EAA" w:rsidRPr="000A447D">
              <w:t>our</w:t>
            </w:r>
            <w:r w:rsidRPr="000A447D">
              <w:t xml:space="preserve"> Sustainable Properties Policy and framework.</w:t>
            </w:r>
          </w:p>
        </w:tc>
      </w:tr>
      <w:tr w:rsidR="008169CD" w14:paraId="180E4123" w14:textId="77777777" w:rsidTr="005567E1">
        <w:tc>
          <w:tcPr>
            <w:cnfStyle w:val="001000000000" w:firstRow="0" w:lastRow="0" w:firstColumn="1" w:lastColumn="0" w:oddVBand="0" w:evenVBand="0" w:oddHBand="0" w:evenHBand="0" w:firstRowFirstColumn="0" w:firstRowLastColumn="0" w:lastRowFirstColumn="0" w:lastRowLastColumn="0"/>
            <w:tcW w:w="3402" w:type="dxa"/>
          </w:tcPr>
          <w:p w14:paraId="49345F37" w14:textId="6B1B4BF5" w:rsidR="008169CD" w:rsidRPr="005567E1" w:rsidRDefault="008169CD" w:rsidP="005567E1">
            <w:pPr>
              <w:pStyle w:val="SABodytext"/>
              <w:rPr>
                <w:b w:val="0"/>
                <w:bCs w:val="0"/>
              </w:rPr>
            </w:pPr>
            <w:r w:rsidRPr="004A2848">
              <w:t>Minimise environmental impacts</w:t>
            </w:r>
          </w:p>
        </w:tc>
        <w:tc>
          <w:tcPr>
            <w:tcW w:w="6576" w:type="dxa"/>
          </w:tcPr>
          <w:p w14:paraId="793597D2" w14:textId="1CBBF4C0" w:rsidR="008169CD" w:rsidRPr="000A447D" w:rsidRDefault="008169CD" w:rsidP="000A447D">
            <w:pPr>
              <w:pStyle w:val="SABulletslevel"/>
              <w:cnfStyle w:val="000000000000" w:firstRow="0" w:lastRow="0" w:firstColumn="0" w:lastColumn="0" w:oddVBand="0" w:evenVBand="0" w:oddHBand="0" w:evenHBand="0" w:firstRowFirstColumn="0" w:firstRowLastColumn="0" w:lastRowFirstColumn="0" w:lastRowLastColumn="0"/>
            </w:pPr>
            <w:r w:rsidRPr="000A447D">
              <w:t xml:space="preserve">Improve water efficiency, </w:t>
            </w:r>
            <w:proofErr w:type="spellStart"/>
            <w:r w:rsidRPr="000A447D">
              <w:t>minimise</w:t>
            </w:r>
            <w:proofErr w:type="spellEnd"/>
            <w:r w:rsidRPr="000A447D">
              <w:t xml:space="preserve"> use of hazardous waste and materials.</w:t>
            </w:r>
          </w:p>
        </w:tc>
      </w:tr>
      <w:tr w:rsidR="008169CD" w14:paraId="26984A96" w14:textId="77777777" w:rsidTr="005567E1">
        <w:tc>
          <w:tcPr>
            <w:cnfStyle w:val="001000000000" w:firstRow="0" w:lastRow="0" w:firstColumn="1" w:lastColumn="0" w:oddVBand="0" w:evenVBand="0" w:oddHBand="0" w:evenHBand="0" w:firstRowFirstColumn="0" w:firstRowLastColumn="0" w:lastRowFirstColumn="0" w:lastRowLastColumn="0"/>
            <w:tcW w:w="3402" w:type="dxa"/>
          </w:tcPr>
          <w:p w14:paraId="5C0FCD55" w14:textId="71A92072" w:rsidR="008169CD" w:rsidRDefault="008169CD" w:rsidP="008169CD">
            <w:pPr>
              <w:pStyle w:val="SABodytext"/>
            </w:pPr>
            <w:r w:rsidRPr="004A2848">
              <w:t>Minimise climate change impacts</w:t>
            </w:r>
          </w:p>
        </w:tc>
        <w:tc>
          <w:tcPr>
            <w:tcW w:w="6576" w:type="dxa"/>
          </w:tcPr>
          <w:p w14:paraId="65451735" w14:textId="06244B1D" w:rsidR="008169CD" w:rsidRPr="000A447D" w:rsidRDefault="008169CD" w:rsidP="000A447D">
            <w:pPr>
              <w:pStyle w:val="SABulletslevel"/>
              <w:cnfStyle w:val="000000000000" w:firstRow="0" w:lastRow="0" w:firstColumn="0" w:lastColumn="0" w:oddVBand="0" w:evenVBand="0" w:oddHBand="0" w:evenHBand="0" w:firstRowFirstColumn="0" w:firstRowLastColumn="0" w:lastRowFirstColumn="0" w:lastRowLastColumn="0"/>
            </w:pPr>
            <w:r w:rsidRPr="000A447D">
              <w:t xml:space="preserve">Improve emissions reduction and energy efficiency. This will be driven by </w:t>
            </w:r>
            <w:r w:rsidR="009F5A02" w:rsidRPr="000A447D">
              <w:t>our</w:t>
            </w:r>
            <w:r w:rsidRPr="000A447D">
              <w:t xml:space="preserve"> Net Zero Action Plan and NZGO Policy.</w:t>
            </w:r>
          </w:p>
        </w:tc>
      </w:tr>
    </w:tbl>
    <w:p w14:paraId="21C011DC" w14:textId="21C5DD73" w:rsidR="00F44CC7" w:rsidRPr="0084235C" w:rsidRDefault="008169CD" w:rsidP="005567E1">
      <w:pPr>
        <w:pStyle w:val="Caption"/>
      </w:pPr>
      <w:r>
        <w:t>Figure 12: Sustainable procurement – what the agency will do</w:t>
      </w:r>
    </w:p>
    <w:p w14:paraId="3CA5F5BB" w14:textId="0CFB2BB6" w:rsidR="00F37C24" w:rsidRPr="00AE3EA3" w:rsidRDefault="00F37C24" w:rsidP="00F37C24">
      <w:pPr>
        <w:pStyle w:val="SAHeadinglevel3"/>
        <w:rPr>
          <w:color w:val="002060"/>
        </w:rPr>
      </w:pPr>
      <w:bookmarkStart w:id="28" w:name="_Toc218750550"/>
      <w:bookmarkStart w:id="29" w:name="_Toc147758815"/>
      <w:r w:rsidRPr="00AE3EA3">
        <w:rPr>
          <w:color w:val="002060"/>
        </w:rPr>
        <w:t xml:space="preserve">Data </w:t>
      </w:r>
      <w:r w:rsidR="008169CD">
        <w:rPr>
          <w:color w:val="002060"/>
        </w:rPr>
        <w:t>c</w:t>
      </w:r>
      <w:r w:rsidRPr="00AE3EA3">
        <w:rPr>
          <w:color w:val="002060"/>
        </w:rPr>
        <w:t xml:space="preserve">entre </w:t>
      </w:r>
      <w:r w:rsidR="008169CD">
        <w:rPr>
          <w:color w:val="002060"/>
        </w:rPr>
        <w:t>t</w:t>
      </w:r>
      <w:r w:rsidRPr="00AE3EA3">
        <w:rPr>
          <w:color w:val="002060"/>
        </w:rPr>
        <w:t>ransition</w:t>
      </w:r>
      <w:bookmarkEnd w:id="28"/>
    </w:p>
    <w:p w14:paraId="674FAE1C" w14:textId="05C83762" w:rsidR="00B52DEE" w:rsidRPr="00931EE4" w:rsidRDefault="00D643EB" w:rsidP="00B52DEE">
      <w:pPr>
        <w:pStyle w:val="KeyInfo"/>
        <w:spacing w:after="240"/>
        <w:rPr>
          <w:b/>
          <w:bCs/>
        </w:rPr>
      </w:pPr>
      <w:r>
        <w:rPr>
          <w:b/>
          <w:bCs/>
        </w:rPr>
        <w:t xml:space="preserve">Action: </w:t>
      </w:r>
      <w:r w:rsidR="00406C11">
        <w:rPr>
          <w:b/>
          <w:bCs/>
        </w:rPr>
        <w:t>W</w:t>
      </w:r>
      <w:r w:rsidR="008169CD">
        <w:rPr>
          <w:b/>
          <w:bCs/>
        </w:rPr>
        <w:t>e’ll s</w:t>
      </w:r>
      <w:r w:rsidR="006D79B0">
        <w:rPr>
          <w:b/>
          <w:bCs/>
        </w:rPr>
        <w:t xml:space="preserve">upport NZGO through the Data Centre Panel and measures for data </w:t>
      </w:r>
      <w:r w:rsidR="000F454D">
        <w:rPr>
          <w:b/>
          <w:bCs/>
        </w:rPr>
        <w:t>center</w:t>
      </w:r>
      <w:r w:rsidR="006D79B0">
        <w:rPr>
          <w:b/>
          <w:bCs/>
        </w:rPr>
        <w:t xml:space="preserve"> providers to manage and reduce their greenhouse gas emissions.</w:t>
      </w:r>
    </w:p>
    <w:p w14:paraId="518A54C1" w14:textId="6D016844" w:rsidR="00BF6032" w:rsidRPr="001B2E4D" w:rsidRDefault="00BF6032" w:rsidP="000A447D">
      <w:pPr>
        <w:pStyle w:val="BodyText"/>
        <w:rPr>
          <w:lang w:eastAsia="en-US"/>
        </w:rPr>
      </w:pPr>
      <w:r w:rsidRPr="001B2E4D">
        <w:rPr>
          <w:lang w:eastAsia="en-US"/>
        </w:rPr>
        <w:t xml:space="preserve">In May 2023, </w:t>
      </w:r>
      <w:r w:rsidR="008169CD">
        <w:rPr>
          <w:lang w:eastAsia="en-US"/>
        </w:rPr>
        <w:t xml:space="preserve">the </w:t>
      </w:r>
      <w:r w:rsidRPr="001B2E4D">
        <w:rPr>
          <w:lang w:eastAsia="en-US"/>
        </w:rPr>
        <w:t>D</w:t>
      </w:r>
      <w:r w:rsidR="00112E64">
        <w:rPr>
          <w:lang w:eastAsia="en-US"/>
        </w:rPr>
        <w:t xml:space="preserve">igital </w:t>
      </w:r>
      <w:r w:rsidRPr="001B2E4D">
        <w:rPr>
          <w:lang w:eastAsia="en-US"/>
        </w:rPr>
        <w:t>T</w:t>
      </w:r>
      <w:r w:rsidR="00112E64">
        <w:rPr>
          <w:lang w:eastAsia="en-US"/>
        </w:rPr>
        <w:t xml:space="preserve">ransformation </w:t>
      </w:r>
      <w:r w:rsidRPr="001B2E4D">
        <w:rPr>
          <w:lang w:eastAsia="en-US"/>
        </w:rPr>
        <w:t>A</w:t>
      </w:r>
      <w:r w:rsidR="00112E64">
        <w:rPr>
          <w:lang w:eastAsia="en-US"/>
        </w:rPr>
        <w:t>gency</w:t>
      </w:r>
      <w:r w:rsidRPr="001B2E4D">
        <w:rPr>
          <w:lang w:eastAsia="en-US"/>
        </w:rPr>
        <w:t xml:space="preserve"> established a Data Centre Panel which </w:t>
      </w:r>
      <w:r w:rsidR="00C41F08">
        <w:rPr>
          <w:lang w:eastAsia="en-US"/>
        </w:rPr>
        <w:t xml:space="preserve">incorporated </w:t>
      </w:r>
      <w:r w:rsidRPr="001B2E4D">
        <w:rPr>
          <w:lang w:eastAsia="en-US"/>
        </w:rPr>
        <w:t xml:space="preserve">strengthened measures for data centre providers to identify, manage and reduce their greenhouse gas emissions. Data </w:t>
      </w:r>
      <w:r w:rsidR="00D643EB">
        <w:rPr>
          <w:lang w:eastAsia="en-US"/>
        </w:rPr>
        <w:t>c</w:t>
      </w:r>
      <w:r w:rsidR="00D643EB" w:rsidRPr="001B2E4D">
        <w:rPr>
          <w:lang w:eastAsia="en-US"/>
        </w:rPr>
        <w:t xml:space="preserve">entres </w:t>
      </w:r>
      <w:r w:rsidRPr="001B2E4D">
        <w:rPr>
          <w:lang w:eastAsia="en-US"/>
        </w:rPr>
        <w:t xml:space="preserve">must meet the following minimum requirements: </w:t>
      </w:r>
    </w:p>
    <w:p w14:paraId="42E25FD5" w14:textId="6A09F0D8"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M</w:t>
      </w:r>
      <w:r w:rsidR="00BF6032" w:rsidRPr="001B2E4D">
        <w:rPr>
          <w:rFonts w:asciiTheme="minorHAnsi" w:hAnsiTheme="minorHAnsi" w:cs="Calibri"/>
          <w:lang w:eastAsia="en-US"/>
        </w:rPr>
        <w:t>eet the requirements of the Government’s ICT Sustainability Plan</w:t>
      </w:r>
      <w:r w:rsidR="0018558E">
        <w:rPr>
          <w:rFonts w:asciiTheme="minorHAnsi" w:hAnsiTheme="minorHAnsi" w:cs="Calibri"/>
          <w:lang w:eastAsia="en-US"/>
        </w:rPr>
        <w:t xml:space="preserve"> </w:t>
      </w:r>
      <w:r w:rsidR="00BF6032" w:rsidRPr="001B2E4D">
        <w:rPr>
          <w:rFonts w:asciiTheme="minorHAnsi" w:hAnsiTheme="minorHAnsi" w:cs="Calibri"/>
          <w:lang w:eastAsia="en-US"/>
        </w:rPr>
        <w:t>1 for data centres</w:t>
      </w:r>
      <w:r>
        <w:rPr>
          <w:rFonts w:asciiTheme="minorHAnsi" w:hAnsiTheme="minorHAnsi" w:cs="Calibri"/>
          <w:lang w:eastAsia="en-US"/>
        </w:rPr>
        <w:t>.</w:t>
      </w:r>
      <w:r w:rsidR="00BF6032" w:rsidRPr="001B2E4D">
        <w:rPr>
          <w:rFonts w:asciiTheme="minorHAnsi" w:hAnsiTheme="minorHAnsi" w:cs="Calibri"/>
          <w:lang w:eastAsia="en-US"/>
        </w:rPr>
        <w:t xml:space="preserve"> </w:t>
      </w:r>
    </w:p>
    <w:p w14:paraId="0183418E" w14:textId="1A697DE4"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C</w:t>
      </w:r>
      <w:r w:rsidR="00BF6032" w:rsidRPr="001B2E4D">
        <w:rPr>
          <w:rFonts w:asciiTheme="minorHAnsi" w:hAnsiTheme="minorHAnsi" w:cs="Calibri"/>
          <w:lang w:eastAsia="en-US"/>
        </w:rPr>
        <w:t>omply with emission thresholds under the NGER Act</w:t>
      </w:r>
      <w:r>
        <w:rPr>
          <w:rFonts w:asciiTheme="minorHAnsi" w:hAnsiTheme="minorHAnsi" w:cs="Calibri"/>
          <w:lang w:eastAsia="en-US"/>
        </w:rPr>
        <w:t>.</w:t>
      </w:r>
      <w:r w:rsidR="00BF6032" w:rsidRPr="001B2E4D">
        <w:rPr>
          <w:rFonts w:asciiTheme="minorHAnsi" w:hAnsiTheme="minorHAnsi" w:cs="Calibri"/>
          <w:lang w:eastAsia="en-US"/>
        </w:rPr>
        <w:t xml:space="preserve"> </w:t>
      </w:r>
    </w:p>
    <w:p w14:paraId="23768987" w14:textId="5C0F4B20"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U</w:t>
      </w:r>
      <w:r w:rsidR="00BF6032" w:rsidRPr="001B2E4D">
        <w:rPr>
          <w:rFonts w:asciiTheme="minorHAnsi" w:hAnsiTheme="minorHAnsi" w:cs="Calibri"/>
          <w:lang w:eastAsia="en-US"/>
        </w:rPr>
        <w:t>se accredited Greenpower from renewable sources</w:t>
      </w:r>
      <w:r>
        <w:rPr>
          <w:rFonts w:asciiTheme="minorHAnsi" w:hAnsiTheme="minorHAnsi" w:cs="Calibri"/>
          <w:lang w:eastAsia="en-US"/>
        </w:rPr>
        <w:t>.</w:t>
      </w:r>
      <w:r w:rsidR="00BF6032" w:rsidRPr="001B2E4D">
        <w:rPr>
          <w:rFonts w:asciiTheme="minorHAnsi" w:hAnsiTheme="minorHAnsi" w:cs="Calibri"/>
          <w:lang w:eastAsia="en-US"/>
        </w:rPr>
        <w:t xml:space="preserve"> </w:t>
      </w:r>
    </w:p>
    <w:p w14:paraId="1586C894" w14:textId="51C1E669"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H</w:t>
      </w:r>
      <w:r w:rsidR="00BF6032" w:rsidRPr="001B2E4D">
        <w:rPr>
          <w:rFonts w:asciiTheme="minorHAnsi" w:hAnsiTheme="minorHAnsi" w:cs="Calibri"/>
          <w:lang w:eastAsia="en-US"/>
        </w:rPr>
        <w:t>ave a 5-star NABERS rating or equivalent environmental rating</w:t>
      </w:r>
      <w:r>
        <w:rPr>
          <w:rFonts w:asciiTheme="minorHAnsi" w:hAnsiTheme="minorHAnsi" w:cs="Calibri"/>
          <w:lang w:eastAsia="en-US"/>
        </w:rPr>
        <w:t>.</w:t>
      </w:r>
      <w:r w:rsidR="00BF6032" w:rsidRPr="001B2E4D">
        <w:rPr>
          <w:rFonts w:asciiTheme="minorHAnsi" w:hAnsiTheme="minorHAnsi" w:cs="Calibri"/>
          <w:lang w:eastAsia="en-US"/>
        </w:rPr>
        <w:t xml:space="preserve"> </w:t>
      </w:r>
    </w:p>
    <w:p w14:paraId="6EC98E26" w14:textId="16B1378B"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T</w:t>
      </w:r>
      <w:r w:rsidR="00BF6032" w:rsidRPr="001B2E4D">
        <w:rPr>
          <w:rFonts w:asciiTheme="minorHAnsi" w:hAnsiTheme="minorHAnsi" w:cs="Calibri"/>
          <w:lang w:eastAsia="en-US"/>
        </w:rPr>
        <w:t>arget a Power Use Efficiency (PUE) of less than 1.4</w:t>
      </w:r>
      <w:r>
        <w:rPr>
          <w:rFonts w:asciiTheme="minorHAnsi" w:hAnsiTheme="minorHAnsi" w:cs="Calibri"/>
          <w:lang w:eastAsia="en-US"/>
        </w:rPr>
        <w:t>.</w:t>
      </w:r>
      <w:r w:rsidR="00BF6032" w:rsidRPr="001B2E4D">
        <w:rPr>
          <w:rFonts w:asciiTheme="minorHAnsi" w:hAnsiTheme="minorHAnsi" w:cs="Calibri"/>
          <w:lang w:eastAsia="en-US"/>
        </w:rPr>
        <w:t xml:space="preserve"> </w:t>
      </w:r>
    </w:p>
    <w:p w14:paraId="455F28B9" w14:textId="27AC8A77" w:rsidR="00BF6032" w:rsidRPr="001B2E4D" w:rsidRDefault="00BD5CEE" w:rsidP="00BF6032">
      <w:pPr>
        <w:pStyle w:val="SAbodytext0"/>
        <w:numPr>
          <w:ilvl w:val="0"/>
          <w:numId w:val="17"/>
        </w:numPr>
        <w:rPr>
          <w:rFonts w:asciiTheme="minorHAnsi" w:hAnsiTheme="minorHAnsi" w:cs="Calibri"/>
          <w:lang w:eastAsia="en-US"/>
        </w:rPr>
      </w:pPr>
      <w:r>
        <w:rPr>
          <w:rFonts w:asciiTheme="minorHAnsi" w:hAnsiTheme="minorHAnsi" w:cs="Calibri"/>
          <w:lang w:eastAsia="en-US"/>
        </w:rPr>
        <w:t>H</w:t>
      </w:r>
      <w:r w:rsidR="00BF6032" w:rsidRPr="001B2E4D">
        <w:rPr>
          <w:rFonts w:asciiTheme="minorHAnsi" w:hAnsiTheme="minorHAnsi" w:cs="Calibri"/>
          <w:lang w:eastAsia="en-US"/>
        </w:rPr>
        <w:t>ave a roadmap to meet net zero emissions through innovation, planning and investment.</w:t>
      </w:r>
    </w:p>
    <w:p w14:paraId="0F7D80F2" w14:textId="4345FE39" w:rsidR="00BF6032" w:rsidRPr="00BF6032" w:rsidRDefault="00BD5CEE" w:rsidP="000A447D">
      <w:pPr>
        <w:pStyle w:val="BodyText"/>
      </w:pPr>
      <w:r>
        <w:t xml:space="preserve">Our </w:t>
      </w:r>
      <w:r w:rsidR="00D643EB">
        <w:t>2</w:t>
      </w:r>
      <w:r w:rsidR="00D643EB" w:rsidRPr="00BF6032">
        <w:t xml:space="preserve"> </w:t>
      </w:r>
      <w:r w:rsidR="00BF6032" w:rsidRPr="00BF6032">
        <w:t>data centres</w:t>
      </w:r>
      <w:r w:rsidR="00D643EB">
        <w:t xml:space="preserve"> </w:t>
      </w:r>
      <w:r w:rsidR="00BF6032" w:rsidRPr="00BF6032">
        <w:t>already meet these minimum standards.</w:t>
      </w:r>
    </w:p>
    <w:p w14:paraId="5A2B2264" w14:textId="6F369869" w:rsidR="0084515D" w:rsidRPr="00AE3EA3" w:rsidRDefault="0084515D" w:rsidP="0084515D">
      <w:pPr>
        <w:pStyle w:val="SAHeadinglevel3"/>
        <w:rPr>
          <w:color w:val="002060"/>
        </w:rPr>
      </w:pPr>
      <w:bookmarkStart w:id="30" w:name="_Toc218750551"/>
      <w:r w:rsidRPr="00AE3EA3">
        <w:rPr>
          <w:color w:val="002060"/>
        </w:rPr>
        <w:t xml:space="preserve">Carbon </w:t>
      </w:r>
      <w:r w:rsidR="00D643EB">
        <w:rPr>
          <w:color w:val="002060"/>
        </w:rPr>
        <w:t>o</w:t>
      </w:r>
      <w:r w:rsidR="00D643EB" w:rsidRPr="00AE3EA3">
        <w:rPr>
          <w:color w:val="002060"/>
        </w:rPr>
        <w:t>ffsets</w:t>
      </w:r>
      <w:bookmarkEnd w:id="30"/>
    </w:p>
    <w:p w14:paraId="39904E87" w14:textId="5E0847B2" w:rsidR="00E4657A" w:rsidRPr="00931EE4" w:rsidRDefault="00D643EB" w:rsidP="00E4657A">
      <w:pPr>
        <w:pStyle w:val="KeyInfo"/>
        <w:spacing w:after="240"/>
        <w:rPr>
          <w:b/>
          <w:bCs/>
        </w:rPr>
      </w:pPr>
      <w:r>
        <w:rPr>
          <w:b/>
          <w:bCs/>
        </w:rPr>
        <w:t xml:space="preserve">Action: </w:t>
      </w:r>
      <w:r w:rsidR="00406C11">
        <w:rPr>
          <w:b/>
          <w:bCs/>
        </w:rPr>
        <w:t>T</w:t>
      </w:r>
      <w:r w:rsidR="00E4657A">
        <w:rPr>
          <w:b/>
          <w:bCs/>
        </w:rPr>
        <w:t>o be confirmed pending policy direction.</w:t>
      </w:r>
    </w:p>
    <w:p w14:paraId="54F220E2" w14:textId="153BE794" w:rsidR="0084515D" w:rsidRPr="0084515D" w:rsidRDefault="0084515D" w:rsidP="000A447D">
      <w:pPr>
        <w:pStyle w:val="BodyText"/>
      </w:pPr>
      <w:r w:rsidRPr="0084515D">
        <w:t xml:space="preserve">Carbon </w:t>
      </w:r>
      <w:r w:rsidR="00D643EB">
        <w:t>o</w:t>
      </w:r>
      <w:r w:rsidRPr="0084515D">
        <w:t>ffsets</w:t>
      </w:r>
      <w:r w:rsidR="001C4081">
        <w:t xml:space="preserve"> may</w:t>
      </w:r>
      <w:r w:rsidRPr="0084515D">
        <w:t xml:space="preserve"> involve purchasing carbon credits to decrease</w:t>
      </w:r>
      <w:r w:rsidR="003E731D">
        <w:t xml:space="preserve"> or</w:t>
      </w:r>
      <w:r w:rsidR="000668FA">
        <w:t xml:space="preserve"> </w:t>
      </w:r>
      <w:r w:rsidR="001C4081">
        <w:t>offset</w:t>
      </w:r>
      <w:r w:rsidRPr="0084515D">
        <w:t xml:space="preserve"> any remaining net emissions.</w:t>
      </w:r>
    </w:p>
    <w:p w14:paraId="3FCE10EE" w14:textId="50E6962D" w:rsidR="00AB4A42" w:rsidRDefault="0084515D" w:rsidP="000A447D">
      <w:pPr>
        <w:pStyle w:val="BodyText"/>
        <w:rPr>
          <w:color w:val="1B365D" w:themeColor="accent2"/>
          <w:sz w:val="36"/>
          <w:szCs w:val="28"/>
        </w:rPr>
      </w:pPr>
      <w:r w:rsidRPr="005A4B1A">
        <w:t xml:space="preserve">Finance </w:t>
      </w:r>
      <w:r w:rsidR="001E3770" w:rsidRPr="005A4B1A">
        <w:t>is</w:t>
      </w:r>
      <w:r w:rsidRPr="005A4B1A">
        <w:t xml:space="preserve"> developing a </w:t>
      </w:r>
      <w:r w:rsidR="004B3076">
        <w:t>whole of government</w:t>
      </w:r>
      <w:r w:rsidR="004B3076" w:rsidRPr="005A4B1A">
        <w:t xml:space="preserve"> </w:t>
      </w:r>
      <w:r w:rsidRPr="005A4B1A">
        <w:t>Net Zero Offset Strategy and will articulate how offsets should be factored into future business decisions</w:t>
      </w:r>
      <w:r w:rsidR="004B3076">
        <w:t>. They’ll</w:t>
      </w:r>
      <w:r w:rsidRPr="005A4B1A">
        <w:t xml:space="preserve"> produce a tool to assist in making value for money assessments that incorporate the cost of offset requirements.</w:t>
      </w:r>
    </w:p>
    <w:p w14:paraId="6ED693FE" w14:textId="391C0F85" w:rsidR="00A03448" w:rsidRDefault="00A03448" w:rsidP="00A03448">
      <w:pPr>
        <w:pStyle w:val="SAHeadinglevel2"/>
      </w:pPr>
      <w:bookmarkStart w:id="31" w:name="_Toc218750552"/>
      <w:r>
        <w:t xml:space="preserve">Additional </w:t>
      </w:r>
      <w:r w:rsidR="004B3076">
        <w:t>i</w:t>
      </w:r>
      <w:r>
        <w:t>nitiatives</w:t>
      </w:r>
      <w:bookmarkEnd w:id="29"/>
      <w:bookmarkEnd w:id="31"/>
    </w:p>
    <w:p w14:paraId="38F85BE7" w14:textId="0EA793CE" w:rsidR="00A03448" w:rsidRDefault="00A03448" w:rsidP="000A447D">
      <w:pPr>
        <w:pStyle w:val="BodyText"/>
        <w:rPr>
          <w:rFonts w:eastAsia="Roboto"/>
          <w:lang w:val="en-US" w:eastAsia="en-US"/>
        </w:rPr>
      </w:pPr>
      <w:r w:rsidRPr="00D355FB">
        <w:rPr>
          <w:rFonts w:eastAsia="Roboto"/>
          <w:lang w:val="en-US" w:eastAsia="en-US"/>
        </w:rPr>
        <w:t>In addition to supporting meeting the targets for net zero emissions</w:t>
      </w:r>
      <w:r w:rsidR="00F37C24">
        <w:rPr>
          <w:rFonts w:eastAsia="Roboto"/>
          <w:lang w:val="en-US" w:eastAsia="en-US"/>
        </w:rPr>
        <w:t xml:space="preserve"> through NZGO,</w:t>
      </w:r>
      <w:r w:rsidR="006D03FD">
        <w:rPr>
          <w:rFonts w:eastAsia="Roboto"/>
          <w:lang w:val="en-US" w:eastAsia="en-US"/>
        </w:rPr>
        <w:t xml:space="preserve"> </w:t>
      </w:r>
      <w:r w:rsidR="00CD22D1">
        <w:rPr>
          <w:rFonts w:eastAsia="Roboto"/>
          <w:lang w:val="en-US" w:eastAsia="en-US"/>
        </w:rPr>
        <w:t>we’ll</w:t>
      </w:r>
      <w:r w:rsidRPr="00D355FB">
        <w:rPr>
          <w:rFonts w:eastAsia="Roboto"/>
          <w:lang w:val="en-US" w:eastAsia="en-US"/>
        </w:rPr>
        <w:t xml:space="preserve"> undertake </w:t>
      </w:r>
      <w:r w:rsidR="005A36AA" w:rsidRPr="00D355FB">
        <w:rPr>
          <w:rFonts w:eastAsia="Roboto"/>
          <w:lang w:val="en-US" w:eastAsia="en-US"/>
        </w:rPr>
        <w:t>several</w:t>
      </w:r>
      <w:r w:rsidRPr="00D355FB">
        <w:rPr>
          <w:rFonts w:eastAsia="Roboto"/>
          <w:lang w:val="en-US" w:eastAsia="en-US"/>
        </w:rPr>
        <w:t xml:space="preserve"> additional initiatives to</w:t>
      </w:r>
      <w:r w:rsidR="00DE713A">
        <w:rPr>
          <w:rFonts w:eastAsia="Roboto"/>
          <w:lang w:val="en-US" w:eastAsia="en-US"/>
        </w:rPr>
        <w:t xml:space="preserve"> </w:t>
      </w:r>
      <w:r w:rsidR="00174732">
        <w:rPr>
          <w:rFonts w:eastAsia="Roboto"/>
          <w:lang w:val="en-US" w:eastAsia="en-US"/>
        </w:rPr>
        <w:t>reduce emissions and strengthen</w:t>
      </w:r>
      <w:r w:rsidR="002A7BE4">
        <w:rPr>
          <w:rFonts w:eastAsia="Roboto"/>
          <w:lang w:val="en-US" w:eastAsia="en-US"/>
        </w:rPr>
        <w:t xml:space="preserve"> and promote</w:t>
      </w:r>
      <w:r w:rsidR="00174732">
        <w:rPr>
          <w:rFonts w:eastAsia="Roboto"/>
          <w:lang w:val="en-US" w:eastAsia="en-US"/>
        </w:rPr>
        <w:t xml:space="preserve"> </w:t>
      </w:r>
      <w:r w:rsidR="00CD22D1">
        <w:rPr>
          <w:rFonts w:eastAsia="Roboto"/>
          <w:lang w:val="en-US" w:eastAsia="en-US"/>
        </w:rPr>
        <w:t>our</w:t>
      </w:r>
      <w:r w:rsidR="00174732">
        <w:rPr>
          <w:rFonts w:eastAsia="Roboto"/>
          <w:lang w:val="en-US" w:eastAsia="en-US"/>
        </w:rPr>
        <w:t xml:space="preserve"> position on environmental sustainability</w:t>
      </w:r>
      <w:r w:rsidR="004B3076">
        <w:rPr>
          <w:rFonts w:eastAsia="Roboto"/>
          <w:lang w:val="en-US" w:eastAsia="en-US"/>
        </w:rPr>
        <w:t xml:space="preserve"> (Figure 13)</w:t>
      </w:r>
      <w:r w:rsidR="00174732">
        <w:rPr>
          <w:rFonts w:eastAsia="Roboto"/>
          <w:lang w:val="en-US" w:eastAsia="en-US"/>
        </w:rPr>
        <w:t>.</w:t>
      </w:r>
      <w:r w:rsidR="00F37C24">
        <w:rPr>
          <w:rFonts w:eastAsia="Roboto"/>
          <w:lang w:val="en-US" w:eastAsia="en-US"/>
        </w:rPr>
        <w:t xml:space="preserve"> These are not covered under </w:t>
      </w:r>
      <w:r w:rsidR="000A3836">
        <w:rPr>
          <w:rFonts w:eastAsia="Roboto"/>
          <w:lang w:val="en-US" w:eastAsia="en-US"/>
        </w:rPr>
        <w:t>NZGO but</w:t>
      </w:r>
      <w:r w:rsidR="00F37C24">
        <w:rPr>
          <w:rFonts w:eastAsia="Roboto"/>
          <w:lang w:val="en-US" w:eastAsia="en-US"/>
        </w:rPr>
        <w:t xml:space="preserve"> will assist in </w:t>
      </w:r>
      <w:r w:rsidR="00CD22D1">
        <w:rPr>
          <w:rFonts w:eastAsia="Roboto"/>
          <w:lang w:val="en-US" w:eastAsia="en-US"/>
        </w:rPr>
        <w:t xml:space="preserve">our </w:t>
      </w:r>
      <w:r w:rsidR="00F37C24">
        <w:rPr>
          <w:rFonts w:eastAsia="Roboto"/>
          <w:lang w:val="en-US" w:eastAsia="en-US"/>
        </w:rPr>
        <w:t>emissions reduction pathway.</w:t>
      </w:r>
    </w:p>
    <w:tbl>
      <w:tblPr>
        <w:tblStyle w:val="ServicesAustralia"/>
        <w:tblW w:w="0" w:type="auto"/>
        <w:tblLook w:val="04A0" w:firstRow="1" w:lastRow="0" w:firstColumn="1" w:lastColumn="0" w:noHBand="0" w:noVBand="1"/>
      </w:tblPr>
      <w:tblGrid>
        <w:gridCol w:w="2127"/>
        <w:gridCol w:w="7851"/>
      </w:tblGrid>
      <w:tr w:rsidR="004B3076" w14:paraId="45F65631" w14:textId="77777777" w:rsidTr="00556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545C1B18" w14:textId="29F2312F" w:rsidR="004B3076" w:rsidRDefault="004B3076" w:rsidP="005567E1">
            <w:pPr>
              <w:pStyle w:val="SABodytext"/>
              <w:rPr>
                <w:rFonts w:eastAsia="Roboto"/>
                <w:lang w:val="en-US" w:eastAsia="en-US"/>
              </w:rPr>
            </w:pPr>
            <w:r>
              <w:rPr>
                <w:rFonts w:eastAsia="Roboto"/>
                <w:lang w:val="en-US" w:eastAsia="en-US"/>
              </w:rPr>
              <w:t>Initiative</w:t>
            </w:r>
          </w:p>
        </w:tc>
        <w:tc>
          <w:tcPr>
            <w:tcW w:w="7851" w:type="dxa"/>
          </w:tcPr>
          <w:p w14:paraId="6C885A1F" w14:textId="32FC13A9" w:rsidR="004B3076" w:rsidRDefault="004B3076" w:rsidP="005567E1">
            <w:pPr>
              <w:pStyle w:val="SABodytext"/>
              <w:cnfStyle w:val="100000000000" w:firstRow="1" w:lastRow="0" w:firstColumn="0" w:lastColumn="0" w:oddVBand="0" w:evenVBand="0" w:oddHBand="0" w:evenHBand="0" w:firstRowFirstColumn="0" w:firstRowLastColumn="0" w:lastRowFirstColumn="0" w:lastRowLastColumn="0"/>
              <w:rPr>
                <w:rFonts w:eastAsia="Roboto"/>
                <w:lang w:val="en-US" w:eastAsia="en-US"/>
              </w:rPr>
            </w:pPr>
            <w:r>
              <w:rPr>
                <w:rFonts w:eastAsia="Roboto"/>
                <w:lang w:val="en-US" w:eastAsia="en-US"/>
              </w:rPr>
              <w:t>Details</w:t>
            </w:r>
          </w:p>
        </w:tc>
      </w:tr>
      <w:tr w:rsidR="004B3076" w14:paraId="77E26941"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16556441" w14:textId="10D54C4B" w:rsidR="004B3076" w:rsidRDefault="004B3076" w:rsidP="005567E1">
            <w:pPr>
              <w:pStyle w:val="SABodytext"/>
              <w:rPr>
                <w:rFonts w:eastAsia="Roboto"/>
                <w:lang w:val="en-US" w:eastAsia="en-US"/>
              </w:rPr>
            </w:pPr>
            <w:r w:rsidRPr="004A2848">
              <w:rPr>
                <w:szCs w:val="20"/>
              </w:rPr>
              <w:t>Commonwealth Climate Disclosure</w:t>
            </w:r>
          </w:p>
        </w:tc>
        <w:tc>
          <w:tcPr>
            <w:tcW w:w="7851" w:type="dxa"/>
          </w:tcPr>
          <w:p w14:paraId="61DC909E" w14:textId="67301820" w:rsidR="004B3076" w:rsidRPr="00FF1617"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FF1617">
              <w:t>DCCEEW</w:t>
            </w:r>
            <w:r>
              <w:t>’s</w:t>
            </w:r>
            <w:r w:rsidRPr="00FF1617">
              <w:t> </w:t>
            </w:r>
            <w:hyperlink r:id="rId10" w:tgtFrame="_blank" w:history="1">
              <w:r w:rsidRPr="00FF1617">
                <w:t>Climate Risk and Opportunity Management Program</w:t>
              </w:r>
            </w:hyperlink>
            <w:r w:rsidRPr="00FF1617">
              <w:t xml:space="preserve"> (CROM</w:t>
            </w:r>
            <w:r>
              <w:t>P)</w:t>
            </w:r>
            <w:r w:rsidRPr="00FF1617">
              <w:t xml:space="preserve"> provid</w:t>
            </w:r>
            <w:r>
              <w:t xml:space="preserve">es </w:t>
            </w:r>
            <w:r w:rsidRPr="00FF1617">
              <w:t xml:space="preserve">guidance and support to enable Commonwealth entities and Commonwealth companies to identify, assess, prioritise and manage their climate risks and opportunities at an enterprise level.  </w:t>
            </w:r>
          </w:p>
          <w:p w14:paraId="65A4E027" w14:textId="77777777" w:rsidR="004B3076" w:rsidRPr="00FF1617"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FF1617">
              <w:t xml:space="preserve">By 2026, climate risk and opportunity will be included in Australian public sector: </w:t>
            </w:r>
          </w:p>
          <w:p w14:paraId="01382172" w14:textId="77777777" w:rsidR="004B3076" w:rsidRPr="00FF1617"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decision-making processes </w:t>
            </w:r>
          </w:p>
          <w:p w14:paraId="6167CDC1" w14:textId="77777777" w:rsidR="004B3076" w:rsidRPr="00FF1617"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enterprise risk management</w:t>
            </w:r>
          </w:p>
          <w:p w14:paraId="664D5FEB" w14:textId="77777777" w:rsidR="004B3076" w:rsidRPr="00FF1617"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FF1617">
              <w:t>key corporate documentation.</w:t>
            </w:r>
          </w:p>
          <w:p w14:paraId="4165BAE0" w14:textId="5925130D" w:rsidR="004B3076" w:rsidRPr="00FF1617"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FF1617">
              <w:t>Finance is continuing to provide support to entities to account for their greenhouse gas emissions and, for relevant entities, to meet their obligations under the </w:t>
            </w:r>
            <w:hyperlink r:id="rId11" w:tooltip="APS Net Zero Emissions by 2030" w:history="1">
              <w:r w:rsidRPr="00FF1617">
                <w:t xml:space="preserve">APS </w:t>
              </w:r>
              <w:r w:rsidR="00C41179">
                <w:t>n</w:t>
              </w:r>
              <w:r w:rsidRPr="00FF1617">
                <w:t xml:space="preserve">et </w:t>
              </w:r>
              <w:r w:rsidR="00C41179">
                <w:t>z</w:t>
              </w:r>
              <w:r w:rsidRPr="00FF1617">
                <w:t>ero by 2030 target</w:t>
              </w:r>
            </w:hyperlink>
            <w:r w:rsidRPr="00FF1617">
              <w:t>.</w:t>
            </w:r>
          </w:p>
          <w:p w14:paraId="76BEEA8E" w14:textId="2AE88FB0" w:rsidR="004B3076" w:rsidRPr="00FF1617" w:rsidRDefault="00C41179" w:rsidP="000A447D">
            <w:pPr>
              <w:pStyle w:val="SABodytext"/>
              <w:cnfStyle w:val="000000000000" w:firstRow="0" w:lastRow="0" w:firstColumn="0" w:lastColumn="0" w:oddVBand="0" w:evenVBand="0" w:oddHBand="0" w:evenHBand="0" w:firstRowFirstColumn="0" w:firstRowLastColumn="0" w:lastRowFirstColumn="0" w:lastRowLastColumn="0"/>
              <w:rPr>
                <w:rFonts w:eastAsia="Calibri" w:cs="Calibri"/>
                <w:lang w:val="en-GB"/>
              </w:rPr>
            </w:pPr>
            <w:r>
              <w:t>We</w:t>
            </w:r>
            <w:r w:rsidR="004B3076" w:rsidRPr="00FF1617">
              <w:t xml:space="preserve"> completed </w:t>
            </w:r>
            <w:r>
              <w:t>our</w:t>
            </w:r>
            <w:r w:rsidR="004B3076" w:rsidRPr="00FF1617">
              <w:t xml:space="preserve"> first Commonwealth Climate Disclosure in</w:t>
            </w:r>
            <w:r w:rsidR="004B3076" w:rsidRPr="00FF1883">
              <w:t xml:space="preserve"> the</w:t>
            </w:r>
            <w:r w:rsidR="004B3076" w:rsidRPr="00FF1617">
              <w:t xml:space="preserve"> 2024</w:t>
            </w:r>
            <w:r w:rsidR="004B3076">
              <w:t>–</w:t>
            </w:r>
            <w:r w:rsidR="004B3076" w:rsidRPr="00FF1617">
              <w:t xml:space="preserve">25 Annual Report. </w:t>
            </w:r>
            <w:r w:rsidR="004B3076" w:rsidRPr="00FF1883">
              <w:rPr>
                <w:rFonts w:eastAsia="Calibri" w:cs="Calibri"/>
                <w:lang w:val="en-GB"/>
              </w:rPr>
              <w:t xml:space="preserve">Due to the complexity of the agency’s structure, a partial disclosure </w:t>
            </w:r>
            <w:r w:rsidR="004B3076" w:rsidRPr="00FF1617">
              <w:rPr>
                <w:rFonts w:eastAsia="Calibri" w:cs="Calibri"/>
                <w:lang w:val="en-GB"/>
              </w:rPr>
              <w:t>has been</w:t>
            </w:r>
            <w:r w:rsidR="004B3076" w:rsidRPr="00FF1883">
              <w:rPr>
                <w:rFonts w:eastAsia="Calibri" w:cs="Calibri"/>
                <w:lang w:val="en-GB"/>
              </w:rPr>
              <w:t xml:space="preserve"> reported for 2024–25. </w:t>
            </w:r>
            <w:r>
              <w:rPr>
                <w:rFonts w:eastAsia="Calibri" w:cs="Calibri"/>
                <w:lang w:val="en-GB"/>
              </w:rPr>
              <w:t>Our</w:t>
            </w:r>
            <w:r w:rsidR="004B3076" w:rsidRPr="00FF1883">
              <w:rPr>
                <w:rFonts w:eastAsia="Calibri" w:cs="Calibri"/>
                <w:lang w:val="en-GB"/>
              </w:rPr>
              <w:t xml:space="preserve"> strategy to manage climate-related risks and opportunities is developing and will mature as our understanding of how climate risks and opportunities impact at an enterprise level improves.</w:t>
            </w:r>
          </w:p>
          <w:p w14:paraId="153938DB" w14:textId="36DD1ADF" w:rsidR="004B3076" w:rsidRPr="00363D2A" w:rsidRDefault="00C41179" w:rsidP="000A447D">
            <w:pPr>
              <w:pStyle w:val="SABody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auto"/>
                <w:highlight w:val="yellow"/>
                <w:lang w:eastAsia="en-AU"/>
              </w:rPr>
            </w:pPr>
            <w:r>
              <w:rPr>
                <w:rFonts w:asciiTheme="minorHAnsi" w:eastAsia="Calibri" w:hAnsiTheme="minorHAnsi" w:cs="Calibri"/>
                <w:lang w:val="en-GB"/>
              </w:rPr>
              <w:t>Our</w:t>
            </w:r>
            <w:r w:rsidR="004B3076" w:rsidRPr="00FF1883">
              <w:rPr>
                <w:rFonts w:asciiTheme="minorHAnsi" w:eastAsia="Calibri" w:hAnsiTheme="minorHAnsi" w:cs="Calibri"/>
                <w:lang w:val="en-GB"/>
              </w:rPr>
              <w:t xml:space="preserve"> future focus will be on building a capability uplift among key stakeholders to allow for a more mature disclosure for the future.</w:t>
            </w:r>
          </w:p>
          <w:p w14:paraId="64F3CBE8" w14:textId="5B40B306" w:rsidR="004B3076" w:rsidRPr="005567E1" w:rsidRDefault="004B3076" w:rsidP="000A447D">
            <w:pPr>
              <w:pStyle w:val="SABodytext"/>
              <w:cnfStyle w:val="000000000000" w:firstRow="0" w:lastRow="0" w:firstColumn="0" w:lastColumn="0" w:oddVBand="0" w:evenVBand="0" w:oddHBand="0" w:evenHBand="0" w:firstRowFirstColumn="0" w:firstRowLastColumn="0" w:lastRowFirstColumn="0" w:lastRowLastColumn="0"/>
              <w:rPr>
                <w:rFonts w:eastAsiaTheme="minorHAnsi" w:cs="Calibri"/>
              </w:rPr>
            </w:pPr>
            <w:r w:rsidRPr="00FF1617">
              <w:rPr>
                <w:rFonts w:asciiTheme="minorHAnsi" w:eastAsiaTheme="minorHAnsi" w:hAnsiTheme="minorHAnsi" w:cs="Calibri"/>
              </w:rPr>
              <w:t xml:space="preserve">Agency </w:t>
            </w:r>
            <w:r w:rsidR="001613D3">
              <w:rPr>
                <w:rFonts w:asciiTheme="minorHAnsi" w:eastAsiaTheme="minorHAnsi" w:hAnsiTheme="minorHAnsi" w:cs="Calibri"/>
              </w:rPr>
              <w:t>g</w:t>
            </w:r>
            <w:r w:rsidRPr="00FF1617">
              <w:rPr>
                <w:rFonts w:asciiTheme="minorHAnsi" w:eastAsiaTheme="minorHAnsi" w:hAnsiTheme="minorHAnsi" w:cs="Calibri"/>
              </w:rPr>
              <w:t xml:space="preserve">reenhouse gas emissions have been reported in </w:t>
            </w:r>
            <w:r w:rsidR="00C41179">
              <w:rPr>
                <w:rFonts w:asciiTheme="minorHAnsi" w:eastAsiaTheme="minorHAnsi" w:hAnsiTheme="minorHAnsi" w:cs="Calibri"/>
              </w:rPr>
              <w:t>our</w:t>
            </w:r>
            <w:r w:rsidRPr="00FF1617">
              <w:rPr>
                <w:rFonts w:asciiTheme="minorHAnsi" w:eastAsiaTheme="minorHAnsi" w:hAnsiTheme="minorHAnsi" w:cs="Calibri"/>
              </w:rPr>
              <w:t xml:space="preserve"> </w:t>
            </w:r>
            <w:r>
              <w:rPr>
                <w:rFonts w:asciiTheme="minorHAnsi" w:eastAsiaTheme="minorHAnsi" w:hAnsiTheme="minorHAnsi" w:cs="Calibri"/>
              </w:rPr>
              <w:t>a</w:t>
            </w:r>
            <w:r w:rsidRPr="00FF1617">
              <w:rPr>
                <w:rFonts w:asciiTheme="minorHAnsi" w:eastAsiaTheme="minorHAnsi" w:hAnsiTheme="minorHAnsi" w:cs="Calibri"/>
              </w:rPr>
              <w:t xml:space="preserve">nnual </w:t>
            </w:r>
            <w:r>
              <w:rPr>
                <w:rFonts w:asciiTheme="minorHAnsi" w:eastAsiaTheme="minorHAnsi" w:hAnsiTheme="minorHAnsi" w:cs="Calibri"/>
              </w:rPr>
              <w:t>r</w:t>
            </w:r>
            <w:r w:rsidRPr="00FF1617">
              <w:rPr>
                <w:rFonts w:asciiTheme="minorHAnsi" w:eastAsiaTheme="minorHAnsi" w:hAnsiTheme="minorHAnsi" w:cs="Calibri"/>
              </w:rPr>
              <w:t xml:space="preserve">eports since 2023 and disclosed in this </w:t>
            </w:r>
            <w:r>
              <w:rPr>
                <w:rFonts w:asciiTheme="minorHAnsi" w:eastAsiaTheme="minorHAnsi" w:hAnsiTheme="minorHAnsi" w:cs="Calibri"/>
              </w:rPr>
              <w:t>a</w:t>
            </w:r>
            <w:r w:rsidRPr="00FF1617">
              <w:rPr>
                <w:rFonts w:asciiTheme="minorHAnsi" w:eastAsiaTheme="minorHAnsi" w:hAnsiTheme="minorHAnsi" w:cs="Calibri"/>
              </w:rPr>
              <w:t xml:space="preserve">ction </w:t>
            </w:r>
            <w:r>
              <w:rPr>
                <w:rFonts w:asciiTheme="minorHAnsi" w:eastAsiaTheme="minorHAnsi" w:hAnsiTheme="minorHAnsi" w:cs="Calibri"/>
              </w:rPr>
              <w:t>p</w:t>
            </w:r>
            <w:r w:rsidRPr="00FF1617">
              <w:rPr>
                <w:rFonts w:asciiTheme="minorHAnsi" w:eastAsiaTheme="minorHAnsi" w:hAnsiTheme="minorHAnsi" w:cs="Calibri"/>
              </w:rPr>
              <w:t xml:space="preserve">lan. Emissions data in the </w:t>
            </w:r>
            <w:r>
              <w:rPr>
                <w:rFonts w:asciiTheme="minorHAnsi" w:eastAsiaTheme="minorHAnsi" w:hAnsiTheme="minorHAnsi" w:cs="Calibri"/>
              </w:rPr>
              <w:t>a</w:t>
            </w:r>
            <w:r w:rsidRPr="00FF1617">
              <w:rPr>
                <w:rFonts w:asciiTheme="minorHAnsi" w:eastAsiaTheme="minorHAnsi" w:hAnsiTheme="minorHAnsi" w:cs="Calibri"/>
              </w:rPr>
              <w:t xml:space="preserve">nnual </w:t>
            </w:r>
            <w:r>
              <w:rPr>
                <w:rFonts w:asciiTheme="minorHAnsi" w:eastAsiaTheme="minorHAnsi" w:hAnsiTheme="minorHAnsi" w:cs="Calibri"/>
              </w:rPr>
              <w:t>r</w:t>
            </w:r>
            <w:r w:rsidRPr="00FF1617">
              <w:rPr>
                <w:rFonts w:asciiTheme="minorHAnsi" w:eastAsiaTheme="minorHAnsi" w:hAnsiTheme="minorHAnsi" w:cs="Calibri"/>
              </w:rPr>
              <w:t xml:space="preserve">eport utilises the Emissions Reporting Framework methodology introduced by Finance across </w:t>
            </w:r>
            <w:r>
              <w:rPr>
                <w:rFonts w:asciiTheme="minorHAnsi" w:eastAsiaTheme="minorHAnsi" w:hAnsiTheme="minorHAnsi" w:cs="Calibri"/>
              </w:rPr>
              <w:t>whole of government</w:t>
            </w:r>
            <w:r w:rsidRPr="00FF1617">
              <w:rPr>
                <w:rFonts w:asciiTheme="minorHAnsi" w:eastAsiaTheme="minorHAnsi" w:hAnsiTheme="minorHAnsi" w:cs="Calibri"/>
              </w:rPr>
              <w:t>.</w:t>
            </w:r>
          </w:p>
        </w:tc>
      </w:tr>
      <w:tr w:rsidR="004B3076" w14:paraId="5131060E"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43ECEAFC" w14:textId="49C3D242" w:rsidR="004B3076" w:rsidRDefault="004B3076" w:rsidP="005567E1">
            <w:pPr>
              <w:pStyle w:val="SABodytext"/>
              <w:rPr>
                <w:rFonts w:eastAsia="Roboto"/>
                <w:lang w:val="en-US" w:eastAsia="en-US"/>
              </w:rPr>
            </w:pPr>
            <w:r w:rsidRPr="004A2848">
              <w:rPr>
                <w:szCs w:val="20"/>
              </w:rPr>
              <w:t xml:space="preserve">Agency </w:t>
            </w:r>
            <w:r w:rsidR="00ED2B67">
              <w:rPr>
                <w:szCs w:val="20"/>
              </w:rPr>
              <w:t>s</w:t>
            </w:r>
            <w:r w:rsidRPr="004A2848">
              <w:rPr>
                <w:szCs w:val="20"/>
              </w:rPr>
              <w:t xml:space="preserve">ustainability </w:t>
            </w:r>
            <w:r w:rsidR="00ED2B67">
              <w:rPr>
                <w:szCs w:val="20"/>
              </w:rPr>
              <w:t>p</w:t>
            </w:r>
            <w:r w:rsidRPr="004A2848">
              <w:rPr>
                <w:szCs w:val="20"/>
              </w:rPr>
              <w:t>olicy</w:t>
            </w:r>
            <w:r w:rsidR="00ED2B67">
              <w:rPr>
                <w:szCs w:val="20"/>
              </w:rPr>
              <w:t xml:space="preserve"> and f</w:t>
            </w:r>
            <w:r w:rsidRPr="004A2848">
              <w:rPr>
                <w:szCs w:val="20"/>
              </w:rPr>
              <w:t>ramework</w:t>
            </w:r>
          </w:p>
        </w:tc>
        <w:tc>
          <w:tcPr>
            <w:tcW w:w="7851" w:type="dxa"/>
          </w:tcPr>
          <w:p w14:paraId="5057189C" w14:textId="54AEBB38" w:rsidR="004B3076" w:rsidRPr="00363D2A"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AB2956">
              <w:t>The Environmental</w:t>
            </w:r>
            <w:r>
              <w:t xml:space="preserve"> Sustainability Policy</w:t>
            </w:r>
            <w:r w:rsidRPr="00AB2956">
              <w:t xml:space="preserve"> provides guidance to meet government and community expectations to reduce our environmental impact. The</w:t>
            </w:r>
            <w:r>
              <w:t xml:space="preserve"> policy</w:t>
            </w:r>
            <w:r w:rsidRPr="00AB2956">
              <w:t xml:space="preserve"> will support the decision-making in the </w:t>
            </w:r>
            <w:r>
              <w:t>a</w:t>
            </w:r>
            <w:r w:rsidRPr="00AB2956">
              <w:t xml:space="preserve">gency necessary to meet sustainability requirements within legislative and policy obligations set by NZGO and </w:t>
            </w:r>
            <w:r>
              <w:t>n</w:t>
            </w:r>
            <w:r w:rsidRPr="00AB2956">
              <w:t xml:space="preserve">et </w:t>
            </w:r>
            <w:r>
              <w:t>z</w:t>
            </w:r>
            <w:r w:rsidRPr="00AB2956">
              <w:t xml:space="preserve">ero </w:t>
            </w:r>
            <w:r>
              <w:t>e</w:t>
            </w:r>
            <w:r w:rsidRPr="00AB2956">
              <w:t>missions by 2030.</w:t>
            </w:r>
          </w:p>
          <w:p w14:paraId="3858017F" w14:textId="4C613A8D" w:rsidR="004B3076" w:rsidRPr="00AB2956"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AB2956">
              <w:t xml:space="preserve">The </w:t>
            </w:r>
            <w:r>
              <w:t>p</w:t>
            </w:r>
            <w:r w:rsidRPr="00AB2956">
              <w:t xml:space="preserve">olicy outlines actions for staff to comply with </w:t>
            </w:r>
            <w:r>
              <w:t>g</w:t>
            </w:r>
            <w:r w:rsidRPr="00AB2956">
              <w:t>overnment legislation and policy, as well as a pathway to improve energy efficiency, reducing and offsetting emissions.</w:t>
            </w:r>
          </w:p>
          <w:p w14:paraId="233E4366" w14:textId="62716993" w:rsidR="004B3076" w:rsidRPr="00AB2956"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AB2956">
              <w:t xml:space="preserve">Key areas included in the </w:t>
            </w:r>
            <w:r>
              <w:t>p</w:t>
            </w:r>
            <w:r w:rsidRPr="00AB2956">
              <w:t>olicy are:</w:t>
            </w:r>
          </w:p>
          <w:p w14:paraId="26AC66DD" w14:textId="537B7BB5"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t>e</w:t>
            </w:r>
            <w:r w:rsidRPr="00AB2956">
              <w:t xml:space="preserve">nergy and emissions </w:t>
            </w:r>
          </w:p>
          <w:p w14:paraId="3EF2F8B6" w14:textId="77777777"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AB2956">
              <w:t xml:space="preserve">ICT equipment </w:t>
            </w:r>
          </w:p>
          <w:p w14:paraId="0A3C4273" w14:textId="4CFD3054"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t>w</w:t>
            </w:r>
            <w:r w:rsidRPr="00AB2956">
              <w:t>aste</w:t>
            </w:r>
          </w:p>
          <w:p w14:paraId="44CDF192" w14:textId="0D63E85F"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t>w</w:t>
            </w:r>
            <w:r w:rsidRPr="00AB2956">
              <w:t>ater</w:t>
            </w:r>
          </w:p>
          <w:p w14:paraId="2BB945EE" w14:textId="6969F426"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t>f</w:t>
            </w:r>
            <w:r w:rsidRPr="00AB2956">
              <w:t xml:space="preserve">leet and </w:t>
            </w:r>
            <w:r>
              <w:t>t</w:t>
            </w:r>
            <w:r w:rsidRPr="00AB2956">
              <w:t>ravel</w:t>
            </w:r>
          </w:p>
          <w:p w14:paraId="72FF8F80" w14:textId="64C238D2" w:rsidR="004B3076" w:rsidRPr="005567E1"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t>p</w:t>
            </w:r>
            <w:r w:rsidRPr="00AB2956">
              <w:t>rocurement</w:t>
            </w:r>
            <w:r>
              <w:t xml:space="preserve"> – to be considered in conjunction with </w:t>
            </w:r>
            <w:r w:rsidR="0031296A">
              <w:t>ESPP</w:t>
            </w:r>
            <w:r>
              <w:t>.</w:t>
            </w:r>
          </w:p>
        </w:tc>
      </w:tr>
      <w:tr w:rsidR="004B3076" w14:paraId="2160BD14"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60C217EF" w14:textId="78660BA2" w:rsidR="004B3076" w:rsidRDefault="004B3076" w:rsidP="005567E1">
            <w:pPr>
              <w:pStyle w:val="SABodytext"/>
              <w:rPr>
                <w:rFonts w:eastAsia="Roboto"/>
                <w:lang w:val="en-US" w:eastAsia="en-US"/>
              </w:rPr>
            </w:pPr>
            <w:r w:rsidRPr="004A2848">
              <w:rPr>
                <w:szCs w:val="20"/>
              </w:rPr>
              <w:t xml:space="preserve">Reducing </w:t>
            </w:r>
            <w:r w:rsidR="00D76BC8">
              <w:rPr>
                <w:szCs w:val="20"/>
              </w:rPr>
              <w:t>l</w:t>
            </w:r>
            <w:r w:rsidRPr="004A2848">
              <w:rPr>
                <w:szCs w:val="20"/>
              </w:rPr>
              <w:t>andfill</w:t>
            </w:r>
          </w:p>
        </w:tc>
        <w:tc>
          <w:tcPr>
            <w:tcW w:w="7851" w:type="dxa"/>
          </w:tcPr>
          <w:p w14:paraId="65A645CC" w14:textId="4BC084F8" w:rsidR="004B3076" w:rsidRPr="00E2529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E25296">
              <w:t xml:space="preserve">Promote </w:t>
            </w:r>
            <w:r w:rsidR="00D76BC8">
              <w:t>our</w:t>
            </w:r>
            <w:r w:rsidRPr="00E25296">
              <w:t xml:space="preserve"> </w:t>
            </w:r>
            <w:r w:rsidRPr="001827D6">
              <w:t>Waste Management Plan</w:t>
            </w:r>
            <w:r w:rsidR="00D76BC8">
              <w:t>.</w:t>
            </w:r>
          </w:p>
          <w:p w14:paraId="36D084AB" w14:textId="77777777" w:rsidR="004B3076" w:rsidRPr="00E2529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E25296">
              <w:t>Increase availability of recycled bins and increase recycling footprint.</w:t>
            </w:r>
          </w:p>
          <w:p w14:paraId="787E5AA0" w14:textId="008EBBD2" w:rsidR="004B3076" w:rsidRPr="00E2529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E25296">
              <w:t>Commingled recycling will be negotiated into</w:t>
            </w:r>
            <w:r w:rsidR="00D76BC8">
              <w:t xml:space="preserve"> our</w:t>
            </w:r>
            <w:r w:rsidRPr="00E25296">
              <w:t xml:space="preserve"> contracts</w:t>
            </w:r>
            <w:r w:rsidR="00D76BC8">
              <w:t xml:space="preserve"> and </w:t>
            </w:r>
            <w:r w:rsidRPr="00E25296">
              <w:t>leases.</w:t>
            </w:r>
          </w:p>
          <w:p w14:paraId="111D054B" w14:textId="3F9F408F" w:rsidR="004B3076" w:rsidRPr="005567E1" w:rsidRDefault="004B3076" w:rsidP="005567E1">
            <w:pPr>
              <w:pStyle w:val="SABulletslevel"/>
              <w:cnfStyle w:val="000000000000" w:firstRow="0" w:lastRow="0" w:firstColumn="0" w:lastColumn="0" w:oddVBand="0" w:evenVBand="0" w:oddHBand="0" w:evenHBand="0" w:firstRowFirstColumn="0" w:firstRowLastColumn="0" w:lastRowFirstColumn="0" w:lastRowLastColumn="0"/>
              <w:rPr>
                <w:lang w:val="en-AU" w:eastAsia="ko-KR"/>
              </w:rPr>
            </w:pPr>
            <w:r w:rsidRPr="00E25296">
              <w:t xml:space="preserve">Improved staff to bin ratios of at least </w:t>
            </w:r>
            <w:r>
              <w:t>30</w:t>
            </w:r>
            <w:r w:rsidRPr="00E25296">
              <w:t xml:space="preserve"> staff to one general waste bin and one commingled recycle bin </w:t>
            </w:r>
            <w:r>
              <w:t>has been</w:t>
            </w:r>
            <w:r w:rsidRPr="00E25296">
              <w:t xml:space="preserve"> introduced.</w:t>
            </w:r>
          </w:p>
        </w:tc>
      </w:tr>
      <w:tr w:rsidR="004B3076" w14:paraId="1F691FA5" w14:textId="77777777" w:rsidTr="005567E1">
        <w:tc>
          <w:tcPr>
            <w:cnfStyle w:val="001000000000" w:firstRow="0" w:lastRow="0" w:firstColumn="1" w:lastColumn="0" w:oddVBand="0" w:evenVBand="0" w:oddHBand="0" w:evenHBand="0" w:firstRowFirstColumn="0" w:firstRowLastColumn="0" w:lastRowFirstColumn="0" w:lastRowLastColumn="0"/>
            <w:tcW w:w="2127" w:type="dxa"/>
          </w:tcPr>
          <w:p w14:paraId="17426FE6" w14:textId="7DDAC93A" w:rsidR="004B3076" w:rsidRDefault="004B3076" w:rsidP="005567E1">
            <w:pPr>
              <w:pStyle w:val="SABodytext"/>
              <w:rPr>
                <w:rFonts w:eastAsia="Roboto"/>
                <w:lang w:val="en-US" w:eastAsia="en-US"/>
              </w:rPr>
            </w:pPr>
            <w:r w:rsidRPr="004A2848">
              <w:rPr>
                <w:szCs w:val="20"/>
              </w:rPr>
              <w:t>Communication</w:t>
            </w:r>
          </w:p>
        </w:tc>
        <w:tc>
          <w:tcPr>
            <w:tcW w:w="7851" w:type="dxa"/>
          </w:tcPr>
          <w:p w14:paraId="4D66BD17" w14:textId="7EC80B1A" w:rsidR="004B3076" w:rsidRPr="00AB2956" w:rsidRDefault="004B3076" w:rsidP="000A447D">
            <w:pPr>
              <w:pStyle w:val="SABodytext"/>
              <w:cnfStyle w:val="000000000000" w:firstRow="0" w:lastRow="0" w:firstColumn="0" w:lastColumn="0" w:oddVBand="0" w:evenVBand="0" w:oddHBand="0" w:evenHBand="0" w:firstRowFirstColumn="0" w:firstRowLastColumn="0" w:lastRowFirstColumn="0" w:lastRowLastColumn="0"/>
            </w:pPr>
            <w:r w:rsidRPr="00AB2956">
              <w:t xml:space="preserve">A suite of communications </w:t>
            </w:r>
            <w:r>
              <w:t>has been</w:t>
            </w:r>
            <w:r w:rsidRPr="00AB2956">
              <w:t xml:space="preserve"> developed to inform staff</w:t>
            </w:r>
            <w:r>
              <w:t xml:space="preserve"> and delivered across the following platforms: </w:t>
            </w:r>
          </w:p>
          <w:p w14:paraId="7971017B" w14:textId="77777777"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AB2956">
              <w:t xml:space="preserve">Provision of information </w:t>
            </w:r>
          </w:p>
          <w:p w14:paraId="7F52BB9F" w14:textId="4277D0CC" w:rsidR="004B3076" w:rsidRPr="00AB2956" w:rsidRDefault="006D4F0B" w:rsidP="005567E1">
            <w:pPr>
              <w:pStyle w:val="SABulletslevel2"/>
              <w:cnfStyle w:val="000000000000" w:firstRow="0" w:lastRow="0" w:firstColumn="0" w:lastColumn="0" w:oddVBand="0" w:evenVBand="0" w:oddHBand="0" w:evenHBand="0" w:firstRowFirstColumn="0" w:firstRowLastColumn="0" w:lastRowFirstColumn="0" w:lastRowLastColumn="0"/>
            </w:pPr>
            <w:r>
              <w:t>p</w:t>
            </w:r>
            <w:r w:rsidR="004B3076" w:rsidRPr="00AB2956">
              <w:t xml:space="preserve">romotion of net zero </w:t>
            </w:r>
            <w:r>
              <w:t>in</w:t>
            </w:r>
            <w:r w:rsidR="004B3076" w:rsidRPr="00AB2956">
              <w:t xml:space="preserve"> News</w:t>
            </w:r>
            <w:r>
              <w:t xml:space="preserve"> </w:t>
            </w:r>
            <w:r w:rsidR="004B3076" w:rsidRPr="00AB2956">
              <w:t>Hub</w:t>
            </w:r>
          </w:p>
          <w:p w14:paraId="23F4D15A" w14:textId="34FAF301" w:rsidR="004B3076" w:rsidRPr="00AB2956" w:rsidRDefault="006D4F0B" w:rsidP="005567E1">
            <w:pPr>
              <w:pStyle w:val="SABulletslevel2"/>
              <w:cnfStyle w:val="000000000000" w:firstRow="0" w:lastRow="0" w:firstColumn="0" w:lastColumn="0" w:oddVBand="0" w:evenVBand="0" w:oddHBand="0" w:evenHBand="0" w:firstRowFirstColumn="0" w:firstRowLastColumn="0" w:lastRowFirstColumn="0" w:lastRowLastColumn="0"/>
            </w:pPr>
            <w:r>
              <w:t>pr</w:t>
            </w:r>
            <w:r w:rsidR="004B3076" w:rsidRPr="00AB2956">
              <w:t xml:space="preserve">omotion of </w:t>
            </w:r>
            <w:r w:rsidR="00755600">
              <w:t>our</w:t>
            </w:r>
            <w:r w:rsidR="004B3076" w:rsidRPr="00AB2956">
              <w:t xml:space="preserve"> Waste Management Plan and Environmental Sustainability Policy</w:t>
            </w:r>
            <w:r>
              <w:t xml:space="preserve"> and f</w:t>
            </w:r>
            <w:r w:rsidR="004B3076" w:rsidRPr="00AB2956">
              <w:t>ramework</w:t>
            </w:r>
          </w:p>
          <w:p w14:paraId="021036A7" w14:textId="68E705BD" w:rsidR="004B3076" w:rsidRPr="00AB2956" w:rsidRDefault="006D4F0B" w:rsidP="005567E1">
            <w:pPr>
              <w:pStyle w:val="SABulletslevel2"/>
              <w:cnfStyle w:val="000000000000" w:firstRow="0" w:lastRow="0" w:firstColumn="0" w:lastColumn="0" w:oddVBand="0" w:evenVBand="0" w:oddHBand="0" w:evenHBand="0" w:firstRowFirstColumn="0" w:firstRowLastColumn="0" w:lastRowFirstColumn="0" w:lastRowLastColumn="0"/>
            </w:pPr>
            <w:r>
              <w:t>u</w:t>
            </w:r>
            <w:r w:rsidR="004B3076" w:rsidRPr="00AB2956">
              <w:t xml:space="preserve">pdated intranet pages, including a link to </w:t>
            </w:r>
            <w:r>
              <w:t xml:space="preserve">the </w:t>
            </w:r>
            <w:r w:rsidR="004B3076" w:rsidRPr="00AB2956">
              <w:t>environmental sustainability dashboard</w:t>
            </w:r>
          </w:p>
          <w:p w14:paraId="430D46B0" w14:textId="2B8A7C72" w:rsidR="004B3076" w:rsidRPr="00AB2956" w:rsidRDefault="006D4F0B" w:rsidP="005567E1">
            <w:pPr>
              <w:pStyle w:val="SABulletslevel2"/>
              <w:cnfStyle w:val="000000000000" w:firstRow="0" w:lastRow="0" w:firstColumn="0" w:lastColumn="0" w:oddVBand="0" w:evenVBand="0" w:oddHBand="0" w:evenHBand="0" w:firstRowFirstColumn="0" w:firstRowLastColumn="0" w:lastRowFirstColumn="0" w:lastRowLastColumn="0"/>
            </w:pPr>
            <w:r>
              <w:t>p</w:t>
            </w:r>
            <w:r w:rsidR="004B3076" w:rsidRPr="00AB2956">
              <w:t>osters to encourage positive waste management behaviour.</w:t>
            </w:r>
          </w:p>
          <w:p w14:paraId="6F5D933F" w14:textId="77777777" w:rsidR="004B3076" w:rsidRPr="00AB2956" w:rsidRDefault="004B3076" w:rsidP="005567E1">
            <w:pPr>
              <w:pStyle w:val="SABulletslevel"/>
              <w:cnfStyle w:val="000000000000" w:firstRow="0" w:lastRow="0" w:firstColumn="0" w:lastColumn="0" w:oddVBand="0" w:evenVBand="0" w:oddHBand="0" w:evenHBand="0" w:firstRowFirstColumn="0" w:firstRowLastColumn="0" w:lastRowFirstColumn="0" w:lastRowLastColumn="0"/>
            </w:pPr>
            <w:r w:rsidRPr="00AB2956">
              <w:t xml:space="preserve">Presentation </w:t>
            </w:r>
          </w:p>
          <w:p w14:paraId="6ACB96E8" w14:textId="1A494DA6" w:rsidR="004B3076" w:rsidRDefault="004B3076" w:rsidP="005567E1">
            <w:pPr>
              <w:pStyle w:val="SABulletslevel2"/>
              <w:cnfStyle w:val="000000000000" w:firstRow="0" w:lastRow="0" w:firstColumn="0" w:lastColumn="0" w:oddVBand="0" w:evenVBand="0" w:oddHBand="0" w:evenHBand="0" w:firstRowFirstColumn="0" w:firstRowLastColumn="0" w:lastRowFirstColumn="0" w:lastRowLastColumn="0"/>
              <w:rPr>
                <w:rFonts w:eastAsia="Roboto"/>
              </w:rPr>
            </w:pPr>
            <w:r w:rsidRPr="00AB2956">
              <w:t>Local presentations</w:t>
            </w:r>
            <w:r w:rsidR="00755600">
              <w:t xml:space="preserve"> and </w:t>
            </w:r>
            <w:r w:rsidRPr="00AB2956">
              <w:t xml:space="preserve">education on net zero in an </w:t>
            </w:r>
            <w:r w:rsidR="006D4F0B">
              <w:t>a</w:t>
            </w:r>
            <w:r w:rsidRPr="00AB2956">
              <w:t>gency context.</w:t>
            </w:r>
          </w:p>
        </w:tc>
      </w:tr>
    </w:tbl>
    <w:p w14:paraId="20D66F7E" w14:textId="2E6A79CA" w:rsidR="004B3076" w:rsidRDefault="004B3076" w:rsidP="005567E1">
      <w:pPr>
        <w:pStyle w:val="Caption"/>
        <w:rPr>
          <w:lang w:val="en-US"/>
        </w:rPr>
      </w:pPr>
      <w:r>
        <w:rPr>
          <w:lang w:val="en-US"/>
        </w:rPr>
        <w:t>Figure 12: Additional initiatives</w:t>
      </w:r>
    </w:p>
    <w:p w14:paraId="187B603A" w14:textId="5F6C45D6" w:rsidR="0024273C" w:rsidRDefault="00F30DC7" w:rsidP="005567E1">
      <w:pPr>
        <w:rPr>
          <w:rFonts w:ascii="Roboto" w:hAnsi="Roboto" w:cs="Arial"/>
          <w:b/>
          <w:bCs/>
          <w:iCs/>
          <w:color w:val="1B365D" w:themeColor="accent2"/>
          <w:sz w:val="36"/>
          <w:szCs w:val="28"/>
        </w:rPr>
      </w:pPr>
      <w:bookmarkStart w:id="32" w:name="_Toc147758821"/>
      <w:r w:rsidRPr="00F30DC7">
        <w:rPr>
          <w:rFonts w:ascii="Roboto" w:hAnsi="Roboto" w:cs="Arial"/>
          <w:b/>
          <w:bCs/>
          <w:iCs/>
          <w:color w:val="1B365D" w:themeColor="accent2"/>
          <w:sz w:val="36"/>
          <w:szCs w:val="28"/>
        </w:rPr>
        <w:t>Governance</w:t>
      </w:r>
    </w:p>
    <w:p w14:paraId="5DA56AC6" w14:textId="0A8613D9" w:rsidR="0083002D" w:rsidRDefault="006D4F0B" w:rsidP="0083002D">
      <w:pPr>
        <w:pStyle w:val="KeyInfo"/>
        <w:spacing w:after="240"/>
        <w:rPr>
          <w:b/>
          <w:bCs/>
        </w:rPr>
      </w:pPr>
      <w:r>
        <w:rPr>
          <w:b/>
          <w:bCs/>
        </w:rPr>
        <w:t>Action</w:t>
      </w:r>
      <w:r w:rsidR="0083002D">
        <w:rPr>
          <w:b/>
          <w:bCs/>
        </w:rPr>
        <w:t xml:space="preserve">: </w:t>
      </w:r>
      <w:r w:rsidR="00406C11">
        <w:rPr>
          <w:b/>
          <w:bCs/>
        </w:rPr>
        <w:t>R</w:t>
      </w:r>
      <w:r w:rsidR="0083002D">
        <w:rPr>
          <w:b/>
          <w:bCs/>
        </w:rPr>
        <w:t xml:space="preserve">egular and </w:t>
      </w:r>
      <w:r>
        <w:rPr>
          <w:b/>
          <w:bCs/>
        </w:rPr>
        <w:t xml:space="preserve">annual reporting </w:t>
      </w:r>
      <w:r w:rsidR="0083002D">
        <w:rPr>
          <w:b/>
          <w:bCs/>
        </w:rPr>
        <w:t xml:space="preserve">of </w:t>
      </w:r>
      <w:r w:rsidR="000A3836">
        <w:rPr>
          <w:b/>
          <w:bCs/>
        </w:rPr>
        <w:t>emissions</w:t>
      </w:r>
      <w:r>
        <w:rPr>
          <w:b/>
          <w:bCs/>
        </w:rPr>
        <w:t xml:space="preserve"> and c</w:t>
      </w:r>
      <w:r w:rsidR="00EC76C1">
        <w:rPr>
          <w:b/>
          <w:bCs/>
        </w:rPr>
        <w:t xml:space="preserve">apability uplift across the </w:t>
      </w:r>
      <w:r>
        <w:rPr>
          <w:b/>
          <w:bCs/>
        </w:rPr>
        <w:t>agency.</w:t>
      </w:r>
    </w:p>
    <w:p w14:paraId="1E2F44A4" w14:textId="54A06D05" w:rsidR="00F30DC7" w:rsidRDefault="00162102" w:rsidP="000A447D">
      <w:pPr>
        <w:pStyle w:val="BodyText"/>
      </w:pPr>
      <w:r>
        <w:t>We’ll</w:t>
      </w:r>
      <w:r w:rsidR="0024273C">
        <w:t xml:space="preserve"> monitor and review </w:t>
      </w:r>
      <w:r>
        <w:t>our</w:t>
      </w:r>
      <w:r w:rsidR="0024273C">
        <w:t xml:space="preserve"> progress to net zero emissions and the implementation of this </w:t>
      </w:r>
      <w:r>
        <w:t>a</w:t>
      </w:r>
      <w:r w:rsidR="0024273C">
        <w:t xml:space="preserve">ction </w:t>
      </w:r>
      <w:r>
        <w:t>p</w:t>
      </w:r>
      <w:r w:rsidR="0024273C">
        <w:t>lan. This will be supported by the following approaches to governance:</w:t>
      </w:r>
    </w:p>
    <w:p w14:paraId="1F454129" w14:textId="6CA616D8" w:rsidR="0024273C" w:rsidRDefault="0024273C" w:rsidP="005567E1">
      <w:pPr>
        <w:pStyle w:val="SABulletslevel"/>
      </w:pPr>
      <w:r>
        <w:t>Annual reporting to include emissions reductions</w:t>
      </w:r>
      <w:r w:rsidR="000B3962">
        <w:t>.</w:t>
      </w:r>
    </w:p>
    <w:p w14:paraId="75069B0E" w14:textId="3BF8FB87" w:rsidR="00F30DC7" w:rsidRDefault="0024273C" w:rsidP="005567E1">
      <w:pPr>
        <w:pStyle w:val="SABulletslevel"/>
      </w:pPr>
      <w:r>
        <w:t>Reporting to include forecasts and regular analysis</w:t>
      </w:r>
      <w:r w:rsidR="006674F4">
        <w:t xml:space="preserve"> of emissions data</w:t>
      </w:r>
      <w:r w:rsidR="000B3962">
        <w:t>.</w:t>
      </w:r>
    </w:p>
    <w:p w14:paraId="51131C7D" w14:textId="29834D08" w:rsidR="00D3714B" w:rsidRPr="00DA3B3B" w:rsidRDefault="00D3714B" w:rsidP="005567E1">
      <w:pPr>
        <w:pStyle w:val="SABulletslevel"/>
      </w:pPr>
      <w:r w:rsidRPr="00DA3B3B">
        <w:t>A</w:t>
      </w:r>
      <w:r w:rsidR="006824D4" w:rsidRPr="00DA3B3B">
        <w:t>ppointment of an Agency Chief Sustainability Officer to oversee enterprise-</w:t>
      </w:r>
      <w:r w:rsidR="000B3962" w:rsidRPr="00DA3B3B">
        <w:t>w</w:t>
      </w:r>
      <w:r w:rsidR="006824D4" w:rsidRPr="00DA3B3B">
        <w:t>ide</w:t>
      </w:r>
      <w:r w:rsidR="00162102">
        <w:t xml:space="preserve"> </w:t>
      </w:r>
      <w:r w:rsidR="006824D4" w:rsidRPr="00DA3B3B">
        <w:t>governance.</w:t>
      </w:r>
    </w:p>
    <w:p w14:paraId="09618EE6" w14:textId="4EB6C041" w:rsidR="006824D4" w:rsidRDefault="006824D4" w:rsidP="005567E1">
      <w:pPr>
        <w:pStyle w:val="SABulletslevel"/>
      </w:pPr>
      <w:r>
        <w:t xml:space="preserve">Agency representation at </w:t>
      </w:r>
      <w:r w:rsidR="00CD0306">
        <w:t>interdepartmental c</w:t>
      </w:r>
      <w:r>
        <w:t xml:space="preserve">ommittee meetings at the Band 1 and 2 </w:t>
      </w:r>
      <w:proofErr w:type="gramStart"/>
      <w:r>
        <w:t>level</w:t>
      </w:r>
      <w:proofErr w:type="gramEnd"/>
      <w:r w:rsidR="00CD0306">
        <w:t>,</w:t>
      </w:r>
      <w:r>
        <w:t xml:space="preserve"> where a range of functions including property, fleet, travel, procurement and annual reporting are discussed.</w:t>
      </w:r>
    </w:p>
    <w:p w14:paraId="43578BEC" w14:textId="306F58EB" w:rsidR="00363D2A" w:rsidRPr="00A377AE" w:rsidRDefault="00CD0306" w:rsidP="005567E1">
      <w:pPr>
        <w:pStyle w:val="SABulletslevel"/>
      </w:pPr>
      <w:r>
        <w:t>C</w:t>
      </w:r>
      <w:r w:rsidR="008F7BB7">
        <w:t xml:space="preserve">apability uplift across the </w:t>
      </w:r>
      <w:r>
        <w:t>agency</w:t>
      </w:r>
      <w:r w:rsidR="008F7BB7">
        <w:t xml:space="preserve">, supported by guidance and protocols developed by Finance to assist </w:t>
      </w:r>
      <w:r w:rsidR="00983BAA">
        <w:t>us</w:t>
      </w:r>
      <w:r>
        <w:t xml:space="preserve"> </w:t>
      </w:r>
      <w:r w:rsidR="008F7BB7">
        <w:t>to meet NZGO targets</w:t>
      </w:r>
      <w:r>
        <w:t>,</w:t>
      </w:r>
      <w:r w:rsidR="008F7BB7">
        <w:t xml:space="preserve"> including emissions reporting requirements and actions to reduce </w:t>
      </w:r>
      <w:r w:rsidR="002E3802">
        <w:t>emissions.</w:t>
      </w:r>
    </w:p>
    <w:p w14:paraId="0CB5E145" w14:textId="071CDB3A" w:rsidR="00A03448" w:rsidRPr="00AE3EA3" w:rsidRDefault="002C3A7E" w:rsidP="00A377AE">
      <w:pPr>
        <w:pStyle w:val="SAHeadinglevel3"/>
        <w:rPr>
          <w:color w:val="002060"/>
        </w:rPr>
      </w:pPr>
      <w:bookmarkStart w:id="33" w:name="_Toc218750553"/>
      <w:r w:rsidRPr="00AE3EA3">
        <w:rPr>
          <w:color w:val="002060"/>
        </w:rPr>
        <w:t xml:space="preserve">Agency </w:t>
      </w:r>
      <w:r w:rsidR="002A57FB">
        <w:rPr>
          <w:color w:val="002060"/>
        </w:rPr>
        <w:t>r</w:t>
      </w:r>
      <w:r w:rsidR="002A57FB" w:rsidRPr="00AE3EA3">
        <w:rPr>
          <w:color w:val="002060"/>
        </w:rPr>
        <w:t xml:space="preserve">eporting </w:t>
      </w:r>
      <w:r w:rsidR="00A03448" w:rsidRPr="00AE3EA3">
        <w:rPr>
          <w:color w:val="002060"/>
        </w:rPr>
        <w:t xml:space="preserve">and </w:t>
      </w:r>
      <w:bookmarkEnd w:id="32"/>
      <w:r w:rsidR="002A57FB">
        <w:rPr>
          <w:color w:val="002060"/>
        </w:rPr>
        <w:t>m</w:t>
      </w:r>
      <w:r w:rsidR="002A57FB" w:rsidRPr="00AE3EA3">
        <w:rPr>
          <w:color w:val="002060"/>
        </w:rPr>
        <w:t xml:space="preserve">onitoring </w:t>
      </w:r>
      <w:r w:rsidR="002A57FB">
        <w:rPr>
          <w:color w:val="002060"/>
        </w:rPr>
        <w:t>r</w:t>
      </w:r>
      <w:r w:rsidR="002A57FB" w:rsidRPr="00AE3EA3">
        <w:rPr>
          <w:color w:val="002060"/>
        </w:rPr>
        <w:t>equirements</w:t>
      </w:r>
      <w:bookmarkEnd w:id="33"/>
    </w:p>
    <w:p w14:paraId="55C8166A" w14:textId="0674C952" w:rsidR="00B16D74" w:rsidRDefault="002A57FB" w:rsidP="00B16D74">
      <w:pPr>
        <w:pStyle w:val="KeyInfo"/>
        <w:spacing w:after="240"/>
        <w:rPr>
          <w:b/>
          <w:bCs/>
        </w:rPr>
      </w:pPr>
      <w:r>
        <w:rPr>
          <w:b/>
          <w:bCs/>
        </w:rPr>
        <w:t>Action:</w:t>
      </w:r>
      <w:r w:rsidR="00B16D74">
        <w:rPr>
          <w:b/>
          <w:bCs/>
        </w:rPr>
        <w:t xml:space="preserve"> </w:t>
      </w:r>
      <w:r w:rsidR="00406C11">
        <w:rPr>
          <w:b/>
          <w:bCs/>
        </w:rPr>
        <w:t>E</w:t>
      </w:r>
      <w:r>
        <w:rPr>
          <w:b/>
          <w:bCs/>
        </w:rPr>
        <w:t xml:space="preserve">xpand </w:t>
      </w:r>
      <w:r w:rsidR="00B16D74">
        <w:rPr>
          <w:b/>
          <w:bCs/>
        </w:rPr>
        <w:t xml:space="preserve">annual reporting to include refrigerants, </w:t>
      </w:r>
      <w:r w:rsidR="005360A5">
        <w:rPr>
          <w:b/>
          <w:bCs/>
        </w:rPr>
        <w:t xml:space="preserve">solid </w:t>
      </w:r>
      <w:r w:rsidR="00B16D74">
        <w:rPr>
          <w:b/>
          <w:bCs/>
        </w:rPr>
        <w:t xml:space="preserve">waste, </w:t>
      </w:r>
      <w:r w:rsidR="005360A5">
        <w:rPr>
          <w:b/>
          <w:bCs/>
        </w:rPr>
        <w:t>hire cars</w:t>
      </w:r>
      <w:r w:rsidR="00983BAA">
        <w:rPr>
          <w:b/>
          <w:bCs/>
        </w:rPr>
        <w:t xml:space="preserve"> and</w:t>
      </w:r>
      <w:r w:rsidR="00B16D74">
        <w:rPr>
          <w:b/>
          <w:bCs/>
        </w:rPr>
        <w:t xml:space="preserve"> accommodation during business travel</w:t>
      </w:r>
      <w:r>
        <w:rPr>
          <w:b/>
          <w:bCs/>
        </w:rPr>
        <w:t>.</w:t>
      </w:r>
    </w:p>
    <w:p w14:paraId="388FBCE7" w14:textId="7112D6FA" w:rsidR="00A03448" w:rsidRPr="00E15602" w:rsidRDefault="00A03448" w:rsidP="000A447D">
      <w:pPr>
        <w:pStyle w:val="BodyText"/>
      </w:pPr>
      <w:r w:rsidRPr="00E15602">
        <w:t xml:space="preserve">The </w:t>
      </w:r>
      <w:r w:rsidR="0031296A">
        <w:t>g</w:t>
      </w:r>
      <w:r w:rsidR="0031296A" w:rsidRPr="00E15602">
        <w:t xml:space="preserve">overnment’s </w:t>
      </w:r>
      <w:r w:rsidRPr="00E15602">
        <w:t xml:space="preserve">APS </w:t>
      </w:r>
      <w:r w:rsidR="00D1250A">
        <w:t>n</w:t>
      </w:r>
      <w:r w:rsidRPr="00E15602">
        <w:t xml:space="preserve">et </w:t>
      </w:r>
      <w:r w:rsidR="00D1250A">
        <w:t>z</w:t>
      </w:r>
      <w:r w:rsidRPr="00E15602">
        <w:t>ero by 2030 commitment requires entities to report greenhouse gas emissions on an annual basis to track progress to net zero emissions.</w:t>
      </w:r>
      <w:r>
        <w:t xml:space="preserve"> Finance </w:t>
      </w:r>
      <w:r w:rsidR="00CD0306">
        <w:t xml:space="preserve">has </w:t>
      </w:r>
      <w:r>
        <w:t xml:space="preserve">developed an Emissions Reporting Framework to facilitate consistent public reporting of emissions by all entities in their </w:t>
      </w:r>
      <w:r w:rsidR="00CD0306">
        <w:t>annual report</w:t>
      </w:r>
      <w:r>
        <w:t xml:space="preserve">. This was implemented in </w:t>
      </w:r>
      <w:r w:rsidR="00D1250A">
        <w:t>our</w:t>
      </w:r>
      <w:r w:rsidR="00CD0306">
        <w:t xml:space="preserve"> annual report </w:t>
      </w:r>
      <w:r w:rsidR="004C4F26">
        <w:t xml:space="preserve">in </w:t>
      </w:r>
      <w:r>
        <w:t>2022</w:t>
      </w:r>
      <w:r w:rsidR="00CD0306">
        <w:t>–</w:t>
      </w:r>
      <w:r>
        <w:t xml:space="preserve">23 and </w:t>
      </w:r>
      <w:r w:rsidR="004C4F26">
        <w:t xml:space="preserve">has been expanded on in 24-25 </w:t>
      </w:r>
      <w:r w:rsidR="003D63DA">
        <w:t>to</w:t>
      </w:r>
      <w:r w:rsidR="004C4F26">
        <w:t xml:space="preserve"> include</w:t>
      </w:r>
      <w:r>
        <w:t xml:space="preserve"> emissions data from</w:t>
      </w:r>
      <w:r w:rsidR="001F04D5">
        <w:t xml:space="preserve"> the following sources</w:t>
      </w:r>
      <w:r>
        <w:t>:</w:t>
      </w:r>
    </w:p>
    <w:p w14:paraId="7D4EC387" w14:textId="5B883BEF" w:rsidR="00A03448" w:rsidRDefault="00CD0306" w:rsidP="005567E1">
      <w:pPr>
        <w:pStyle w:val="SABulletslevel"/>
      </w:pPr>
      <w:r>
        <w:t>natural gas</w:t>
      </w:r>
    </w:p>
    <w:p w14:paraId="51B01B89" w14:textId="14702F05" w:rsidR="00A03448" w:rsidRDefault="00CD0306" w:rsidP="005567E1">
      <w:pPr>
        <w:pStyle w:val="SABulletslevel"/>
      </w:pPr>
      <w:r>
        <w:t>electricity</w:t>
      </w:r>
    </w:p>
    <w:p w14:paraId="6C1D3C98" w14:textId="2EC89B93" w:rsidR="00A03448" w:rsidRDefault="00CD0306" w:rsidP="005567E1">
      <w:pPr>
        <w:pStyle w:val="SABulletslevel"/>
      </w:pPr>
      <w:r>
        <w:t>fleet</w:t>
      </w:r>
    </w:p>
    <w:p w14:paraId="38AA8DA7" w14:textId="61051830" w:rsidR="00A03448" w:rsidRDefault="00CD0306" w:rsidP="005567E1">
      <w:pPr>
        <w:pStyle w:val="SABulletslevel"/>
      </w:pPr>
      <w:r>
        <w:t>flights</w:t>
      </w:r>
    </w:p>
    <w:p w14:paraId="006CCC76" w14:textId="1B7DD5B6" w:rsidR="004C4F26" w:rsidRDefault="00CD0306" w:rsidP="005567E1">
      <w:pPr>
        <w:pStyle w:val="SABulletslevel"/>
      </w:pPr>
      <w:proofErr w:type="gramStart"/>
      <w:r>
        <w:t>refrigerants</w:t>
      </w:r>
      <w:proofErr w:type="gramEnd"/>
    </w:p>
    <w:p w14:paraId="1E92D407" w14:textId="51610BB9" w:rsidR="004C4F26" w:rsidRDefault="00CD0306" w:rsidP="005567E1">
      <w:pPr>
        <w:pStyle w:val="SABulletslevel"/>
      </w:pPr>
      <w:r>
        <w:t>s</w:t>
      </w:r>
      <w:r w:rsidR="004C4F26">
        <w:t xml:space="preserve">olid </w:t>
      </w:r>
      <w:r>
        <w:t>waste</w:t>
      </w:r>
    </w:p>
    <w:p w14:paraId="3B7ACD06" w14:textId="3E814170" w:rsidR="004C4F26" w:rsidRDefault="00CD0306" w:rsidP="005567E1">
      <w:pPr>
        <w:pStyle w:val="SABulletslevel"/>
      </w:pPr>
      <w:r>
        <w:t>hire cars</w:t>
      </w:r>
    </w:p>
    <w:p w14:paraId="7C6344BE" w14:textId="5798702D" w:rsidR="00A03448" w:rsidRDefault="00CD0306" w:rsidP="005567E1">
      <w:pPr>
        <w:pStyle w:val="SABulletslevel"/>
      </w:pPr>
      <w:r>
        <w:t xml:space="preserve">accommodation </w:t>
      </w:r>
      <w:r w:rsidR="004C4F26">
        <w:t>during business travel</w:t>
      </w:r>
      <w:r>
        <w:t>.</w:t>
      </w:r>
    </w:p>
    <w:p w14:paraId="4DEFAF79" w14:textId="0E144664" w:rsidR="00EA1451" w:rsidRPr="00363D2A" w:rsidRDefault="00EA1451" w:rsidP="000A447D">
      <w:pPr>
        <w:pStyle w:val="BodyText"/>
      </w:pPr>
      <w:r>
        <w:t xml:space="preserve">Emissions are calculated in line with APS Net Zero Emissions Reporting Framework, provided by Finance and consistent with the </w:t>
      </w:r>
      <w:r w:rsidR="00CD0306">
        <w:t xml:space="preserve">whole of government </w:t>
      </w:r>
      <w:r>
        <w:t xml:space="preserve">approach. </w:t>
      </w:r>
    </w:p>
    <w:p w14:paraId="288E80EB" w14:textId="3ADD2E37" w:rsidR="002535DE" w:rsidRPr="00AE3EA3" w:rsidRDefault="002535DE" w:rsidP="00A377AE">
      <w:pPr>
        <w:pStyle w:val="SAHeadinglevel3"/>
        <w:rPr>
          <w:color w:val="002060"/>
        </w:rPr>
      </w:pPr>
      <w:bookmarkStart w:id="34" w:name="_Toc218750554"/>
      <w:r w:rsidRPr="00AE3EA3">
        <w:rPr>
          <w:color w:val="002060"/>
        </w:rPr>
        <w:t>Staffing</w:t>
      </w:r>
      <w:r w:rsidR="00CD0306">
        <w:rPr>
          <w:color w:val="002060"/>
        </w:rPr>
        <w:t xml:space="preserve"> and r</w:t>
      </w:r>
      <w:r w:rsidRPr="00AE3EA3">
        <w:rPr>
          <w:color w:val="002060"/>
        </w:rPr>
        <w:t>esourcing</w:t>
      </w:r>
      <w:bookmarkEnd w:id="34"/>
    </w:p>
    <w:p w14:paraId="67BC91F0" w14:textId="65609FAB" w:rsidR="00EC76C1" w:rsidRDefault="00CD0306" w:rsidP="00EC76C1">
      <w:pPr>
        <w:pStyle w:val="KeyInfo"/>
        <w:spacing w:after="240"/>
        <w:rPr>
          <w:b/>
          <w:bCs/>
        </w:rPr>
      </w:pPr>
      <w:r>
        <w:rPr>
          <w:b/>
          <w:bCs/>
        </w:rPr>
        <w:t>Action</w:t>
      </w:r>
      <w:r w:rsidR="00EC76C1">
        <w:rPr>
          <w:b/>
          <w:bCs/>
        </w:rPr>
        <w:t xml:space="preserve">: Increase resourcing and environmental sustainability technical expertise in the </w:t>
      </w:r>
      <w:r>
        <w:rPr>
          <w:b/>
          <w:bCs/>
        </w:rPr>
        <w:t>agency.</w:t>
      </w:r>
    </w:p>
    <w:p w14:paraId="7DF489DD" w14:textId="0268B331" w:rsidR="002535DE" w:rsidRPr="00E47CB6" w:rsidRDefault="002535DE" w:rsidP="000A447D">
      <w:pPr>
        <w:pStyle w:val="BodyText"/>
      </w:pPr>
      <w:r w:rsidRPr="00E47CB6">
        <w:t>There</w:t>
      </w:r>
      <w:r w:rsidR="00CD0306">
        <w:t>’</w:t>
      </w:r>
      <w:r w:rsidRPr="00E47CB6">
        <w:t xml:space="preserve">s a requirement for dedicated staff time and resources to manage and deliver aspects of the </w:t>
      </w:r>
      <w:r w:rsidR="00CD0306">
        <w:t>a</w:t>
      </w:r>
      <w:r w:rsidR="00CD0306" w:rsidRPr="00E47CB6">
        <w:t xml:space="preserve">ction </w:t>
      </w:r>
      <w:r w:rsidR="00CD0306">
        <w:t>p</w:t>
      </w:r>
      <w:r w:rsidR="00CD0306" w:rsidRPr="00E47CB6">
        <w:t>lan</w:t>
      </w:r>
      <w:r>
        <w:t>:</w:t>
      </w:r>
    </w:p>
    <w:p w14:paraId="2959E2F7" w14:textId="327304B8" w:rsidR="002535DE" w:rsidRDefault="002535DE" w:rsidP="005567E1">
      <w:pPr>
        <w:pStyle w:val="SABulletslevel"/>
      </w:pPr>
      <w:r>
        <w:t>Increased t</w:t>
      </w:r>
      <w:r w:rsidRPr="00E47CB6">
        <w:t xml:space="preserve">echnical expertise </w:t>
      </w:r>
      <w:proofErr w:type="gramStart"/>
      <w:r w:rsidR="00F6243E">
        <w:t>required</w:t>
      </w:r>
      <w:proofErr w:type="gramEnd"/>
      <w:r w:rsidR="00F6243E">
        <w:t xml:space="preserve"> </w:t>
      </w:r>
      <w:r w:rsidRPr="00E47CB6">
        <w:t xml:space="preserve">to project manage the infrastructure </w:t>
      </w:r>
      <w:r w:rsidR="009814D2" w:rsidRPr="00E47CB6">
        <w:t>upgrades and</w:t>
      </w:r>
      <w:r w:rsidRPr="00E47CB6">
        <w:t xml:space="preserve"> educate staff so they understand the impact of climate change and how they can help become carbon neutral</w:t>
      </w:r>
      <w:r w:rsidR="00982A28">
        <w:t>.</w:t>
      </w:r>
    </w:p>
    <w:p w14:paraId="7864E4FC" w14:textId="704A64F0" w:rsidR="002535DE" w:rsidRDefault="002535DE" w:rsidP="005567E1">
      <w:pPr>
        <w:pStyle w:val="SABulletslevel"/>
      </w:pPr>
      <w:r>
        <w:t>To support increased scope for building performance</w:t>
      </w:r>
      <w:r w:rsidR="00CD0306">
        <w:t>,</w:t>
      </w:r>
      <w:r>
        <w:t xml:space="preserve"> </w:t>
      </w:r>
      <w:r w:rsidR="00F6243E">
        <w:t xml:space="preserve">this </w:t>
      </w:r>
      <w:r>
        <w:t>will result in higher volume of workload associated with NABERS assessments</w:t>
      </w:r>
      <w:r w:rsidR="00CD0306">
        <w:t xml:space="preserve"> </w:t>
      </w:r>
      <w:r>
        <w:t>and GLS requirements.</w:t>
      </w:r>
    </w:p>
    <w:p w14:paraId="3FE6D24D" w14:textId="654E4EFF" w:rsidR="00A03448" w:rsidRDefault="00A03448" w:rsidP="00A03448">
      <w:pPr>
        <w:pStyle w:val="SAHeadinglevel2"/>
      </w:pPr>
      <w:bookmarkStart w:id="35" w:name="_Toc147758822"/>
      <w:bookmarkStart w:id="36" w:name="_Toc218750555"/>
      <w:r>
        <w:t xml:space="preserve">Investment in </w:t>
      </w:r>
      <w:r w:rsidR="00CD0306">
        <w:t xml:space="preserve">net zero </w:t>
      </w:r>
      <w:bookmarkEnd w:id="35"/>
      <w:r w:rsidR="00CD0306">
        <w:t>emissions</w:t>
      </w:r>
      <w:bookmarkEnd w:id="36"/>
    </w:p>
    <w:p w14:paraId="7D0F5B7D" w14:textId="5C5A5B92" w:rsidR="002E2DCE" w:rsidRDefault="00CD0306" w:rsidP="000A447D">
      <w:pPr>
        <w:pStyle w:val="BodyText"/>
      </w:pPr>
      <w:r>
        <w:t>A</w:t>
      </w:r>
      <w:r w:rsidR="00E07341" w:rsidRPr="00E07341">
        <w:t>chiev</w:t>
      </w:r>
      <w:r>
        <w:t>ing</w:t>
      </w:r>
      <w:r w:rsidR="00E07341" w:rsidRPr="00E07341">
        <w:t xml:space="preserve"> net zero in the APS by 2030 requires a financial investment by the </w:t>
      </w:r>
      <w:r>
        <w:t>a</w:t>
      </w:r>
      <w:r w:rsidRPr="00E07341">
        <w:t>gency</w:t>
      </w:r>
      <w:r w:rsidR="00E07341" w:rsidRPr="00E07341">
        <w:t xml:space="preserve">. There are many ways funding can be sourced to support the mandates and </w:t>
      </w:r>
      <w:r w:rsidR="00DA3B3B" w:rsidRPr="00E07341">
        <w:t>target</w:t>
      </w:r>
      <w:r w:rsidR="00DA3B3B">
        <w:t>s,</w:t>
      </w:r>
      <w:r w:rsidR="00E07341" w:rsidRPr="00E07341">
        <w:t xml:space="preserve"> and these are outlined </w:t>
      </w:r>
      <w:r w:rsidR="002E2DCE">
        <w:t>in this section</w:t>
      </w:r>
      <w:r w:rsidR="00E07341">
        <w:t>.</w:t>
      </w:r>
    </w:p>
    <w:p w14:paraId="3CA7BA0D" w14:textId="6DBC8ACD" w:rsidR="00524E16" w:rsidRDefault="00A03448" w:rsidP="000A447D">
      <w:pPr>
        <w:pStyle w:val="BodyText"/>
      </w:pPr>
      <w:r w:rsidRPr="00AB2956">
        <w:t>Where upfront investment m</w:t>
      </w:r>
      <w:r w:rsidR="00A84DB1">
        <w:t>ight</w:t>
      </w:r>
      <w:r w:rsidRPr="00AB2956">
        <w:t xml:space="preserve"> be challenging for the </w:t>
      </w:r>
      <w:r w:rsidR="00CD0306">
        <w:t>a</w:t>
      </w:r>
      <w:r w:rsidR="00CD0306" w:rsidRPr="00AB2956">
        <w:t>gency</w:t>
      </w:r>
      <w:r w:rsidRPr="00AB2956">
        <w:t>, there are alternative funding opportunities available</w:t>
      </w:r>
      <w:r w:rsidR="00CD0306">
        <w:t xml:space="preserve">, </w:t>
      </w:r>
      <w:r w:rsidRPr="00AB2956">
        <w:t xml:space="preserve">such as low interest loans, </w:t>
      </w:r>
      <w:r w:rsidR="00180030">
        <w:t>PPA</w:t>
      </w:r>
      <w:r w:rsidR="0031296A">
        <w:t>s</w:t>
      </w:r>
      <w:r w:rsidRPr="00AB2956">
        <w:t xml:space="preserve"> or </w:t>
      </w:r>
      <w:r w:rsidR="00CD0306">
        <w:t xml:space="preserve">energy performance contracts </w:t>
      </w:r>
      <w:r w:rsidR="00180030">
        <w:t>(EPC</w:t>
      </w:r>
      <w:r w:rsidR="0031296A">
        <w:t>s</w:t>
      </w:r>
      <w:r w:rsidR="00180030">
        <w:t>)</w:t>
      </w:r>
      <w:r w:rsidRPr="00AB2956">
        <w:t xml:space="preserve">. </w:t>
      </w:r>
      <w:r w:rsidR="002E2DCE">
        <w:t>Whil</w:t>
      </w:r>
      <w:r w:rsidR="00CD0306">
        <w:t xml:space="preserve">e </w:t>
      </w:r>
      <w:r w:rsidR="002E2DCE">
        <w:t>these options are</w:t>
      </w:r>
      <w:r w:rsidR="00A84DB1">
        <w:t>n’t</w:t>
      </w:r>
      <w:r w:rsidR="002E2DCE">
        <w:t xml:space="preserve"> currently promoted, they</w:t>
      </w:r>
      <w:r w:rsidR="00A84DB1">
        <w:t>’</w:t>
      </w:r>
      <w:r w:rsidR="00193936">
        <w:t>re being</w:t>
      </w:r>
      <w:r w:rsidRPr="00AB2956">
        <w:t xml:space="preserve"> investigated</w:t>
      </w:r>
      <w:r w:rsidR="00524E16">
        <w:t xml:space="preserve"> </w:t>
      </w:r>
      <w:r w:rsidR="00E07341">
        <w:t xml:space="preserve">and </w:t>
      </w:r>
      <w:r w:rsidR="00193936">
        <w:t xml:space="preserve">will be </w:t>
      </w:r>
      <w:r w:rsidR="00E07341">
        <w:t xml:space="preserve">communicated as Finance develop </w:t>
      </w:r>
      <w:r w:rsidR="002E2DCE">
        <w:t xml:space="preserve">a consistent approach for </w:t>
      </w:r>
      <w:r w:rsidR="00CD0306">
        <w:t xml:space="preserve">whole of government </w:t>
      </w:r>
      <w:r w:rsidR="002E2DCE">
        <w:t>entities</w:t>
      </w:r>
      <w:r w:rsidR="00E07341">
        <w:t xml:space="preserve">. </w:t>
      </w:r>
    </w:p>
    <w:p w14:paraId="6EB23B01" w14:textId="7525DCC5" w:rsidR="00A03448" w:rsidRDefault="00A03448" w:rsidP="000A447D">
      <w:pPr>
        <w:pStyle w:val="BodyText"/>
      </w:pPr>
      <w:r w:rsidRPr="00AB2956">
        <w:t xml:space="preserve">Investment in key actions </w:t>
      </w:r>
      <w:r w:rsidR="004644D4">
        <w:t>will</w:t>
      </w:r>
      <w:r w:rsidRPr="00AB2956">
        <w:t xml:space="preserve"> also be sourced from </w:t>
      </w:r>
      <w:r w:rsidR="00491D81" w:rsidRPr="00AB2956">
        <w:t>business-as-usual</w:t>
      </w:r>
      <w:r w:rsidRPr="00AB2956">
        <w:t xml:space="preserve"> activities including </w:t>
      </w:r>
      <w:r w:rsidR="00CD0306">
        <w:t>whole of government</w:t>
      </w:r>
      <w:r w:rsidR="00CD0306" w:rsidRPr="00AB2956">
        <w:t xml:space="preserve"> </w:t>
      </w:r>
      <w:r w:rsidRPr="00AB2956">
        <w:t>renewable energy procurement and renewal or refurbishment of end</w:t>
      </w:r>
      <w:r w:rsidR="002E2DCE">
        <w:t>-</w:t>
      </w:r>
      <w:r w:rsidRPr="00AB2956">
        <w:t>of</w:t>
      </w:r>
      <w:r w:rsidR="002E2DCE">
        <w:t>-</w:t>
      </w:r>
      <w:r w:rsidRPr="00AB2956">
        <w:t>life infrastructure with more energy efficient solutions.</w:t>
      </w:r>
    </w:p>
    <w:p w14:paraId="757E537C" w14:textId="5AC86C97" w:rsidR="007F7DF4" w:rsidRPr="00AE3EA3" w:rsidRDefault="007F7DF4" w:rsidP="00A377AE">
      <w:pPr>
        <w:pStyle w:val="SAHeadinglevel3"/>
        <w:rPr>
          <w:color w:val="002060"/>
        </w:rPr>
      </w:pPr>
      <w:bookmarkStart w:id="37" w:name="_Toc218750556"/>
      <w:r w:rsidRPr="00AE3EA3">
        <w:rPr>
          <w:color w:val="002060"/>
        </w:rPr>
        <w:t xml:space="preserve">Alternative </w:t>
      </w:r>
      <w:r w:rsidR="00CD0306">
        <w:rPr>
          <w:color w:val="002060"/>
        </w:rPr>
        <w:t>f</w:t>
      </w:r>
      <w:r w:rsidRPr="00AE3EA3">
        <w:rPr>
          <w:color w:val="002060"/>
        </w:rPr>
        <w:t xml:space="preserve">unding </w:t>
      </w:r>
      <w:r w:rsidR="00CD0306">
        <w:rPr>
          <w:color w:val="002060"/>
        </w:rPr>
        <w:t>o</w:t>
      </w:r>
      <w:r w:rsidR="00CD0306" w:rsidRPr="00AE3EA3">
        <w:rPr>
          <w:color w:val="002060"/>
        </w:rPr>
        <w:t>ptions</w:t>
      </w:r>
      <w:bookmarkEnd w:id="37"/>
    </w:p>
    <w:p w14:paraId="5244743B" w14:textId="29386D82" w:rsidR="00E07341" w:rsidRPr="00AE3EA3" w:rsidRDefault="00CD0306" w:rsidP="003C7E01">
      <w:pPr>
        <w:pStyle w:val="SAHeadinglevel4"/>
        <w:rPr>
          <w:b/>
          <w:bCs w:val="0"/>
          <w:color w:val="002060"/>
        </w:rPr>
      </w:pPr>
      <w:r>
        <w:rPr>
          <w:b/>
          <w:bCs w:val="0"/>
          <w:color w:val="002060"/>
        </w:rPr>
        <w:t>R</w:t>
      </w:r>
      <w:r w:rsidR="00E07341" w:rsidRPr="00AE3EA3">
        <w:rPr>
          <w:b/>
          <w:bCs w:val="0"/>
          <w:color w:val="002060"/>
        </w:rPr>
        <w:t>enewable electricity</w:t>
      </w:r>
      <w:r w:rsidR="00F27795" w:rsidRPr="00AE3EA3">
        <w:rPr>
          <w:b/>
          <w:bCs w:val="0"/>
          <w:color w:val="002060"/>
        </w:rPr>
        <w:t xml:space="preserve"> – </w:t>
      </w:r>
      <w:r>
        <w:rPr>
          <w:b/>
          <w:bCs w:val="0"/>
          <w:color w:val="002060"/>
        </w:rPr>
        <w:t>p</w:t>
      </w:r>
      <w:r w:rsidRPr="00AE3EA3">
        <w:rPr>
          <w:b/>
          <w:bCs w:val="0"/>
          <w:color w:val="002060"/>
        </w:rPr>
        <w:t xml:space="preserve">ower </w:t>
      </w:r>
      <w:r>
        <w:rPr>
          <w:b/>
          <w:bCs w:val="0"/>
          <w:color w:val="002060"/>
        </w:rPr>
        <w:t>p</w:t>
      </w:r>
      <w:r w:rsidRPr="00AE3EA3">
        <w:rPr>
          <w:b/>
          <w:bCs w:val="0"/>
          <w:color w:val="002060"/>
        </w:rPr>
        <w:t xml:space="preserve">urchase </w:t>
      </w:r>
      <w:r>
        <w:rPr>
          <w:b/>
          <w:bCs w:val="0"/>
          <w:color w:val="002060"/>
        </w:rPr>
        <w:t>a</w:t>
      </w:r>
      <w:r w:rsidRPr="00AE3EA3">
        <w:rPr>
          <w:b/>
          <w:bCs w:val="0"/>
          <w:color w:val="002060"/>
        </w:rPr>
        <w:t>greements</w:t>
      </w:r>
    </w:p>
    <w:p w14:paraId="272BDF2A" w14:textId="3FE89886" w:rsidR="00E07341" w:rsidRPr="00901B0B" w:rsidRDefault="00E07341" w:rsidP="000A447D">
      <w:pPr>
        <w:pStyle w:val="BodyText"/>
        <w:rPr>
          <w:rFonts w:eastAsia="Roboto"/>
          <w:lang w:val="en-US" w:eastAsia="en-US"/>
        </w:rPr>
      </w:pPr>
      <w:r w:rsidRPr="00901B0B">
        <w:rPr>
          <w:rFonts w:eastAsia="Roboto"/>
          <w:lang w:val="en-US" w:eastAsia="en-US"/>
        </w:rPr>
        <w:t xml:space="preserve">Finance is developing </w:t>
      </w:r>
      <w:r w:rsidR="00CD0306">
        <w:rPr>
          <w:rFonts w:eastAsia="Roboto"/>
          <w:lang w:val="en-US" w:eastAsia="en-US"/>
        </w:rPr>
        <w:t>PPAs</w:t>
      </w:r>
      <w:r w:rsidRPr="00901B0B">
        <w:rPr>
          <w:rFonts w:eastAsia="Roboto"/>
          <w:lang w:val="en-US" w:eastAsia="en-US"/>
        </w:rPr>
        <w:t xml:space="preserve"> for entities to take up,</w:t>
      </w:r>
      <w:r w:rsidR="00CD0306">
        <w:rPr>
          <w:rFonts w:eastAsia="Roboto"/>
          <w:lang w:val="en-US" w:eastAsia="en-US"/>
        </w:rPr>
        <w:t xml:space="preserve"> which will</w:t>
      </w:r>
      <w:r w:rsidRPr="00901B0B">
        <w:rPr>
          <w:rFonts w:eastAsia="Roboto"/>
          <w:lang w:val="en-US" w:eastAsia="en-US"/>
        </w:rPr>
        <w:t xml:space="preserve"> reduce their emissions from electricity and streamline the procurement of electricity. These agreements allow entities to purchase lower emissions electricity or green power. These arrangements will expand those already established and managed by the Department of Defence.</w:t>
      </w:r>
    </w:p>
    <w:p w14:paraId="45F596B6" w14:textId="59302EFC" w:rsidR="00667560" w:rsidRPr="00AE3EA3" w:rsidRDefault="00667560" w:rsidP="003C7E01">
      <w:pPr>
        <w:pStyle w:val="SAHeadinglevel4"/>
        <w:rPr>
          <w:b/>
          <w:bCs w:val="0"/>
          <w:color w:val="002060"/>
        </w:rPr>
      </w:pPr>
      <w:r w:rsidRPr="00AE3EA3">
        <w:rPr>
          <w:b/>
          <w:bCs w:val="0"/>
          <w:color w:val="002060"/>
        </w:rPr>
        <w:t xml:space="preserve">Lease </w:t>
      </w:r>
      <w:r w:rsidR="00CD0306">
        <w:rPr>
          <w:b/>
          <w:bCs w:val="0"/>
          <w:color w:val="002060"/>
        </w:rPr>
        <w:t>i</w:t>
      </w:r>
      <w:r w:rsidRPr="00AE3EA3">
        <w:rPr>
          <w:b/>
          <w:bCs w:val="0"/>
          <w:color w:val="002060"/>
        </w:rPr>
        <w:t xml:space="preserve">ncentives </w:t>
      </w:r>
    </w:p>
    <w:p w14:paraId="17A8AB68" w14:textId="22844B1D" w:rsidR="009F5A1B" w:rsidRDefault="00CD0306" w:rsidP="009F5A1B">
      <w:pPr>
        <w:pStyle w:val="KeyInfo"/>
        <w:spacing w:after="240"/>
        <w:rPr>
          <w:b/>
          <w:bCs/>
        </w:rPr>
      </w:pPr>
      <w:r>
        <w:rPr>
          <w:b/>
          <w:bCs/>
        </w:rPr>
        <w:t>Action:</w:t>
      </w:r>
      <w:r w:rsidR="009F5A1B">
        <w:rPr>
          <w:b/>
          <w:bCs/>
        </w:rPr>
        <w:t xml:space="preserve"> </w:t>
      </w:r>
      <w:r>
        <w:rPr>
          <w:b/>
          <w:bCs/>
        </w:rPr>
        <w:t>We’ll</w:t>
      </w:r>
      <w:r w:rsidR="009F5A1B">
        <w:rPr>
          <w:b/>
          <w:bCs/>
        </w:rPr>
        <w:t xml:space="preserve"> incorporate environmental sustainability upgrades into leases</w:t>
      </w:r>
      <w:r>
        <w:rPr>
          <w:b/>
          <w:bCs/>
        </w:rPr>
        <w:t>.</w:t>
      </w:r>
    </w:p>
    <w:p w14:paraId="60A1E7C5" w14:textId="33C5B26F" w:rsidR="00A25A8E" w:rsidRDefault="00667560" w:rsidP="000A447D">
      <w:pPr>
        <w:pStyle w:val="BodyText"/>
      </w:pPr>
      <w:r w:rsidRPr="00901B0B">
        <w:t xml:space="preserve">Sustainability initiatives identified for a site </w:t>
      </w:r>
      <w:r w:rsidR="000876CD">
        <w:t>are</w:t>
      </w:r>
      <w:r w:rsidRPr="00901B0B">
        <w:t xml:space="preserve"> requested as a lease incentive </w:t>
      </w:r>
      <w:r w:rsidR="00A25A8E">
        <w:t>for the site</w:t>
      </w:r>
      <w:r w:rsidR="00CD0306">
        <w:t xml:space="preserve"> (Figure 13)</w:t>
      </w:r>
      <w:r w:rsidRPr="00901B0B">
        <w:t>.</w:t>
      </w:r>
    </w:p>
    <w:p w14:paraId="64CE57B4" w14:textId="1662A03F" w:rsidR="00CD0306" w:rsidRDefault="00667560" w:rsidP="000A447D">
      <w:pPr>
        <w:pStyle w:val="BodyText"/>
      </w:pPr>
      <w:r w:rsidRPr="00901B0B">
        <w:t>During lease negotiation</w:t>
      </w:r>
      <w:r w:rsidR="00A25A8E">
        <w:t>s</w:t>
      </w:r>
      <w:r w:rsidRPr="00901B0B">
        <w:t xml:space="preserve">, </w:t>
      </w:r>
      <w:r w:rsidR="00BA5D70">
        <w:t>we’ll</w:t>
      </w:r>
      <w:r w:rsidRPr="00901B0B">
        <w:t xml:space="preserve"> submit requests for</w:t>
      </w:r>
      <w:r w:rsidR="00CD0306">
        <w:t>:</w:t>
      </w:r>
    </w:p>
    <w:p w14:paraId="328D25FB" w14:textId="033AC55A" w:rsidR="00CD0306" w:rsidRDefault="00667560" w:rsidP="00CD0306">
      <w:pPr>
        <w:pStyle w:val="SABulletslevel"/>
      </w:pPr>
      <w:r w:rsidRPr="00901B0B">
        <w:t>lighting and controls upgrades</w:t>
      </w:r>
    </w:p>
    <w:p w14:paraId="5C7483AB" w14:textId="20B095E4" w:rsidR="00CD0306" w:rsidRDefault="00667560" w:rsidP="00CD0306">
      <w:pPr>
        <w:pStyle w:val="SABulletslevel"/>
      </w:pPr>
      <w:r w:rsidRPr="00901B0B">
        <w:t xml:space="preserve">other upgrades such as </w:t>
      </w:r>
      <w:r w:rsidR="000876CD">
        <w:t xml:space="preserve">EV chargers, </w:t>
      </w:r>
      <w:r w:rsidRPr="00901B0B">
        <w:t xml:space="preserve">solar PV systems and air conditioning upgrades. </w:t>
      </w:r>
    </w:p>
    <w:p w14:paraId="79A3970F" w14:textId="31730320" w:rsidR="00667560" w:rsidRDefault="00667560" w:rsidP="000A447D">
      <w:pPr>
        <w:pStyle w:val="BodyText"/>
      </w:pPr>
      <w:r w:rsidRPr="00901B0B">
        <w:t xml:space="preserve">Depending on the situation, this can be offered as additional works completed by the landlord, </w:t>
      </w:r>
      <w:r w:rsidR="00A25A8E">
        <w:t xml:space="preserve">paid by the </w:t>
      </w:r>
      <w:r w:rsidR="00CD0306">
        <w:t xml:space="preserve">agency </w:t>
      </w:r>
      <w:r w:rsidRPr="00901B0B">
        <w:t xml:space="preserve">or as a </w:t>
      </w:r>
      <w:r w:rsidR="00A25A8E">
        <w:t>part-</w:t>
      </w:r>
      <w:r w:rsidRPr="00901B0B">
        <w:t xml:space="preserve">financial contribution from the landlord to facilitate the opportunity. </w:t>
      </w:r>
    </w:p>
    <w:tbl>
      <w:tblPr>
        <w:tblStyle w:val="ServicesAustralia"/>
        <w:tblW w:w="0" w:type="auto"/>
        <w:tblLook w:val="04A0" w:firstRow="1" w:lastRow="0" w:firstColumn="1" w:lastColumn="0" w:noHBand="0" w:noVBand="1"/>
      </w:tblPr>
      <w:tblGrid>
        <w:gridCol w:w="1843"/>
        <w:gridCol w:w="8135"/>
      </w:tblGrid>
      <w:tr w:rsidR="00CD0306" w14:paraId="250C448E" w14:textId="77777777" w:rsidTr="007E3A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4E0EB395" w14:textId="28F37D75" w:rsidR="00CD0306" w:rsidRDefault="00CD0306" w:rsidP="005567E1">
            <w:pPr>
              <w:pStyle w:val="SABodytext"/>
            </w:pPr>
            <w:r>
              <w:t>Lease incentives</w:t>
            </w:r>
          </w:p>
        </w:tc>
      </w:tr>
      <w:tr w:rsidR="00CD0306" w14:paraId="0F352E9F"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62AEC4DD" w14:textId="156B7642" w:rsidR="00CD0306" w:rsidRDefault="00CD0306" w:rsidP="005567E1">
            <w:pPr>
              <w:pStyle w:val="SABodytext"/>
            </w:pPr>
            <w:r w:rsidRPr="004A2848">
              <w:t>Applicability</w:t>
            </w:r>
          </w:p>
        </w:tc>
        <w:tc>
          <w:tcPr>
            <w:tcW w:w="8135" w:type="dxa"/>
          </w:tcPr>
          <w:p w14:paraId="65C344D9" w14:textId="066EDE47"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rsidRPr="00901B0B">
              <w:t>Any time a new or existing lease is being negotiated, or options are being exercised.</w:t>
            </w:r>
          </w:p>
        </w:tc>
      </w:tr>
      <w:tr w:rsidR="00CD0306" w14:paraId="5AC1D497"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064A51EC" w14:textId="01E6AA87" w:rsidR="00CD0306" w:rsidRDefault="00CD0306" w:rsidP="005567E1">
            <w:pPr>
              <w:pStyle w:val="SABodytext"/>
            </w:pPr>
            <w:r w:rsidRPr="004A2848">
              <w:t>Benefits</w:t>
            </w:r>
          </w:p>
        </w:tc>
        <w:tc>
          <w:tcPr>
            <w:tcW w:w="8135" w:type="dxa"/>
          </w:tcPr>
          <w:p w14:paraId="6C357B23" w14:textId="5736F859"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t>A</w:t>
            </w:r>
            <w:r w:rsidRPr="00901B0B">
              <w:t>llows the initiative to be funded by the landlord and removes the up-front cost entirely</w:t>
            </w:r>
            <w:r w:rsidR="000C2587">
              <w:t>.</w:t>
            </w:r>
          </w:p>
        </w:tc>
      </w:tr>
      <w:tr w:rsidR="00CD0306" w14:paraId="4E0BFE8C"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59058DD4" w14:textId="783C992B" w:rsidR="00CD0306" w:rsidRDefault="00CD0306" w:rsidP="005567E1">
            <w:pPr>
              <w:pStyle w:val="SABodytext"/>
            </w:pPr>
            <w:r w:rsidRPr="004A2848">
              <w:t>Disadvantages</w:t>
            </w:r>
          </w:p>
        </w:tc>
        <w:tc>
          <w:tcPr>
            <w:tcW w:w="8135" w:type="dxa"/>
          </w:tcPr>
          <w:p w14:paraId="47CD0F0E" w14:textId="58E60DB2"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t>R</w:t>
            </w:r>
            <w:r w:rsidRPr="00901B0B">
              <w:t xml:space="preserve">equires the </w:t>
            </w:r>
            <w:r>
              <w:t>a</w:t>
            </w:r>
            <w:r w:rsidRPr="00901B0B">
              <w:t xml:space="preserve">gency be in a strong negotiating position to leverage the incentive. </w:t>
            </w:r>
          </w:p>
          <w:p w14:paraId="20C7742A" w14:textId="625F2277"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rsidRPr="00901B0B">
              <w:t xml:space="preserve">This generally means approaching the landlord well in advance of a pending lease negotiation, to leave open the possibility of </w:t>
            </w:r>
            <w:r w:rsidR="00D87300">
              <w:t>us</w:t>
            </w:r>
            <w:r w:rsidRPr="00901B0B">
              <w:t xml:space="preserve"> taking up a better offer. </w:t>
            </w:r>
          </w:p>
          <w:p w14:paraId="451EEA36" w14:textId="0BAD5610"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rsidRPr="00901B0B">
              <w:t xml:space="preserve">If </w:t>
            </w:r>
            <w:r w:rsidR="00D87300">
              <w:t>we’re</w:t>
            </w:r>
            <w:r w:rsidRPr="00901B0B">
              <w:t xml:space="preserve"> in a poor negotiating position, the landlord m</w:t>
            </w:r>
            <w:r w:rsidR="00D87300">
              <w:t>ight</w:t>
            </w:r>
            <w:r w:rsidRPr="00901B0B">
              <w:t xml:space="preserve"> not agree to fund the initiative. It</w:t>
            </w:r>
            <w:r>
              <w:t>’</w:t>
            </w:r>
            <w:r w:rsidRPr="00901B0B">
              <w:t>s important that the strategy for the site is known well in advance.</w:t>
            </w:r>
          </w:p>
        </w:tc>
      </w:tr>
    </w:tbl>
    <w:p w14:paraId="13E71D94" w14:textId="7552467F" w:rsidR="00667560" w:rsidRDefault="00CD0306" w:rsidP="005567E1">
      <w:pPr>
        <w:pStyle w:val="Caption"/>
      </w:pPr>
      <w:r>
        <w:t>Figure 13: Lease incentives</w:t>
      </w:r>
    </w:p>
    <w:p w14:paraId="6E697967" w14:textId="13CB5A4A" w:rsidR="00667560" w:rsidRPr="00AE3EA3" w:rsidRDefault="00667560" w:rsidP="003C7E01">
      <w:pPr>
        <w:pStyle w:val="SAHeadinglevel4"/>
        <w:rPr>
          <w:b/>
          <w:bCs w:val="0"/>
          <w:color w:val="002060"/>
        </w:rPr>
      </w:pPr>
      <w:r w:rsidRPr="00AE3EA3">
        <w:rPr>
          <w:b/>
          <w:bCs w:val="0"/>
          <w:color w:val="002060"/>
        </w:rPr>
        <w:t xml:space="preserve">Energy performance contracts </w:t>
      </w:r>
    </w:p>
    <w:p w14:paraId="58E46353" w14:textId="6142FAA9" w:rsidR="006F3D37" w:rsidRDefault="00CD0306" w:rsidP="006F3D37">
      <w:pPr>
        <w:pStyle w:val="KeyInfo"/>
        <w:spacing w:after="240"/>
        <w:rPr>
          <w:b/>
          <w:bCs/>
        </w:rPr>
      </w:pPr>
      <w:r>
        <w:rPr>
          <w:b/>
          <w:bCs/>
        </w:rPr>
        <w:t>Action</w:t>
      </w:r>
      <w:r w:rsidR="006F3D37">
        <w:rPr>
          <w:b/>
          <w:bCs/>
        </w:rPr>
        <w:t xml:space="preserve">: </w:t>
      </w:r>
      <w:r>
        <w:rPr>
          <w:b/>
          <w:bCs/>
        </w:rPr>
        <w:t>We’ll</w:t>
      </w:r>
      <w:r w:rsidR="006F3D37">
        <w:rPr>
          <w:b/>
          <w:bCs/>
        </w:rPr>
        <w:t xml:space="preserve"> use </w:t>
      </w:r>
      <w:r>
        <w:rPr>
          <w:b/>
          <w:bCs/>
        </w:rPr>
        <w:t xml:space="preserve">PPAs </w:t>
      </w:r>
      <w:r w:rsidR="006F3D37">
        <w:rPr>
          <w:b/>
          <w:bCs/>
        </w:rPr>
        <w:t>where possible</w:t>
      </w:r>
      <w:r>
        <w:rPr>
          <w:b/>
          <w:bCs/>
        </w:rPr>
        <w:t>.</w:t>
      </w:r>
    </w:p>
    <w:p w14:paraId="15775F92" w14:textId="0C080D06" w:rsidR="00B33EF6" w:rsidRPr="000A447D" w:rsidRDefault="00667560" w:rsidP="000A447D">
      <w:pPr>
        <w:pStyle w:val="BodyText"/>
      </w:pPr>
      <w:r w:rsidRPr="00901B0B">
        <w:t xml:space="preserve">EPCs are </w:t>
      </w:r>
      <w:proofErr w:type="gramStart"/>
      <w:r w:rsidRPr="00901B0B">
        <w:t>similar to</w:t>
      </w:r>
      <w:proofErr w:type="gramEnd"/>
      <w:r w:rsidRPr="00901B0B">
        <w:t xml:space="preserve"> equipment lease arrangements and </w:t>
      </w:r>
      <w:r w:rsidR="00CD0306">
        <w:t>PPAs</w:t>
      </w:r>
      <w:r w:rsidRPr="00901B0B">
        <w:t xml:space="preserve"> </w:t>
      </w:r>
      <w:r w:rsidR="00CD0306">
        <w:t>as</w:t>
      </w:r>
      <w:r w:rsidRPr="00901B0B">
        <w:t xml:space="preserve"> a third</w:t>
      </w:r>
      <w:r w:rsidR="00CD0306">
        <w:t xml:space="preserve"> </w:t>
      </w:r>
      <w:r w:rsidRPr="00901B0B">
        <w:t>party</w:t>
      </w:r>
      <w:r w:rsidR="00CD0306">
        <w:t xml:space="preserve"> needs to</w:t>
      </w:r>
      <w:r w:rsidRPr="00901B0B">
        <w:t xml:space="preserve"> fund the investment capital required to deliver a project. However, instead of receiving a fixed rate or licence fee, EPC providers are paid out of the </w:t>
      </w:r>
      <w:r w:rsidRPr="000A447D">
        <w:t xml:space="preserve">calculated savings they </w:t>
      </w:r>
      <w:proofErr w:type="gramStart"/>
      <w:r w:rsidRPr="000A447D">
        <w:t>actually deliver</w:t>
      </w:r>
      <w:proofErr w:type="gramEnd"/>
      <w:r w:rsidRPr="000A447D">
        <w:t xml:space="preserve">, relative to an agreed savings target over a set period. </w:t>
      </w:r>
    </w:p>
    <w:p w14:paraId="2D516EE9" w14:textId="2BE84505" w:rsidR="00CD0306" w:rsidRPr="000A447D" w:rsidRDefault="00667560" w:rsidP="000A447D">
      <w:pPr>
        <w:pStyle w:val="BodyText"/>
      </w:pPr>
      <w:r w:rsidRPr="000A447D">
        <w:t xml:space="preserve">Finance have indicated </w:t>
      </w:r>
      <w:r w:rsidR="00CD0306" w:rsidRPr="000A447D">
        <w:t xml:space="preserve">through </w:t>
      </w:r>
      <w:r w:rsidRPr="000A447D">
        <w:t xml:space="preserve">NZGO that this will be an </w:t>
      </w:r>
      <w:proofErr w:type="gramStart"/>
      <w:r w:rsidRPr="000A447D">
        <w:t>option</w:t>
      </w:r>
      <w:proofErr w:type="gramEnd"/>
      <w:r w:rsidRPr="000A447D">
        <w:t xml:space="preserve"> and </w:t>
      </w:r>
      <w:r w:rsidR="00C13228" w:rsidRPr="000A447D">
        <w:t>we’ll</w:t>
      </w:r>
      <w:r w:rsidRPr="000A447D">
        <w:t xml:space="preserve"> </w:t>
      </w:r>
      <w:r w:rsidR="006F3D37" w:rsidRPr="000A447D">
        <w:t xml:space="preserve">use PPAs </w:t>
      </w:r>
      <w:r w:rsidRPr="000A447D">
        <w:t xml:space="preserve">where </w:t>
      </w:r>
      <w:r w:rsidR="006F3D37" w:rsidRPr="000A447D">
        <w:t>possible</w:t>
      </w:r>
      <w:r w:rsidR="00CD0306" w:rsidRPr="000A447D">
        <w:t xml:space="preserve"> (Figure 14)</w:t>
      </w:r>
      <w:r w:rsidRPr="000A447D">
        <w:t>.</w:t>
      </w:r>
    </w:p>
    <w:tbl>
      <w:tblPr>
        <w:tblStyle w:val="ServicesAustralia"/>
        <w:tblW w:w="0" w:type="auto"/>
        <w:tblLook w:val="04A0" w:firstRow="1" w:lastRow="0" w:firstColumn="1" w:lastColumn="0" w:noHBand="0" w:noVBand="1"/>
      </w:tblPr>
      <w:tblGrid>
        <w:gridCol w:w="1843"/>
        <w:gridCol w:w="8135"/>
      </w:tblGrid>
      <w:tr w:rsidR="00CD0306" w14:paraId="425863DC" w14:textId="77777777" w:rsidTr="00F144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8" w:type="dxa"/>
            <w:gridSpan w:val="2"/>
          </w:tcPr>
          <w:p w14:paraId="3BDA576A" w14:textId="7E64C428" w:rsidR="00CD0306" w:rsidRDefault="00CD0306" w:rsidP="005567E1">
            <w:pPr>
              <w:pStyle w:val="SABodytext"/>
            </w:pPr>
            <w:r>
              <w:t>EPC overview</w:t>
            </w:r>
          </w:p>
        </w:tc>
      </w:tr>
      <w:tr w:rsidR="00CD0306" w14:paraId="7747CA33"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53FBCD68" w14:textId="0E621C3A" w:rsidR="00CD0306" w:rsidRDefault="00CD0306" w:rsidP="005567E1">
            <w:pPr>
              <w:pStyle w:val="SABodytext"/>
            </w:pPr>
            <w:r w:rsidRPr="004A2848">
              <w:t>Applicability</w:t>
            </w:r>
          </w:p>
        </w:tc>
        <w:tc>
          <w:tcPr>
            <w:tcW w:w="8135" w:type="dxa"/>
          </w:tcPr>
          <w:p w14:paraId="7E03EA7D" w14:textId="710F4BE9"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proofErr w:type="gramStart"/>
            <w:r w:rsidRPr="00901B0B">
              <w:t>Similar to</w:t>
            </w:r>
            <w:proofErr w:type="gramEnd"/>
            <w:r w:rsidRPr="00901B0B">
              <w:t xml:space="preserve"> other third</w:t>
            </w:r>
            <w:r>
              <w:t xml:space="preserve"> </w:t>
            </w:r>
            <w:r w:rsidRPr="00901B0B">
              <w:t>party</w:t>
            </w:r>
            <w:r>
              <w:t>-</w:t>
            </w:r>
            <w:r w:rsidRPr="00901B0B">
              <w:t>funded ventures, EPCs are best suited to owned premises, or those with long term lease prospects (10+ years). This allows sufficient time to distribute the ongoing repayments and realise the cost savings of the initiative</w:t>
            </w:r>
            <w:r w:rsidR="009814D2">
              <w:t>.</w:t>
            </w:r>
          </w:p>
        </w:tc>
      </w:tr>
      <w:tr w:rsidR="00CD0306" w14:paraId="737B837D"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1824EC0F" w14:textId="3E8F8438" w:rsidR="00CD0306" w:rsidRDefault="00CD0306" w:rsidP="005567E1">
            <w:pPr>
              <w:pStyle w:val="SABodytext"/>
            </w:pPr>
            <w:r w:rsidRPr="004A2848">
              <w:t>Benefits</w:t>
            </w:r>
          </w:p>
        </w:tc>
        <w:tc>
          <w:tcPr>
            <w:tcW w:w="8135" w:type="dxa"/>
          </w:tcPr>
          <w:p w14:paraId="5B80B3B8" w14:textId="79CA0346"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rsidRPr="006C073E">
              <w:t xml:space="preserve">Cost savings and vendor reimbursement are calculated in line with the </w:t>
            </w:r>
            <w:r>
              <w:t>e</w:t>
            </w:r>
            <w:r w:rsidRPr="006C073E">
              <w:t xml:space="preserve">fficiency </w:t>
            </w:r>
            <w:r>
              <w:t>v</w:t>
            </w:r>
            <w:r w:rsidRPr="006C073E">
              <w:t xml:space="preserve">aluation </w:t>
            </w:r>
            <w:r>
              <w:t>o</w:t>
            </w:r>
            <w:r w:rsidRPr="006C073E">
              <w:t>rganisation’s prescribed methodology, using predetermined performance benchmarks and nominated external influences. Where actual performance is lower than the agreed savings target, the amount paid to the EPC provider is reduced accordingly. This approach reduces entity risk, as failure by the provider to deliver the promised savings results in lower payments.</w:t>
            </w:r>
          </w:p>
        </w:tc>
      </w:tr>
      <w:tr w:rsidR="00CD0306" w14:paraId="4F1D30AC" w14:textId="77777777" w:rsidTr="005567E1">
        <w:tc>
          <w:tcPr>
            <w:cnfStyle w:val="001000000000" w:firstRow="0" w:lastRow="0" w:firstColumn="1" w:lastColumn="0" w:oddVBand="0" w:evenVBand="0" w:oddHBand="0" w:evenHBand="0" w:firstRowFirstColumn="0" w:firstRowLastColumn="0" w:lastRowFirstColumn="0" w:lastRowLastColumn="0"/>
            <w:tcW w:w="1843" w:type="dxa"/>
          </w:tcPr>
          <w:p w14:paraId="647056F5" w14:textId="26F15475" w:rsidR="00CD0306" w:rsidRDefault="00CD0306" w:rsidP="005567E1">
            <w:pPr>
              <w:pStyle w:val="SABodytext"/>
            </w:pPr>
            <w:r w:rsidRPr="004A2848">
              <w:t>Disadvantages</w:t>
            </w:r>
          </w:p>
        </w:tc>
        <w:tc>
          <w:tcPr>
            <w:tcW w:w="8135" w:type="dxa"/>
          </w:tcPr>
          <w:p w14:paraId="44C4DB48" w14:textId="6D4B7838" w:rsidR="00CD0306" w:rsidRDefault="00CD0306" w:rsidP="000A447D">
            <w:pPr>
              <w:pStyle w:val="SABodytext"/>
              <w:cnfStyle w:val="000000000000" w:firstRow="0" w:lastRow="0" w:firstColumn="0" w:lastColumn="0" w:oddVBand="0" w:evenVBand="0" w:oddHBand="0" w:evenHBand="0" w:firstRowFirstColumn="0" w:firstRowLastColumn="0" w:lastRowFirstColumn="0" w:lastRowLastColumn="0"/>
            </w:pPr>
            <w:r w:rsidRPr="00901B0B">
              <w:t>EPCs can create an administrative burden post completion. The energy savings must be calculated and verified and there</w:t>
            </w:r>
            <w:r w:rsidR="00327987">
              <w:t>’</w:t>
            </w:r>
            <w:r w:rsidRPr="00901B0B">
              <w:t>s increased risk of contractual disputes if the actual energy savings are lower than expected.</w:t>
            </w:r>
          </w:p>
        </w:tc>
      </w:tr>
    </w:tbl>
    <w:p w14:paraId="364ABCB7" w14:textId="77777777" w:rsidR="00CD0306" w:rsidRDefault="00CD0306">
      <w:pPr>
        <w:rPr>
          <w:rFonts w:ascii="Roboto" w:hAnsi="Roboto" w:cs="Arial"/>
          <w:b/>
          <w:bCs/>
          <w:iCs/>
          <w:color w:val="1B365D" w:themeColor="accent2"/>
          <w:sz w:val="36"/>
          <w:szCs w:val="28"/>
        </w:rPr>
      </w:pPr>
      <w:r>
        <w:br w:type="page"/>
      </w:r>
    </w:p>
    <w:p w14:paraId="703E64F4" w14:textId="7CDA3BBE" w:rsidR="001E3770" w:rsidRDefault="00CD0306" w:rsidP="005567E1">
      <w:pPr>
        <w:pStyle w:val="SAHeadinglevel1"/>
      </w:pPr>
      <w:bookmarkStart w:id="38" w:name="_Toc218750557"/>
      <w:r>
        <w:t xml:space="preserve">Appendix </w:t>
      </w:r>
      <w:r w:rsidR="001E3770">
        <w:t xml:space="preserve">A – NZGO </w:t>
      </w:r>
      <w:r>
        <w:t xml:space="preserve">targets </w:t>
      </w:r>
      <w:r w:rsidR="001E3770">
        <w:t xml:space="preserve">and </w:t>
      </w:r>
      <w:r>
        <w:t>measures</w:t>
      </w:r>
      <w:bookmarkEnd w:id="38"/>
    </w:p>
    <w:p w14:paraId="462FEE90" w14:textId="5B32D0D9" w:rsidR="008F7BB7" w:rsidRDefault="001E3770" w:rsidP="000A447D">
      <w:pPr>
        <w:pStyle w:val="BodyText"/>
        <w:rPr>
          <w:rFonts w:eastAsia="Roboto"/>
          <w:lang w:val="en-US" w:eastAsia="en-US"/>
        </w:rPr>
      </w:pPr>
      <w:r>
        <w:rPr>
          <w:rFonts w:eastAsia="Roboto"/>
          <w:lang w:val="en-US" w:eastAsia="en-US"/>
        </w:rPr>
        <w:t xml:space="preserve">Below are the </w:t>
      </w:r>
      <w:r w:rsidR="008F7BB7">
        <w:rPr>
          <w:rFonts w:eastAsia="Roboto"/>
          <w:lang w:val="en-US" w:eastAsia="en-US"/>
        </w:rPr>
        <w:t>NZGO targets and measure</w:t>
      </w:r>
      <w:r w:rsidR="00BA4711">
        <w:rPr>
          <w:rFonts w:eastAsia="Roboto"/>
          <w:lang w:val="en-US" w:eastAsia="en-US"/>
        </w:rPr>
        <w:t>s</w:t>
      </w:r>
      <w:r>
        <w:rPr>
          <w:rFonts w:eastAsia="Roboto"/>
          <w:lang w:val="en-US" w:eastAsia="en-US"/>
        </w:rPr>
        <w:t xml:space="preserve"> that </w:t>
      </w:r>
      <w:r w:rsidR="00E07EC1">
        <w:rPr>
          <w:rFonts w:eastAsia="Roboto"/>
          <w:lang w:val="en-US" w:eastAsia="en-US"/>
        </w:rPr>
        <w:t xml:space="preserve">have been </w:t>
      </w:r>
      <w:r>
        <w:rPr>
          <w:rFonts w:eastAsia="Roboto"/>
          <w:lang w:val="en-US" w:eastAsia="en-US"/>
        </w:rPr>
        <w:t xml:space="preserve">set by Finance that the </w:t>
      </w:r>
      <w:r w:rsidR="00CD0306">
        <w:rPr>
          <w:rFonts w:eastAsia="Roboto"/>
          <w:lang w:val="en-US" w:eastAsia="en-US"/>
        </w:rPr>
        <w:t xml:space="preserve">agency </w:t>
      </w:r>
      <w:r w:rsidR="00E07EC1">
        <w:rPr>
          <w:rFonts w:eastAsia="Roboto"/>
          <w:lang w:val="en-US" w:eastAsia="en-US"/>
        </w:rPr>
        <w:t xml:space="preserve">is </w:t>
      </w:r>
      <w:r>
        <w:rPr>
          <w:rFonts w:eastAsia="Roboto"/>
          <w:lang w:val="en-US" w:eastAsia="en-US"/>
        </w:rPr>
        <w:t>required to achieve:</w:t>
      </w:r>
    </w:p>
    <w:tbl>
      <w:tblPr>
        <w:tblStyle w:val="ServicesAustralia"/>
        <w:tblW w:w="0" w:type="auto"/>
        <w:tblLook w:val="04A0" w:firstRow="1" w:lastRow="0" w:firstColumn="1" w:lastColumn="0" w:noHBand="0" w:noVBand="1"/>
      </w:tblPr>
      <w:tblGrid>
        <w:gridCol w:w="4989"/>
        <w:gridCol w:w="4989"/>
      </w:tblGrid>
      <w:tr w:rsidR="009961A2" w14:paraId="4547D10E" w14:textId="77777777" w:rsidTr="009961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89" w:type="dxa"/>
          </w:tcPr>
          <w:p w14:paraId="582B6F24" w14:textId="6C20A915" w:rsidR="009961A2" w:rsidRDefault="009961A2" w:rsidP="005567E1">
            <w:pPr>
              <w:pStyle w:val="SABodytext"/>
              <w:rPr>
                <w:rFonts w:eastAsia="Roboto"/>
              </w:rPr>
            </w:pPr>
            <w:r>
              <w:rPr>
                <w:rFonts w:eastAsia="Roboto"/>
              </w:rPr>
              <w:t>Target</w:t>
            </w:r>
          </w:p>
        </w:tc>
        <w:tc>
          <w:tcPr>
            <w:tcW w:w="4989" w:type="dxa"/>
          </w:tcPr>
          <w:p w14:paraId="1553A759" w14:textId="27A6C56A" w:rsidR="009961A2" w:rsidRDefault="009961A2" w:rsidP="005567E1">
            <w:pPr>
              <w:pStyle w:val="SABodytext"/>
              <w:cnfStyle w:val="100000000000" w:firstRow="1" w:lastRow="0" w:firstColumn="0" w:lastColumn="0" w:oddVBand="0" w:evenVBand="0" w:oddHBand="0" w:evenHBand="0" w:firstRowFirstColumn="0" w:firstRowLastColumn="0" w:lastRowFirstColumn="0" w:lastRowLastColumn="0"/>
              <w:rPr>
                <w:rFonts w:eastAsia="Roboto"/>
              </w:rPr>
            </w:pPr>
            <w:r>
              <w:rPr>
                <w:rFonts w:eastAsia="Roboto"/>
              </w:rPr>
              <w:t>Measure</w:t>
            </w:r>
          </w:p>
        </w:tc>
      </w:tr>
      <w:tr w:rsidR="009961A2" w14:paraId="4BD4983C" w14:textId="77777777" w:rsidTr="0081588F">
        <w:tc>
          <w:tcPr>
            <w:cnfStyle w:val="001000000000" w:firstRow="0" w:lastRow="0" w:firstColumn="1" w:lastColumn="0" w:oddVBand="0" w:evenVBand="0" w:oddHBand="0" w:evenHBand="0" w:firstRowFirstColumn="0" w:firstRowLastColumn="0" w:lastRowFirstColumn="0" w:lastRowLastColumn="0"/>
            <w:tcW w:w="9978" w:type="dxa"/>
            <w:gridSpan w:val="2"/>
          </w:tcPr>
          <w:p w14:paraId="02C1472F" w14:textId="62E65C62" w:rsidR="009961A2" w:rsidRDefault="009961A2" w:rsidP="005567E1">
            <w:pPr>
              <w:pStyle w:val="SABodytext"/>
              <w:rPr>
                <w:rFonts w:eastAsia="Roboto"/>
              </w:rPr>
            </w:pPr>
            <w:r>
              <w:rPr>
                <w:rFonts w:eastAsia="Roboto"/>
              </w:rPr>
              <w:t>Net zero energy</w:t>
            </w:r>
          </w:p>
        </w:tc>
      </w:tr>
      <w:tr w:rsidR="009961A2" w14:paraId="61E0F364"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25110E41" w14:textId="4782F32B" w:rsidR="009961A2" w:rsidRPr="004A2848" w:rsidRDefault="009961A2" w:rsidP="005567E1">
            <w:pPr>
              <w:pStyle w:val="SABodytext"/>
            </w:pPr>
            <w:r w:rsidRPr="004A2848">
              <w:t>By 1 January 2028, 80% of the Commonwealth’s electricity consumption that</w:t>
            </w:r>
            <w:r w:rsidR="00327987">
              <w:t>’</w:t>
            </w:r>
            <w:r w:rsidRPr="004A2848">
              <w:t>s generated off-site and purchased by entities</w:t>
            </w:r>
            <w:r w:rsidR="008970C5">
              <w:t xml:space="preserve"> </w:t>
            </w:r>
            <w:r w:rsidRPr="004A2848">
              <w:t xml:space="preserve">must be matched with renewable sources. </w:t>
            </w:r>
          </w:p>
          <w:p w14:paraId="35E11E8D" w14:textId="05B78667" w:rsidR="009961A2" w:rsidRDefault="009961A2" w:rsidP="005567E1">
            <w:pPr>
              <w:pStyle w:val="SABodytext"/>
              <w:rPr>
                <w:rFonts w:eastAsia="Roboto"/>
              </w:rPr>
            </w:pPr>
            <w:r w:rsidRPr="00F3663D">
              <w:t>By 1 January 2030, 100% of the Commonwealth’s electricity consumption</w:t>
            </w:r>
            <w:r w:rsidR="008970C5">
              <w:t xml:space="preserve"> </w:t>
            </w:r>
            <w:r w:rsidRPr="00F3663D">
              <w:t>that</w:t>
            </w:r>
            <w:r w:rsidR="00327987">
              <w:t>’</w:t>
            </w:r>
            <w:r w:rsidRPr="00F3663D">
              <w:t>s generated off-site and purchased by entities must be matched with renewable sources.</w:t>
            </w:r>
          </w:p>
        </w:tc>
        <w:tc>
          <w:tcPr>
            <w:tcW w:w="4989" w:type="dxa"/>
          </w:tcPr>
          <w:p w14:paraId="6C411D4F" w14:textId="6CABBF5C" w:rsidR="009961A2" w:rsidRPr="00F3663D"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cstheme="minorHAnsi"/>
              </w:rPr>
            </w:pPr>
            <w:r w:rsidRPr="00F3663D">
              <w:rPr>
                <w:rFonts w:cstheme="minorHAnsi"/>
              </w:rPr>
              <w:t>Percentage of electricity consumption generated offsite and purchased from renewable sources.</w:t>
            </w:r>
          </w:p>
          <w:p w14:paraId="190E43F5" w14:textId="13D91121" w:rsidR="009961A2" w:rsidRPr="00F3663D"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cstheme="minorHAnsi"/>
              </w:rPr>
            </w:pPr>
            <w:r w:rsidRPr="00F3663D">
              <w:rPr>
                <w:rFonts w:cstheme="minorHAnsi"/>
              </w:rPr>
              <w:t>Percentage of electricity generated on-site that</w:t>
            </w:r>
            <w:r w:rsidR="00327987">
              <w:rPr>
                <w:rFonts w:cstheme="minorHAnsi"/>
              </w:rPr>
              <w:t>’</w:t>
            </w:r>
            <w:r w:rsidRPr="00F3663D">
              <w:rPr>
                <w:rFonts w:cstheme="minorHAnsi"/>
              </w:rPr>
              <w:t>s certified renewable energy.</w:t>
            </w:r>
          </w:p>
          <w:p w14:paraId="185DCF28" w14:textId="0972D743" w:rsidR="009961A2"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total electricity usage that</w:t>
            </w:r>
            <w:r w:rsidR="00327987">
              <w:rPr>
                <w:rFonts w:cstheme="minorHAnsi"/>
              </w:rPr>
              <w:t>’</w:t>
            </w:r>
            <w:r w:rsidRPr="00F3663D">
              <w:rPr>
                <w:rFonts w:cstheme="minorHAnsi"/>
              </w:rPr>
              <w:t>s renewable.</w:t>
            </w:r>
          </w:p>
        </w:tc>
      </w:tr>
      <w:tr w:rsidR="009961A2" w14:paraId="445D6B92" w14:textId="77777777" w:rsidTr="0061253E">
        <w:tc>
          <w:tcPr>
            <w:cnfStyle w:val="001000000000" w:firstRow="0" w:lastRow="0" w:firstColumn="1" w:lastColumn="0" w:oddVBand="0" w:evenVBand="0" w:oddHBand="0" w:evenHBand="0" w:firstRowFirstColumn="0" w:firstRowLastColumn="0" w:lastRowFirstColumn="0" w:lastRowLastColumn="0"/>
            <w:tcW w:w="9978" w:type="dxa"/>
            <w:gridSpan w:val="2"/>
          </w:tcPr>
          <w:p w14:paraId="53C84073" w14:textId="0D4DED7B" w:rsidR="009961A2" w:rsidRDefault="009961A2" w:rsidP="005567E1">
            <w:pPr>
              <w:pStyle w:val="SABodytext"/>
              <w:rPr>
                <w:rFonts w:eastAsia="Roboto"/>
              </w:rPr>
            </w:pPr>
            <w:r>
              <w:rPr>
                <w:rFonts w:eastAsia="Roboto"/>
              </w:rPr>
              <w:t xml:space="preserve"> Net zero buildings</w:t>
            </w:r>
          </w:p>
        </w:tc>
      </w:tr>
      <w:tr w:rsidR="009961A2" w14:paraId="6DE4E22C"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17581ED7" w14:textId="7F30CF68" w:rsidR="009961A2" w:rsidRDefault="009961A2" w:rsidP="009961A2">
            <w:pPr>
              <w:pStyle w:val="SABodytext"/>
              <w:rPr>
                <w:rFonts w:eastAsia="Roboto"/>
              </w:rPr>
            </w:pPr>
            <w:r w:rsidRPr="00F3663D">
              <w:t>Office spaces leased since July 2026 that met the relevant NABERS rating.</w:t>
            </w:r>
          </w:p>
        </w:tc>
        <w:tc>
          <w:tcPr>
            <w:tcW w:w="4989" w:type="dxa"/>
          </w:tcPr>
          <w:p w14:paraId="2AA3EDC2" w14:textId="6F82F50C"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new office leases that achieved the relevant base building and tenancy NABERS energy rating</w:t>
            </w:r>
            <w:r>
              <w:rPr>
                <w:rFonts w:cstheme="minorHAnsi"/>
              </w:rPr>
              <w:t>.</w:t>
            </w:r>
          </w:p>
        </w:tc>
      </w:tr>
      <w:tr w:rsidR="009961A2" w14:paraId="1689831B"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1A223C78" w14:textId="162C1894" w:rsidR="009961A2" w:rsidRDefault="009961A2" w:rsidP="009961A2">
            <w:pPr>
              <w:pStyle w:val="SABodytext"/>
              <w:rPr>
                <w:rFonts w:eastAsia="Roboto"/>
              </w:rPr>
            </w:pPr>
            <w:r w:rsidRPr="00F3663D">
              <w:t>Office spaces leased since July 2026 that achieves the relevant NABERS rating</w:t>
            </w:r>
            <w:r>
              <w:t>.</w:t>
            </w:r>
          </w:p>
        </w:tc>
        <w:tc>
          <w:tcPr>
            <w:tcW w:w="4989" w:type="dxa"/>
          </w:tcPr>
          <w:p w14:paraId="2E7696F2" w14:textId="4B548C5C"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office space meeting the relevant base building and tenancy NABERS energy rating</w:t>
            </w:r>
            <w:r>
              <w:rPr>
                <w:rFonts w:cstheme="minorHAnsi"/>
              </w:rPr>
              <w:t>.</w:t>
            </w:r>
          </w:p>
        </w:tc>
      </w:tr>
      <w:tr w:rsidR="009961A2" w14:paraId="5E12D314"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5F983A0D" w14:textId="56348BCE" w:rsidR="009961A2" w:rsidRDefault="009961A2" w:rsidP="009961A2">
            <w:pPr>
              <w:pStyle w:val="SABodytext"/>
              <w:rPr>
                <w:rFonts w:eastAsia="Roboto"/>
              </w:rPr>
            </w:pPr>
            <w:r w:rsidRPr="00F3663D">
              <w:t xml:space="preserve">New </w:t>
            </w:r>
            <w:r w:rsidR="008970C5">
              <w:t>l</w:t>
            </w:r>
            <w:r w:rsidRPr="00F3663D">
              <w:t>eased office space achieves relevant NABERS ratings</w:t>
            </w:r>
            <w:r>
              <w:t>.</w:t>
            </w:r>
          </w:p>
        </w:tc>
        <w:tc>
          <w:tcPr>
            <w:tcW w:w="4989" w:type="dxa"/>
          </w:tcPr>
          <w:p w14:paraId="6DF7FF87" w14:textId="2AC5218B"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new office leases that achieved the relevant base building and tenancy NABERS energy rating</w:t>
            </w:r>
            <w:r>
              <w:rPr>
                <w:rFonts w:cstheme="minorHAnsi"/>
              </w:rPr>
              <w:t>.</w:t>
            </w:r>
          </w:p>
        </w:tc>
      </w:tr>
      <w:tr w:rsidR="009961A2" w14:paraId="52EFE469"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72094EAC" w14:textId="77FBD4EF" w:rsidR="009961A2" w:rsidRDefault="009961A2" w:rsidP="009961A2">
            <w:pPr>
              <w:pStyle w:val="SABodytext"/>
              <w:rPr>
                <w:rFonts w:eastAsia="Roboto"/>
              </w:rPr>
            </w:pPr>
            <w:r w:rsidRPr="00F3663D">
              <w:t>Office spaces leased since July 2026 that achieve the relevant NABERS rating</w:t>
            </w:r>
            <w:r>
              <w:t>.</w:t>
            </w:r>
          </w:p>
        </w:tc>
        <w:tc>
          <w:tcPr>
            <w:tcW w:w="4989" w:type="dxa"/>
          </w:tcPr>
          <w:p w14:paraId="6A1C18CA" w14:textId="208D202B"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office space meeting the relevant base building and tenancy NABERS energy Rating</w:t>
            </w:r>
            <w:r>
              <w:rPr>
                <w:rFonts w:cstheme="minorHAnsi"/>
              </w:rPr>
              <w:t>.</w:t>
            </w:r>
          </w:p>
        </w:tc>
      </w:tr>
      <w:tr w:rsidR="009961A2" w14:paraId="1C9E422F"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10F342CF" w14:textId="2451FB30" w:rsidR="009961A2" w:rsidRDefault="009961A2" w:rsidP="009961A2">
            <w:pPr>
              <w:pStyle w:val="SABodytext"/>
              <w:rPr>
                <w:rFonts w:eastAsia="Roboto"/>
              </w:rPr>
            </w:pPr>
            <w:r w:rsidRPr="00F3663D">
              <w:t>New owned office space achieves relevant NABERS ratings.</w:t>
            </w:r>
          </w:p>
        </w:tc>
        <w:tc>
          <w:tcPr>
            <w:tcW w:w="4989" w:type="dxa"/>
          </w:tcPr>
          <w:p w14:paraId="72A82AD4" w14:textId="77777777" w:rsidR="009961A2" w:rsidRPr="00F3663D"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cstheme="minorHAnsi"/>
              </w:rPr>
            </w:pPr>
            <w:r w:rsidRPr="00F3663D">
              <w:rPr>
                <w:rFonts w:cstheme="minorHAnsi"/>
              </w:rPr>
              <w:t xml:space="preserve">Percentage of office space purchased, constructed by or for the Commonwealth that: </w:t>
            </w:r>
          </w:p>
          <w:p w14:paraId="387FFA7B" w14:textId="47B4A3BE" w:rsidR="009961A2" w:rsidRDefault="009961A2" w:rsidP="005567E1">
            <w:pPr>
              <w:pStyle w:val="SABulletslevel"/>
              <w:cnfStyle w:val="000000000000" w:firstRow="0" w:lastRow="0" w:firstColumn="0" w:lastColumn="0" w:oddVBand="0" w:evenVBand="0" w:oddHBand="0" w:evenHBand="0" w:firstRowFirstColumn="0" w:firstRowLastColumn="0" w:lastRowFirstColumn="0" w:lastRowLastColumn="0"/>
            </w:pPr>
            <w:r w:rsidRPr="00F3663D">
              <w:t>achieved a 6</w:t>
            </w:r>
            <w:r w:rsidR="00002168">
              <w:t>-</w:t>
            </w:r>
            <w:r w:rsidRPr="00F3663D">
              <w:t>star or higher NABERS energy rating</w:t>
            </w:r>
          </w:p>
          <w:p w14:paraId="5F56B658" w14:textId="1583EFEF" w:rsidR="009961A2" w:rsidRDefault="009961A2"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F3663D">
              <w:t xml:space="preserve">is </w:t>
            </w:r>
            <w:r>
              <w:t>maintaining</w:t>
            </w:r>
            <w:r w:rsidRPr="00F3663D">
              <w:t xml:space="preserve"> a 6</w:t>
            </w:r>
            <w:r w:rsidR="00002168">
              <w:t>-</w:t>
            </w:r>
            <w:r w:rsidRPr="00F3663D">
              <w:t>star or higher NABERS energy rating</w:t>
            </w:r>
            <w:r w:rsidR="008970C5">
              <w:t>.</w:t>
            </w:r>
          </w:p>
        </w:tc>
      </w:tr>
      <w:tr w:rsidR="009961A2" w14:paraId="1D455C67"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6E5A8293" w14:textId="027309BC" w:rsidR="009961A2" w:rsidRDefault="009961A2" w:rsidP="009961A2">
            <w:pPr>
              <w:pStyle w:val="SABodytext"/>
              <w:rPr>
                <w:rFonts w:eastAsia="Roboto"/>
              </w:rPr>
            </w:pPr>
            <w:r w:rsidRPr="00F3663D">
              <w:t>Office space fit</w:t>
            </w:r>
            <w:r w:rsidR="00002168">
              <w:t xml:space="preserve"> </w:t>
            </w:r>
            <w:r w:rsidRPr="00F3663D">
              <w:t>outs and refurbishments achieve</w:t>
            </w:r>
            <w:r w:rsidR="00002168">
              <w:t xml:space="preserve"> </w:t>
            </w:r>
            <w:r w:rsidRPr="00F3663D">
              <w:t>relevant NABERS ratings</w:t>
            </w:r>
            <w:r>
              <w:t>.</w:t>
            </w:r>
          </w:p>
        </w:tc>
        <w:tc>
          <w:tcPr>
            <w:tcW w:w="4989" w:type="dxa"/>
          </w:tcPr>
          <w:p w14:paraId="4712471D" w14:textId="7C9CF87C" w:rsidR="009961A2" w:rsidRPr="00F3663D"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cstheme="minorHAnsi"/>
              </w:rPr>
            </w:pPr>
            <w:r w:rsidRPr="00F3663D">
              <w:rPr>
                <w:rFonts w:cstheme="minorHAnsi"/>
              </w:rPr>
              <w:t>Percentage of office space fit</w:t>
            </w:r>
            <w:r w:rsidR="00002168">
              <w:rPr>
                <w:rFonts w:cstheme="minorHAnsi"/>
              </w:rPr>
              <w:t xml:space="preserve"> </w:t>
            </w:r>
            <w:r w:rsidRPr="00F3663D">
              <w:rPr>
                <w:rFonts w:cstheme="minorHAnsi"/>
              </w:rPr>
              <w:t>outs or refurbishment valued over $15 million that:</w:t>
            </w:r>
          </w:p>
          <w:p w14:paraId="233F06F8" w14:textId="1E82B916" w:rsidR="009961A2" w:rsidRPr="00F3663D" w:rsidRDefault="009961A2" w:rsidP="005567E1">
            <w:pPr>
              <w:pStyle w:val="SABulletslevel"/>
              <w:cnfStyle w:val="000000000000" w:firstRow="0" w:lastRow="0" w:firstColumn="0" w:lastColumn="0" w:oddVBand="0" w:evenVBand="0" w:oddHBand="0" w:evenHBand="0" w:firstRowFirstColumn="0" w:firstRowLastColumn="0" w:lastRowFirstColumn="0" w:lastRowLastColumn="0"/>
            </w:pPr>
            <w:r w:rsidRPr="006F140B">
              <w:t xml:space="preserve">achieved a </w:t>
            </w:r>
            <w:r w:rsidRPr="00F3663D">
              <w:t>5.5</w:t>
            </w:r>
            <w:r w:rsidR="00002168">
              <w:t>-</w:t>
            </w:r>
            <w:r w:rsidRPr="00F3663D">
              <w:t>star or higher NABERS energy rating</w:t>
            </w:r>
          </w:p>
          <w:p w14:paraId="21503671" w14:textId="1EB15D74" w:rsidR="009961A2" w:rsidRDefault="009961A2"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F3663D">
              <w:t>maintained a 5.5</w:t>
            </w:r>
            <w:r w:rsidR="00002168">
              <w:t>-</w:t>
            </w:r>
            <w:r w:rsidRPr="00F3663D">
              <w:t>star or higher NABERS energy rating</w:t>
            </w:r>
            <w:r w:rsidRPr="006F140B">
              <w:t>.</w:t>
            </w:r>
          </w:p>
        </w:tc>
      </w:tr>
      <w:tr w:rsidR="009961A2" w14:paraId="3C0D984B"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4612F173" w14:textId="1CD9263B" w:rsidR="009961A2" w:rsidRDefault="009961A2" w:rsidP="009961A2">
            <w:pPr>
              <w:pStyle w:val="SABodytext"/>
              <w:rPr>
                <w:rFonts w:eastAsia="Roboto"/>
              </w:rPr>
            </w:pPr>
            <w:r w:rsidRPr="00F3663D">
              <w:t xml:space="preserve">Owned </w:t>
            </w:r>
            <w:r w:rsidR="00002168">
              <w:t>e</w:t>
            </w:r>
            <w:r w:rsidRPr="00F3663D">
              <w:t>state achieves relevant NABERS ratings</w:t>
            </w:r>
            <w:r>
              <w:t>.</w:t>
            </w:r>
          </w:p>
        </w:tc>
        <w:tc>
          <w:tcPr>
            <w:tcW w:w="4989" w:type="dxa"/>
          </w:tcPr>
          <w:p w14:paraId="5FC5A310" w14:textId="15B8E8A1"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entity-owned office space that</w:t>
            </w:r>
            <w:r w:rsidR="00664106">
              <w:rPr>
                <w:rFonts w:cstheme="minorHAnsi"/>
              </w:rPr>
              <w:t>’</w:t>
            </w:r>
            <w:r w:rsidRPr="00F3663D">
              <w:rPr>
                <w:rFonts w:cstheme="minorHAnsi"/>
              </w:rPr>
              <w:t>s rated 4.5</w:t>
            </w:r>
            <w:r w:rsidR="00002168">
              <w:rPr>
                <w:rFonts w:cstheme="minorHAnsi"/>
              </w:rPr>
              <w:t>-</w:t>
            </w:r>
            <w:r w:rsidRPr="00F3663D">
              <w:rPr>
                <w:rFonts w:cstheme="minorHAnsi"/>
              </w:rPr>
              <w:t>star or higher NABERS energy rating.</w:t>
            </w:r>
          </w:p>
        </w:tc>
      </w:tr>
      <w:tr w:rsidR="009961A2" w14:paraId="13E5547D"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6C4A94E8" w14:textId="7E6ECFD3" w:rsidR="009961A2" w:rsidRDefault="009961A2" w:rsidP="009961A2">
            <w:pPr>
              <w:pStyle w:val="SABodytext"/>
              <w:rPr>
                <w:rFonts w:eastAsia="Roboto"/>
              </w:rPr>
            </w:pPr>
            <w:r w:rsidRPr="00F3663D">
              <w:t xml:space="preserve">New </w:t>
            </w:r>
            <w:r w:rsidR="00002168">
              <w:t>o</w:t>
            </w:r>
            <w:r w:rsidRPr="00F3663D">
              <w:t xml:space="preserve">ffice </w:t>
            </w:r>
            <w:r w:rsidR="00002168">
              <w:t>s</w:t>
            </w:r>
            <w:r w:rsidRPr="00F3663D">
              <w:t>pace achieves relevant Green Building Council of Australia (GBCA) Green Star rating</w:t>
            </w:r>
            <w:r>
              <w:t>.</w:t>
            </w:r>
          </w:p>
        </w:tc>
        <w:tc>
          <w:tcPr>
            <w:tcW w:w="4989" w:type="dxa"/>
          </w:tcPr>
          <w:p w14:paraId="043F8531" w14:textId="19015CE7"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 xml:space="preserve">Percentage of office space purchased, constructed by or for the Commonwealth, fitted out or refurbished with a value greater than $15 million must obtain a GBCA Green Star Design </w:t>
            </w:r>
            <w:r w:rsidR="00002168">
              <w:rPr>
                <w:rFonts w:cstheme="minorHAnsi"/>
              </w:rPr>
              <w:t>and</w:t>
            </w:r>
            <w:r w:rsidRPr="00F3663D">
              <w:rPr>
                <w:rFonts w:cstheme="minorHAnsi"/>
              </w:rPr>
              <w:t xml:space="preserve"> As Built rating of 4 using the </w:t>
            </w:r>
            <w:r w:rsidR="00320A64">
              <w:rPr>
                <w:rFonts w:cstheme="minorHAnsi"/>
              </w:rPr>
              <w:t>n</w:t>
            </w:r>
            <w:r w:rsidRPr="00F3663D">
              <w:rPr>
                <w:rFonts w:cstheme="minorHAnsi"/>
              </w:rPr>
              <w:t xml:space="preserve">et </w:t>
            </w:r>
            <w:r w:rsidR="00320A64">
              <w:rPr>
                <w:rFonts w:cstheme="minorHAnsi"/>
              </w:rPr>
              <w:t>z</w:t>
            </w:r>
            <w:r w:rsidRPr="00F3663D">
              <w:rPr>
                <w:rFonts w:cstheme="minorHAnsi"/>
              </w:rPr>
              <w:t>ero pathway or an approved rating from a similar industry rating framework.</w:t>
            </w:r>
          </w:p>
        </w:tc>
      </w:tr>
      <w:tr w:rsidR="009961A2" w14:paraId="01F7DB9A"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54D420CC" w14:textId="3867FECF" w:rsidR="009961A2" w:rsidRDefault="009961A2" w:rsidP="009961A2">
            <w:pPr>
              <w:pStyle w:val="SABodytext"/>
              <w:rPr>
                <w:rFonts w:eastAsia="Roboto"/>
              </w:rPr>
            </w:pPr>
            <w:r w:rsidRPr="00F3663D">
              <w:t>New office space is electrified</w:t>
            </w:r>
            <w:r>
              <w:t>.</w:t>
            </w:r>
          </w:p>
        </w:tc>
        <w:tc>
          <w:tcPr>
            <w:tcW w:w="4989" w:type="dxa"/>
          </w:tcPr>
          <w:p w14:paraId="4627CC2E" w14:textId="6455DA77" w:rsidR="009961A2" w:rsidRPr="00F3663D" w:rsidRDefault="009961A2" w:rsidP="005567E1">
            <w:pPr>
              <w:pStyle w:val="SABodytext"/>
              <w:cnfStyle w:val="000000000000" w:firstRow="0" w:lastRow="0" w:firstColumn="0" w:lastColumn="0" w:oddVBand="0" w:evenVBand="0" w:oddHBand="0" w:evenHBand="0" w:firstRowFirstColumn="0" w:firstRowLastColumn="0" w:lastRowFirstColumn="0" w:lastRowLastColumn="0"/>
              <w:rPr>
                <w:rFonts w:cstheme="minorHAnsi"/>
              </w:rPr>
            </w:pPr>
            <w:r w:rsidRPr="00F3663D">
              <w:rPr>
                <w:rFonts w:cstheme="minorHAnsi"/>
              </w:rPr>
              <w:t>Percentage of office space that</w:t>
            </w:r>
            <w:r w:rsidR="00320A64">
              <w:rPr>
                <w:rFonts w:cstheme="minorHAnsi"/>
              </w:rPr>
              <w:t>’</w:t>
            </w:r>
            <w:r w:rsidRPr="00F3663D">
              <w:rPr>
                <w:rFonts w:cstheme="minorHAnsi"/>
              </w:rPr>
              <w:t>s all-electric:</w:t>
            </w:r>
          </w:p>
          <w:p w14:paraId="7FD0D7D9" w14:textId="15453C9B" w:rsidR="009961A2" w:rsidRPr="00F3663D" w:rsidRDefault="009961A2" w:rsidP="005567E1">
            <w:pPr>
              <w:pStyle w:val="SABulletslevel"/>
              <w:cnfStyle w:val="000000000000" w:firstRow="0" w:lastRow="0" w:firstColumn="0" w:lastColumn="0" w:oddVBand="0" w:evenVBand="0" w:oddHBand="0" w:evenHBand="0" w:firstRowFirstColumn="0" w:firstRowLastColumn="0" w:lastRowFirstColumn="0" w:lastRowLastColumn="0"/>
            </w:pPr>
            <w:r w:rsidRPr="00F3663D">
              <w:t>purchased or constructed by or for the Commonwealth</w:t>
            </w:r>
          </w:p>
          <w:p w14:paraId="68FB0B92" w14:textId="41B34C29" w:rsidR="009961A2" w:rsidRDefault="009961A2" w:rsidP="005567E1">
            <w:pPr>
              <w:pStyle w:val="SABulletslevel"/>
              <w:cnfStyle w:val="000000000000" w:firstRow="0" w:lastRow="0" w:firstColumn="0" w:lastColumn="0" w:oddVBand="0" w:evenVBand="0" w:oddHBand="0" w:evenHBand="0" w:firstRowFirstColumn="0" w:firstRowLastColumn="0" w:lastRowFirstColumn="0" w:lastRowLastColumn="0"/>
              <w:rPr>
                <w:rFonts w:eastAsia="Roboto"/>
              </w:rPr>
            </w:pPr>
            <w:r w:rsidRPr="00F3663D">
              <w:t>leased by the Commonwealth</w:t>
            </w:r>
            <w:r>
              <w:t>.</w:t>
            </w:r>
          </w:p>
        </w:tc>
      </w:tr>
      <w:tr w:rsidR="009961A2" w14:paraId="763781AF"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38960CDD" w14:textId="30765AAB" w:rsidR="009961A2" w:rsidRDefault="009961A2" w:rsidP="009961A2">
            <w:pPr>
              <w:pStyle w:val="SABodytext"/>
              <w:rPr>
                <w:rFonts w:eastAsia="Roboto"/>
              </w:rPr>
            </w:pPr>
            <w:r w:rsidRPr="00F3663D">
              <w:t>Office spaces leased since July 2026 that met the relevant NABERS rating.</w:t>
            </w:r>
          </w:p>
        </w:tc>
        <w:tc>
          <w:tcPr>
            <w:tcW w:w="4989" w:type="dxa"/>
          </w:tcPr>
          <w:p w14:paraId="6F7853E6" w14:textId="2E710C65"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cstheme="minorHAnsi"/>
              </w:rPr>
              <w:t>Percentage of new office leases that achieved the relevant base building and tenancy NABERS energy rating</w:t>
            </w:r>
            <w:r>
              <w:rPr>
                <w:rFonts w:cstheme="minorHAnsi"/>
              </w:rPr>
              <w:t>.</w:t>
            </w:r>
          </w:p>
        </w:tc>
      </w:tr>
      <w:tr w:rsidR="009961A2" w14:paraId="682A8803" w14:textId="77777777" w:rsidTr="00786C6E">
        <w:tc>
          <w:tcPr>
            <w:cnfStyle w:val="001000000000" w:firstRow="0" w:lastRow="0" w:firstColumn="1" w:lastColumn="0" w:oddVBand="0" w:evenVBand="0" w:oddHBand="0" w:evenHBand="0" w:firstRowFirstColumn="0" w:firstRowLastColumn="0" w:lastRowFirstColumn="0" w:lastRowLastColumn="0"/>
            <w:tcW w:w="9978" w:type="dxa"/>
            <w:gridSpan w:val="2"/>
          </w:tcPr>
          <w:p w14:paraId="5754B82D" w14:textId="245E4083" w:rsidR="009961A2" w:rsidRDefault="009961A2" w:rsidP="009961A2">
            <w:pPr>
              <w:pStyle w:val="SABodytext"/>
              <w:rPr>
                <w:rFonts w:eastAsia="Roboto"/>
              </w:rPr>
            </w:pPr>
            <w:r>
              <w:rPr>
                <w:rFonts w:eastAsia="Roboto"/>
              </w:rPr>
              <w:t>Net zero procurement</w:t>
            </w:r>
          </w:p>
        </w:tc>
      </w:tr>
      <w:tr w:rsidR="009961A2" w14:paraId="5FE25456"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0788E5D2" w14:textId="143E6DD7" w:rsidR="009961A2" w:rsidRPr="005567E1" w:rsidRDefault="009961A2" w:rsidP="009961A2">
            <w:pPr>
              <w:pStyle w:val="SABodytext"/>
            </w:pPr>
            <w:r w:rsidRPr="009961A2">
              <w:t>Develop the scope 3 cost modelling assessment and work with agencies in its development.</w:t>
            </w:r>
          </w:p>
        </w:tc>
        <w:tc>
          <w:tcPr>
            <w:tcW w:w="4989" w:type="dxa"/>
          </w:tcPr>
          <w:p w14:paraId="29E561B6" w14:textId="3A088C13" w:rsidR="009961A2" w:rsidRPr="005567E1" w:rsidRDefault="009961A2" w:rsidP="009961A2">
            <w:pPr>
              <w:pStyle w:val="SABodytext"/>
              <w:cnfStyle w:val="000000000000" w:firstRow="0" w:lastRow="0" w:firstColumn="0" w:lastColumn="0" w:oddVBand="0" w:evenVBand="0" w:oddHBand="0" w:evenHBand="0" w:firstRowFirstColumn="0" w:firstRowLastColumn="0" w:lastRowFirstColumn="0" w:lastRowLastColumn="0"/>
            </w:pPr>
            <w:r w:rsidRPr="009961A2">
              <w:t xml:space="preserve">Outcomes to be published showing categories to tailored emissions reduction efforts. </w:t>
            </w:r>
          </w:p>
        </w:tc>
      </w:tr>
      <w:tr w:rsidR="009961A2" w14:paraId="36FF9BC7"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6329DF36" w14:textId="6136F834" w:rsidR="009961A2" w:rsidRPr="005567E1" w:rsidRDefault="009961A2" w:rsidP="009961A2">
            <w:pPr>
              <w:pStyle w:val="SABodytext"/>
            </w:pPr>
            <w:r w:rsidRPr="009961A2">
              <w:t>Develop an</w:t>
            </w:r>
            <w:r w:rsidR="0031296A">
              <w:t xml:space="preserve"> </w:t>
            </w:r>
            <w:r>
              <w:t>ESPP.</w:t>
            </w:r>
          </w:p>
        </w:tc>
        <w:tc>
          <w:tcPr>
            <w:tcW w:w="4989" w:type="dxa"/>
          </w:tcPr>
          <w:p w14:paraId="58650863" w14:textId="31F77878" w:rsidR="009961A2" w:rsidRPr="005567E1" w:rsidRDefault="009961A2" w:rsidP="009961A2">
            <w:pPr>
              <w:pStyle w:val="SABodytext"/>
              <w:cnfStyle w:val="000000000000" w:firstRow="0" w:lastRow="0" w:firstColumn="0" w:lastColumn="0" w:oddVBand="0" w:evenVBand="0" w:oddHBand="0" w:evenHBand="0" w:firstRowFirstColumn="0" w:firstRowLastColumn="0" w:lastRowFirstColumn="0" w:lastRowLastColumn="0"/>
            </w:pPr>
            <w:r w:rsidRPr="009961A2">
              <w:t>Successful delivery of the ESPP</w:t>
            </w:r>
            <w:r>
              <w:t>.</w:t>
            </w:r>
            <w:r w:rsidRPr="009961A2">
              <w:t xml:space="preserve"> </w:t>
            </w:r>
          </w:p>
        </w:tc>
      </w:tr>
      <w:tr w:rsidR="009961A2" w14:paraId="26D3E5EC" w14:textId="77777777" w:rsidTr="00187C5E">
        <w:tc>
          <w:tcPr>
            <w:cnfStyle w:val="001000000000" w:firstRow="0" w:lastRow="0" w:firstColumn="1" w:lastColumn="0" w:oddVBand="0" w:evenVBand="0" w:oddHBand="0" w:evenHBand="0" w:firstRowFirstColumn="0" w:firstRowLastColumn="0" w:lastRowFirstColumn="0" w:lastRowLastColumn="0"/>
            <w:tcW w:w="9978" w:type="dxa"/>
            <w:gridSpan w:val="2"/>
          </w:tcPr>
          <w:p w14:paraId="3B181B16" w14:textId="4AA64E06" w:rsidR="009961A2" w:rsidRDefault="009961A2" w:rsidP="009961A2">
            <w:pPr>
              <w:pStyle w:val="SABodytext"/>
              <w:rPr>
                <w:rFonts w:eastAsia="Roboto"/>
              </w:rPr>
            </w:pPr>
            <w:r>
              <w:rPr>
                <w:rFonts w:eastAsia="Roboto"/>
              </w:rPr>
              <w:t>Net zero fleet</w:t>
            </w:r>
          </w:p>
        </w:tc>
      </w:tr>
      <w:tr w:rsidR="009961A2" w14:paraId="32571BD8"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219507EA" w14:textId="382B04AF" w:rsidR="009961A2" w:rsidRDefault="009961A2" w:rsidP="009961A2">
            <w:pPr>
              <w:pStyle w:val="SABodytext"/>
              <w:rPr>
                <w:rFonts w:eastAsia="Roboto"/>
              </w:rPr>
            </w:pPr>
            <w:r w:rsidRPr="00F3663D">
              <w:rPr>
                <w:rFonts w:asciiTheme="minorHAnsi" w:hAnsiTheme="minorHAnsi" w:cstheme="minorHAnsi"/>
                <w:szCs w:val="20"/>
              </w:rPr>
              <w:t>25% of new passenger (including ‘sports utility’) vehicle orders to be low emission vehicles (LEVs) in 2022</w:t>
            </w:r>
            <w:r>
              <w:rPr>
                <w:rFonts w:asciiTheme="minorHAnsi" w:hAnsiTheme="minorHAnsi" w:cstheme="minorHAnsi"/>
                <w:szCs w:val="20"/>
              </w:rPr>
              <w:t>–</w:t>
            </w:r>
            <w:r w:rsidRPr="00F3663D">
              <w:rPr>
                <w:rFonts w:asciiTheme="minorHAnsi" w:hAnsiTheme="minorHAnsi" w:cstheme="minorHAnsi"/>
                <w:szCs w:val="20"/>
              </w:rPr>
              <w:t>23</w:t>
            </w:r>
            <w:r>
              <w:rPr>
                <w:rFonts w:asciiTheme="minorHAnsi" w:hAnsiTheme="minorHAnsi" w:cstheme="minorHAnsi"/>
                <w:szCs w:val="20"/>
              </w:rPr>
              <w:t>.</w:t>
            </w:r>
          </w:p>
        </w:tc>
        <w:tc>
          <w:tcPr>
            <w:tcW w:w="4989" w:type="dxa"/>
          </w:tcPr>
          <w:p w14:paraId="6D5D60CA" w14:textId="4588B4C4"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asciiTheme="minorHAnsi" w:hAnsiTheme="minorHAnsi" w:cstheme="minorHAnsi"/>
                <w:szCs w:val="20"/>
              </w:rPr>
              <w:t>Reporting outside of this strategy - progress against the target is published on Finance’s website.</w:t>
            </w:r>
          </w:p>
        </w:tc>
      </w:tr>
      <w:tr w:rsidR="009961A2" w14:paraId="26A7518D"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3847A811" w14:textId="4FFC75FE" w:rsidR="009961A2" w:rsidRDefault="009961A2" w:rsidP="009961A2">
            <w:pPr>
              <w:pStyle w:val="SABodytext"/>
              <w:rPr>
                <w:rFonts w:eastAsia="Roboto"/>
              </w:rPr>
            </w:pPr>
            <w:r w:rsidRPr="00F3663D">
              <w:rPr>
                <w:rFonts w:asciiTheme="minorHAnsi" w:hAnsiTheme="minorHAnsi" w:cstheme="minorHAnsi"/>
                <w:szCs w:val="20"/>
              </w:rPr>
              <w:t>50% of new passenger (including ‘sports utility’) vehicle orders to be LEVs in 2023</w:t>
            </w:r>
            <w:r>
              <w:rPr>
                <w:rFonts w:asciiTheme="minorHAnsi" w:hAnsiTheme="minorHAnsi" w:cstheme="minorHAnsi"/>
                <w:szCs w:val="20"/>
              </w:rPr>
              <w:t>–</w:t>
            </w:r>
            <w:r w:rsidRPr="00F3663D">
              <w:rPr>
                <w:rFonts w:asciiTheme="minorHAnsi" w:hAnsiTheme="minorHAnsi" w:cstheme="minorHAnsi"/>
                <w:szCs w:val="20"/>
              </w:rPr>
              <w:t>24</w:t>
            </w:r>
            <w:r>
              <w:rPr>
                <w:rFonts w:asciiTheme="minorHAnsi" w:hAnsiTheme="minorHAnsi" w:cstheme="minorHAnsi"/>
                <w:szCs w:val="20"/>
              </w:rPr>
              <w:t>.</w:t>
            </w:r>
          </w:p>
        </w:tc>
        <w:tc>
          <w:tcPr>
            <w:tcW w:w="4989" w:type="dxa"/>
          </w:tcPr>
          <w:p w14:paraId="30076480" w14:textId="0E4869DA"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asciiTheme="minorHAnsi" w:hAnsiTheme="minorHAnsi" w:cstheme="minorHAnsi"/>
                <w:szCs w:val="20"/>
              </w:rPr>
              <w:t>Reporting outside of this strategy - progress against the target is published on Finance’s website.</w:t>
            </w:r>
          </w:p>
        </w:tc>
      </w:tr>
      <w:tr w:rsidR="009961A2" w14:paraId="6A82664E"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66E4D913" w14:textId="697D51B3" w:rsidR="009961A2" w:rsidRDefault="009961A2" w:rsidP="009961A2">
            <w:pPr>
              <w:pStyle w:val="SABodytext"/>
              <w:rPr>
                <w:rFonts w:eastAsia="Roboto"/>
              </w:rPr>
            </w:pPr>
            <w:r w:rsidRPr="00F3663D">
              <w:rPr>
                <w:rFonts w:asciiTheme="minorHAnsi" w:hAnsiTheme="minorHAnsi" w:cstheme="minorHAnsi"/>
                <w:szCs w:val="20"/>
              </w:rPr>
              <w:t>75% of new passenger (including ‘sports utility’) vehicle orders to be LEVs by 2025</w:t>
            </w:r>
            <w:r>
              <w:rPr>
                <w:rFonts w:asciiTheme="minorHAnsi" w:hAnsiTheme="minorHAnsi" w:cstheme="minorHAnsi"/>
                <w:szCs w:val="20"/>
              </w:rPr>
              <w:t>.</w:t>
            </w:r>
          </w:p>
        </w:tc>
        <w:tc>
          <w:tcPr>
            <w:tcW w:w="4989" w:type="dxa"/>
          </w:tcPr>
          <w:p w14:paraId="746890A8" w14:textId="3D7EA66B" w:rsidR="009961A2" w:rsidRDefault="009961A2" w:rsidP="009961A2">
            <w:pPr>
              <w:pStyle w:val="SABodytext"/>
              <w:cnfStyle w:val="000000000000" w:firstRow="0" w:lastRow="0" w:firstColumn="0" w:lastColumn="0" w:oddVBand="0" w:evenVBand="0" w:oddHBand="0" w:evenHBand="0" w:firstRowFirstColumn="0" w:firstRowLastColumn="0" w:lastRowFirstColumn="0" w:lastRowLastColumn="0"/>
              <w:rPr>
                <w:rFonts w:eastAsia="Roboto"/>
              </w:rPr>
            </w:pPr>
            <w:r w:rsidRPr="00F3663D">
              <w:rPr>
                <w:rFonts w:asciiTheme="minorHAnsi" w:hAnsiTheme="minorHAnsi" w:cstheme="minorHAnsi"/>
                <w:szCs w:val="20"/>
              </w:rPr>
              <w:t>Reporting outside of this strategy - progress against the target is published on Finance’s website.</w:t>
            </w:r>
          </w:p>
        </w:tc>
      </w:tr>
      <w:tr w:rsidR="008970C5" w14:paraId="77B20B69" w14:textId="77777777" w:rsidTr="00462F44">
        <w:tc>
          <w:tcPr>
            <w:cnfStyle w:val="001000000000" w:firstRow="0" w:lastRow="0" w:firstColumn="1" w:lastColumn="0" w:oddVBand="0" w:evenVBand="0" w:oddHBand="0" w:evenHBand="0" w:firstRowFirstColumn="0" w:firstRowLastColumn="0" w:lastRowFirstColumn="0" w:lastRowLastColumn="0"/>
            <w:tcW w:w="9978" w:type="dxa"/>
            <w:gridSpan w:val="2"/>
          </w:tcPr>
          <w:p w14:paraId="218B4A67" w14:textId="702493E5" w:rsidR="008970C5" w:rsidRPr="00F3663D" w:rsidRDefault="008970C5" w:rsidP="009961A2">
            <w:pPr>
              <w:pStyle w:val="SABodytext"/>
              <w:rPr>
                <w:rFonts w:asciiTheme="minorHAnsi" w:hAnsiTheme="minorHAnsi" w:cstheme="minorHAnsi"/>
                <w:szCs w:val="20"/>
              </w:rPr>
            </w:pPr>
            <w:r>
              <w:rPr>
                <w:rFonts w:asciiTheme="minorHAnsi" w:hAnsiTheme="minorHAnsi" w:cstheme="minorHAnsi"/>
                <w:szCs w:val="20"/>
              </w:rPr>
              <w:t>Net zero travel</w:t>
            </w:r>
          </w:p>
        </w:tc>
      </w:tr>
      <w:tr w:rsidR="008970C5" w14:paraId="1851451B"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5AAB42F0" w14:textId="4CAAEB2F" w:rsidR="008970C5" w:rsidRPr="00F3663D" w:rsidRDefault="008970C5" w:rsidP="008970C5">
            <w:pPr>
              <w:pStyle w:val="SABodytext"/>
              <w:rPr>
                <w:rFonts w:asciiTheme="minorHAnsi" w:hAnsiTheme="minorHAnsi" w:cstheme="minorHAnsi"/>
                <w:szCs w:val="20"/>
              </w:rPr>
            </w:pPr>
            <w:r w:rsidRPr="007400A7">
              <w:rPr>
                <w:szCs w:val="20"/>
              </w:rPr>
              <w:t>Increased uptake and usage of the NABERS Energy tool within accommodation providers</w:t>
            </w:r>
            <w:r w:rsidR="00DE2A2E">
              <w:rPr>
                <w:szCs w:val="20"/>
              </w:rPr>
              <w:t>.</w:t>
            </w:r>
          </w:p>
        </w:tc>
        <w:tc>
          <w:tcPr>
            <w:tcW w:w="4989" w:type="dxa"/>
          </w:tcPr>
          <w:p w14:paraId="7733C674" w14:textId="2458C864" w:rsidR="008970C5" w:rsidRPr="00F3663D" w:rsidRDefault="008970C5" w:rsidP="008970C5">
            <w:pPr>
              <w:pStyle w:val="SA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400A7">
              <w:rPr>
                <w:rFonts w:asciiTheme="minorHAnsi" w:hAnsiTheme="minorHAnsi" w:cstheme="minorHAnsi"/>
                <w:szCs w:val="20"/>
              </w:rPr>
              <w:t>Number of providers within the travel booking system that disclose a NABERS energy rating.</w:t>
            </w:r>
          </w:p>
        </w:tc>
      </w:tr>
      <w:tr w:rsidR="008970C5" w14:paraId="1EF2067D" w14:textId="77777777" w:rsidTr="00573A25">
        <w:tc>
          <w:tcPr>
            <w:cnfStyle w:val="001000000000" w:firstRow="0" w:lastRow="0" w:firstColumn="1" w:lastColumn="0" w:oddVBand="0" w:evenVBand="0" w:oddHBand="0" w:evenHBand="0" w:firstRowFirstColumn="0" w:firstRowLastColumn="0" w:lastRowFirstColumn="0" w:lastRowLastColumn="0"/>
            <w:tcW w:w="9978" w:type="dxa"/>
            <w:gridSpan w:val="2"/>
          </w:tcPr>
          <w:p w14:paraId="4563C10E" w14:textId="18F91859" w:rsidR="008970C5" w:rsidRPr="00F3663D" w:rsidRDefault="008970C5" w:rsidP="008970C5">
            <w:pPr>
              <w:pStyle w:val="SABodytext"/>
              <w:rPr>
                <w:rFonts w:asciiTheme="minorHAnsi" w:hAnsiTheme="minorHAnsi" w:cstheme="minorHAnsi"/>
                <w:szCs w:val="20"/>
              </w:rPr>
            </w:pPr>
            <w:r>
              <w:rPr>
                <w:rFonts w:asciiTheme="minorHAnsi" w:hAnsiTheme="minorHAnsi" w:cstheme="minorHAnsi"/>
                <w:szCs w:val="20"/>
              </w:rPr>
              <w:t>Net zero information and communication technology</w:t>
            </w:r>
          </w:p>
        </w:tc>
      </w:tr>
      <w:tr w:rsidR="008970C5" w14:paraId="41F7DA91"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2F3AC358" w14:textId="540D4FC0" w:rsidR="008970C5" w:rsidRPr="00F3663D" w:rsidRDefault="008970C5" w:rsidP="008970C5">
            <w:pPr>
              <w:pStyle w:val="SABodytext"/>
              <w:rPr>
                <w:rFonts w:asciiTheme="minorHAnsi" w:hAnsiTheme="minorHAnsi" w:cstheme="minorHAnsi"/>
                <w:szCs w:val="20"/>
              </w:rPr>
            </w:pPr>
            <w:r w:rsidRPr="007400A7">
              <w:rPr>
                <w:szCs w:val="20"/>
              </w:rPr>
              <w:t>Improved access to greenhouse gas reporting through increased usage of the NABERS Data Centre rating tool</w:t>
            </w:r>
            <w:r w:rsidR="00DE2A2E">
              <w:rPr>
                <w:szCs w:val="20"/>
              </w:rPr>
              <w:t>.</w:t>
            </w:r>
          </w:p>
        </w:tc>
        <w:tc>
          <w:tcPr>
            <w:tcW w:w="4989" w:type="dxa"/>
          </w:tcPr>
          <w:p w14:paraId="7C64CC20" w14:textId="1DB96540" w:rsidR="008970C5" w:rsidRPr="00F3663D" w:rsidRDefault="008970C5" w:rsidP="008970C5">
            <w:pPr>
              <w:pStyle w:val="SA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400A7">
              <w:rPr>
                <w:rFonts w:asciiTheme="minorHAnsi" w:hAnsiTheme="minorHAnsi" w:cstheme="minorHAnsi"/>
                <w:szCs w:val="20"/>
              </w:rPr>
              <w:t>Increase in suppliers who</w:t>
            </w:r>
            <w:r w:rsidR="0033138F">
              <w:rPr>
                <w:rFonts w:asciiTheme="minorHAnsi" w:hAnsiTheme="minorHAnsi" w:cstheme="minorHAnsi"/>
                <w:szCs w:val="20"/>
              </w:rPr>
              <w:t>’</w:t>
            </w:r>
            <w:r w:rsidRPr="007400A7">
              <w:rPr>
                <w:rFonts w:asciiTheme="minorHAnsi" w:hAnsiTheme="minorHAnsi" w:cstheme="minorHAnsi"/>
                <w:szCs w:val="20"/>
              </w:rPr>
              <w:t>re utilising the NABERS based rating on a baseline of January 2024 and measured against July 2026.</w:t>
            </w:r>
          </w:p>
        </w:tc>
      </w:tr>
      <w:tr w:rsidR="00002168" w14:paraId="16FB0916" w14:textId="77777777" w:rsidTr="00E36B98">
        <w:tc>
          <w:tcPr>
            <w:cnfStyle w:val="001000000000" w:firstRow="0" w:lastRow="0" w:firstColumn="1" w:lastColumn="0" w:oddVBand="0" w:evenVBand="0" w:oddHBand="0" w:evenHBand="0" w:firstRowFirstColumn="0" w:firstRowLastColumn="0" w:lastRowFirstColumn="0" w:lastRowLastColumn="0"/>
            <w:tcW w:w="9978" w:type="dxa"/>
            <w:gridSpan w:val="2"/>
          </w:tcPr>
          <w:p w14:paraId="74E1D6D1" w14:textId="48D99DF7" w:rsidR="00002168" w:rsidRPr="00F3663D" w:rsidRDefault="00002168" w:rsidP="008970C5">
            <w:pPr>
              <w:pStyle w:val="SABodytext"/>
              <w:rPr>
                <w:rFonts w:asciiTheme="minorHAnsi" w:hAnsiTheme="minorHAnsi" w:cstheme="minorHAnsi"/>
                <w:szCs w:val="20"/>
              </w:rPr>
            </w:pPr>
            <w:r>
              <w:rPr>
                <w:rFonts w:asciiTheme="minorHAnsi" w:hAnsiTheme="minorHAnsi" w:cstheme="minorHAnsi"/>
                <w:szCs w:val="20"/>
              </w:rPr>
              <w:t>Emissions reduction plans</w:t>
            </w:r>
          </w:p>
        </w:tc>
      </w:tr>
      <w:tr w:rsidR="008970C5" w14:paraId="50915B8F"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02E20005" w14:textId="1771B784" w:rsidR="008970C5" w:rsidRPr="00F3663D" w:rsidRDefault="008970C5" w:rsidP="005567E1">
            <w:pPr>
              <w:pStyle w:val="SABodytext"/>
            </w:pPr>
            <w:r w:rsidRPr="00F3663D">
              <w:t>By 30 June 2024, portfolios and their entities must develop a long-term emissions reduction plan</w:t>
            </w:r>
            <w:r w:rsidR="0033138F">
              <w:t>.</w:t>
            </w:r>
          </w:p>
          <w:p w14:paraId="52613CE9" w14:textId="332764C2" w:rsidR="008970C5" w:rsidRDefault="008970C5" w:rsidP="008970C5">
            <w:pPr>
              <w:pStyle w:val="SABodytext"/>
            </w:pPr>
            <w:r w:rsidRPr="00F3663D">
              <w:t>Provide an annual progress report towards 2030 targets.</w:t>
            </w:r>
          </w:p>
        </w:tc>
        <w:tc>
          <w:tcPr>
            <w:tcW w:w="4989" w:type="dxa"/>
          </w:tcPr>
          <w:p w14:paraId="09512F03" w14:textId="0A478CC9" w:rsidR="008970C5" w:rsidRPr="00F3663D" w:rsidRDefault="008970C5" w:rsidP="005567E1">
            <w:pPr>
              <w:pStyle w:val="SABodytext"/>
              <w:cnfStyle w:val="000000000000" w:firstRow="0" w:lastRow="0" w:firstColumn="0" w:lastColumn="0" w:oddVBand="0" w:evenVBand="0" w:oddHBand="0" w:evenHBand="0" w:firstRowFirstColumn="0" w:firstRowLastColumn="0" w:lastRowFirstColumn="0" w:lastRowLastColumn="0"/>
            </w:pPr>
            <w:r w:rsidRPr="00F3663D">
              <w:t>Percentage of emissions reduction plans developed (2024)</w:t>
            </w:r>
            <w:r>
              <w:t>.</w:t>
            </w:r>
          </w:p>
          <w:p w14:paraId="776AA037" w14:textId="0A8549FA" w:rsidR="008970C5" w:rsidRPr="00F3663D" w:rsidRDefault="008970C5" w:rsidP="008970C5">
            <w:pPr>
              <w:pStyle w:val="SABodytext"/>
              <w:cnfStyle w:val="000000000000" w:firstRow="0" w:lastRow="0" w:firstColumn="0" w:lastColumn="0" w:oddVBand="0" w:evenVBand="0" w:oddHBand="0" w:evenHBand="0" w:firstRowFirstColumn="0" w:firstRowLastColumn="0" w:lastRowFirstColumn="0" w:lastRowLastColumn="0"/>
            </w:pPr>
            <w:r w:rsidRPr="00F3663D">
              <w:t>Percentage of overall emissions reduction per entity since FY 22/23 baseline.</w:t>
            </w:r>
          </w:p>
        </w:tc>
      </w:tr>
      <w:tr w:rsidR="008970C5" w14:paraId="3501A98D" w14:textId="77777777" w:rsidTr="007471C6">
        <w:tc>
          <w:tcPr>
            <w:cnfStyle w:val="001000000000" w:firstRow="0" w:lastRow="0" w:firstColumn="1" w:lastColumn="0" w:oddVBand="0" w:evenVBand="0" w:oddHBand="0" w:evenHBand="0" w:firstRowFirstColumn="0" w:firstRowLastColumn="0" w:lastRowFirstColumn="0" w:lastRowLastColumn="0"/>
            <w:tcW w:w="9978" w:type="dxa"/>
            <w:gridSpan w:val="2"/>
          </w:tcPr>
          <w:p w14:paraId="13E78C65" w14:textId="1BABD27E" w:rsidR="008970C5" w:rsidRPr="00F3663D" w:rsidRDefault="008970C5" w:rsidP="008970C5">
            <w:pPr>
              <w:pStyle w:val="SABodytext"/>
              <w:rPr>
                <w:rFonts w:asciiTheme="minorHAnsi" w:hAnsiTheme="minorHAnsi" w:cstheme="minorHAnsi"/>
                <w:szCs w:val="20"/>
              </w:rPr>
            </w:pPr>
            <w:r>
              <w:rPr>
                <w:rFonts w:asciiTheme="minorHAnsi" w:hAnsiTheme="minorHAnsi" w:cstheme="minorHAnsi"/>
                <w:szCs w:val="20"/>
              </w:rPr>
              <w:t>People and culture</w:t>
            </w:r>
          </w:p>
        </w:tc>
      </w:tr>
      <w:tr w:rsidR="008970C5" w14:paraId="4D2EA00C" w14:textId="77777777" w:rsidTr="009961A2">
        <w:tc>
          <w:tcPr>
            <w:cnfStyle w:val="001000000000" w:firstRow="0" w:lastRow="0" w:firstColumn="1" w:lastColumn="0" w:oddVBand="0" w:evenVBand="0" w:oddHBand="0" w:evenHBand="0" w:firstRowFirstColumn="0" w:firstRowLastColumn="0" w:lastRowFirstColumn="0" w:lastRowLastColumn="0"/>
            <w:tcW w:w="4989" w:type="dxa"/>
          </w:tcPr>
          <w:p w14:paraId="03FDBD86" w14:textId="6C6DFC53" w:rsidR="008970C5" w:rsidRDefault="008970C5" w:rsidP="008970C5">
            <w:pPr>
              <w:pStyle w:val="SABodytext"/>
              <w:rPr>
                <w:rFonts w:asciiTheme="minorHAnsi" w:hAnsiTheme="minorHAnsi" w:cstheme="minorHAnsi"/>
                <w:szCs w:val="20"/>
              </w:rPr>
            </w:pPr>
            <w:r w:rsidRPr="00F3663D">
              <w:rPr>
                <w:rFonts w:asciiTheme="minorHAnsi" w:hAnsiTheme="minorHAnsi" w:cstheme="minorHAnsi"/>
                <w:szCs w:val="20"/>
              </w:rPr>
              <w:t xml:space="preserve">Capability </w:t>
            </w:r>
            <w:r w:rsidR="00002168">
              <w:rPr>
                <w:rFonts w:asciiTheme="minorHAnsi" w:hAnsiTheme="minorHAnsi" w:cstheme="minorHAnsi"/>
                <w:szCs w:val="20"/>
              </w:rPr>
              <w:t>u</w:t>
            </w:r>
            <w:r w:rsidRPr="00F3663D">
              <w:rPr>
                <w:rFonts w:asciiTheme="minorHAnsi" w:hAnsiTheme="minorHAnsi" w:cstheme="minorHAnsi"/>
                <w:szCs w:val="20"/>
              </w:rPr>
              <w:t>plift across the APS</w:t>
            </w:r>
            <w:r w:rsidR="00DE2A2E">
              <w:rPr>
                <w:rFonts w:asciiTheme="minorHAnsi" w:hAnsiTheme="minorHAnsi" w:cstheme="minorHAnsi"/>
                <w:szCs w:val="20"/>
              </w:rPr>
              <w:t>.</w:t>
            </w:r>
          </w:p>
        </w:tc>
        <w:tc>
          <w:tcPr>
            <w:tcW w:w="4989" w:type="dxa"/>
          </w:tcPr>
          <w:p w14:paraId="385C6F82" w14:textId="60909018" w:rsidR="008970C5" w:rsidRPr="00F3663D" w:rsidRDefault="008970C5" w:rsidP="008970C5">
            <w:pPr>
              <w:pStyle w:val="SA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3663D">
              <w:rPr>
                <w:rFonts w:asciiTheme="minorHAnsi" w:hAnsiTheme="minorHAnsi" w:cstheme="minorHAnsi"/>
                <w:szCs w:val="20"/>
              </w:rPr>
              <w:t>Initially will report on participation rates and details on the number sessions and activities held.</w:t>
            </w:r>
          </w:p>
        </w:tc>
      </w:tr>
    </w:tbl>
    <w:p w14:paraId="29FEEE60" w14:textId="4FB4E88E" w:rsidR="00002168" w:rsidRPr="00960488" w:rsidRDefault="00002168" w:rsidP="00960488">
      <w:pPr>
        <w:pStyle w:val="BodyText"/>
      </w:pPr>
    </w:p>
    <w:p w14:paraId="35FA95B8" w14:textId="0F00D331" w:rsidR="001D3ACB" w:rsidRPr="0071051D" w:rsidRDefault="001D3ACB" w:rsidP="0071051D">
      <w:pPr>
        <w:pStyle w:val="SAHeadinglevel1"/>
        <w:sectPr w:rsidR="001D3ACB" w:rsidRPr="0071051D" w:rsidSect="00B13119">
          <w:headerReference w:type="first" r:id="rId12"/>
          <w:footerReference w:type="first" r:id="rId13"/>
          <w:pgSz w:w="11906" w:h="16838" w:code="9"/>
          <w:pgMar w:top="1321" w:right="964" w:bottom="1134" w:left="964" w:header="284" w:footer="510" w:gutter="0"/>
          <w:cols w:space="708"/>
          <w:docGrid w:linePitch="360"/>
        </w:sectPr>
      </w:pPr>
    </w:p>
    <w:p w14:paraId="694E8FC7" w14:textId="586B8520" w:rsidR="00C750D2" w:rsidRPr="006825DB" w:rsidRDefault="00C750D2" w:rsidP="00D354DD">
      <w:pPr>
        <w:pStyle w:val="SABodytext"/>
      </w:pPr>
    </w:p>
    <w:sectPr w:rsidR="00C750D2" w:rsidRPr="006825DB" w:rsidSect="00B13119">
      <w:headerReference w:type="first" r:id="rId14"/>
      <w:pgSz w:w="11906" w:h="16838" w:code="9"/>
      <w:pgMar w:top="1321" w:right="964" w:bottom="1134" w:left="964" w:header="51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E51B" w14:textId="77777777" w:rsidR="00CA63B8" w:rsidRDefault="00CA63B8">
      <w:r>
        <w:separator/>
      </w:r>
    </w:p>
  </w:endnote>
  <w:endnote w:type="continuationSeparator" w:id="0">
    <w:p w14:paraId="11C0337D" w14:textId="77777777" w:rsidR="00CA63B8" w:rsidRDefault="00CA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1E2" w14:textId="77777777" w:rsidR="004948AF" w:rsidRPr="00294E02" w:rsidRDefault="004948AF" w:rsidP="00831365">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P</w:t>
    </w:r>
    <w:r w:rsidR="00294E02" w:rsidRPr="00294E02">
      <w:rPr>
        <w:rFonts w:ascii="Roboto" w:hAnsi="Roboto" w:cs="Arial"/>
        <w:sz w:val="20"/>
        <w:szCs w:val="20"/>
      </w:rPr>
      <w:t>age</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sidR="00C2536F">
      <w:rPr>
        <w:rFonts w:ascii="Roboto" w:hAnsi="Roboto" w:cs="Arial"/>
        <w:noProof/>
        <w:sz w:val="20"/>
        <w:szCs w:val="20"/>
      </w:rPr>
      <w:t>2</w:t>
    </w:r>
    <w:r w:rsidRPr="00294E02">
      <w:rPr>
        <w:rFonts w:ascii="Roboto" w:hAnsi="Roboto" w:cs="Arial"/>
        <w:sz w:val="20"/>
        <w:szCs w:val="20"/>
      </w:rPr>
      <w:fldChar w:fldCharType="end"/>
    </w:r>
    <w:r w:rsidRPr="00294E02">
      <w:rPr>
        <w:rFonts w:ascii="Roboto" w:hAnsi="Roboto" w:cs="Arial"/>
        <w:sz w:val="20"/>
        <w:szCs w:val="20"/>
      </w:rPr>
      <w:t xml:space="preserve"> </w:t>
    </w:r>
    <w:r w:rsidR="00F13C40">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sidR="00C2536F">
      <w:rPr>
        <w:rFonts w:ascii="Roboto" w:hAnsi="Roboto" w:cs="Arial"/>
        <w:noProof/>
        <w:sz w:val="20"/>
        <w:szCs w:val="20"/>
      </w:rPr>
      <w:t>5</w:t>
    </w:r>
    <w:r w:rsidRPr="00294E02">
      <w:rPr>
        <w:rFonts w:ascii="Roboto" w:hAnsi="Roboto" w:cs="Arial"/>
        <w:sz w:val="20"/>
        <w:szCs w:val="20"/>
      </w:rPr>
      <w:fldChar w:fldCharType="end"/>
    </w:r>
    <w:r w:rsidR="00F13C40">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CCF9" w14:textId="77777777" w:rsidR="00D54BDA" w:rsidRPr="00D54BDA" w:rsidRDefault="00D54BDA" w:rsidP="00D54BDA">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sz w:val="20"/>
        <w:szCs w:val="20"/>
      </w:rPr>
      <w:t>3</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sz w:val="20"/>
        <w:szCs w:val="20"/>
      </w:rPr>
      <w:t>5</w:t>
    </w:r>
    <w:r w:rsidRPr="00294E02">
      <w:rPr>
        <w:rFonts w:ascii="Roboto" w:hAnsi="Roboto" w:cs="Arial"/>
        <w:sz w:val="20"/>
        <w:szCs w:val="20"/>
      </w:rPr>
      <w:fldChar w:fldCharType="end"/>
    </w:r>
    <w:r>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814E" w14:textId="77777777" w:rsidR="00CA63B8" w:rsidRDefault="00CA63B8">
      <w:r>
        <w:separator/>
      </w:r>
    </w:p>
  </w:footnote>
  <w:footnote w:type="continuationSeparator" w:id="0">
    <w:p w14:paraId="30EFBDEC" w14:textId="77777777" w:rsidR="00CA63B8" w:rsidRDefault="00CA63B8">
      <w:r>
        <w:continuationSeparator/>
      </w:r>
    </w:p>
  </w:footnote>
  <w:footnote w:id="1">
    <w:p w14:paraId="3116BB65" w14:textId="1C9A9794" w:rsidR="00A03448" w:rsidRDefault="00A03448" w:rsidP="00A03448">
      <w:pPr>
        <w:pStyle w:val="FootnoteText"/>
        <w:rPr>
          <w:sz w:val="16"/>
          <w:szCs w:val="16"/>
        </w:rPr>
      </w:pPr>
      <w:r w:rsidRPr="0007384A">
        <w:rPr>
          <w:rStyle w:val="FootnoteReference"/>
          <w:sz w:val="16"/>
          <w:szCs w:val="16"/>
        </w:rPr>
        <w:footnoteRef/>
      </w:r>
      <w:r w:rsidRPr="0007384A">
        <w:rPr>
          <w:sz w:val="16"/>
          <w:szCs w:val="16"/>
        </w:rPr>
        <w:t xml:space="preserve"> Climate Council</w:t>
      </w:r>
      <w:r w:rsidR="00E65989">
        <w:rPr>
          <w:sz w:val="16"/>
          <w:szCs w:val="16"/>
        </w:rPr>
        <w:t>.</w:t>
      </w:r>
    </w:p>
    <w:p w14:paraId="7AA60CBB" w14:textId="77777777" w:rsidR="00183B5C" w:rsidRDefault="00183B5C" w:rsidP="00A03448">
      <w:pPr>
        <w:pStyle w:val="FootnoteText"/>
        <w:rPr>
          <w:sz w:val="16"/>
          <w:szCs w:val="16"/>
        </w:rPr>
      </w:pPr>
      <w:r w:rsidRPr="00183B5C">
        <w:rPr>
          <w:sz w:val="16"/>
          <w:szCs w:val="16"/>
          <w:vertAlign w:val="superscript"/>
        </w:rPr>
        <w:t>2</w:t>
      </w:r>
      <w:r w:rsidRPr="00183B5C">
        <w:rPr>
          <w:sz w:val="16"/>
          <w:szCs w:val="16"/>
        </w:rPr>
        <w:t xml:space="preserve"> Greenhouse gases are gases in the atmosphere such as water vapour, carbon dioxide, methane and nitrous oxide that can absorb infrared radiation, trapping heat in the atmosphere. </w:t>
      </w:r>
    </w:p>
    <w:p w14:paraId="0F7458F1" w14:textId="23D9EEAC" w:rsidR="00183B5C" w:rsidRPr="0007384A" w:rsidRDefault="00183B5C" w:rsidP="00A03448">
      <w:pPr>
        <w:pStyle w:val="FootnoteText"/>
        <w:rPr>
          <w:sz w:val="16"/>
          <w:szCs w:val="16"/>
        </w:rPr>
      </w:pPr>
      <w:r w:rsidRPr="00183B5C">
        <w:rPr>
          <w:sz w:val="16"/>
          <w:szCs w:val="16"/>
          <w:vertAlign w:val="superscript"/>
        </w:rPr>
        <w:t>3</w:t>
      </w:r>
      <w:r w:rsidRPr="00183B5C">
        <w:rPr>
          <w:sz w:val="16"/>
          <w:szCs w:val="16"/>
        </w:rPr>
        <w:t xml:space="preserve"> Carbon offset refers to projects that reduce, remove or capture emissions from the atmosphere such as reforestation, renewable energy or energy efficiency.</w:t>
      </w:r>
    </w:p>
  </w:footnote>
  <w:footnote w:id="2">
    <w:p w14:paraId="5E58AC09" w14:textId="20414FDC" w:rsidR="00FA3CC0" w:rsidRPr="00260810" w:rsidRDefault="00FA3CC0" w:rsidP="00A03448">
      <w:pPr>
        <w:pStyle w:val="FootnoteText"/>
        <w:rPr>
          <w:sz w:val="16"/>
          <w:szCs w:val="16"/>
        </w:rPr>
      </w:pPr>
      <w:r>
        <w:rPr>
          <w:rStyle w:val="FootnoteReference"/>
        </w:rPr>
        <w:t>5</w:t>
      </w:r>
      <w:r w:rsidRPr="00260810">
        <w:rPr>
          <w:sz w:val="16"/>
          <w:szCs w:val="16"/>
        </w:rPr>
        <w:t xml:space="preserve"> Targets are across </w:t>
      </w:r>
      <w:r w:rsidR="00DB6D03">
        <w:rPr>
          <w:sz w:val="16"/>
          <w:szCs w:val="16"/>
        </w:rPr>
        <w:t xml:space="preserve">whole of government and are </w:t>
      </w:r>
      <w:r w:rsidRPr="00260810">
        <w:rPr>
          <w:sz w:val="16"/>
          <w:szCs w:val="16"/>
        </w:rPr>
        <w:t>not specific to entity</w:t>
      </w:r>
      <w:r w:rsidR="00DB6D0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33D5" w14:textId="2DB2B799" w:rsidR="004352B9" w:rsidRPr="00064A14" w:rsidRDefault="00C71D9F" w:rsidP="00A03448">
    <w:pPr>
      <w:pStyle w:val="Header"/>
      <w:rPr>
        <w:rFonts w:ascii="Roboto" w:hAnsi="Roboto"/>
        <w:sz w:val="20"/>
        <w:szCs w:val="20"/>
      </w:rPr>
    </w:pPr>
    <w:r>
      <w:rPr>
        <w:rFonts w:ascii="Roboto" w:hAnsi="Roboto"/>
        <w:sz w:val="20"/>
        <w:szCs w:val="20"/>
      </w:rPr>
      <w:t>Services Australia net zero action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D38D" w14:textId="77777777" w:rsidR="004948AF" w:rsidRPr="008A6719" w:rsidRDefault="004948AF" w:rsidP="009C727D">
    <w:pPr>
      <w:pStyle w:val="Header"/>
      <w:spacing w:after="120"/>
      <w:ind w:left="-567"/>
      <w:rPr>
        <w:rFonts w:ascii="Arial Narrow" w:hAnsi="Arial Narrow"/>
        <w:b/>
        <w:color w:val="FFFFFF" w:themeColor="background1"/>
        <w:sz w:val="48"/>
      </w:rPr>
    </w:pPr>
    <w:r>
      <w:rPr>
        <w:rFonts w:ascii="Arial Narrow" w:hAnsi="Arial Narrow"/>
        <w:b/>
        <w:noProof/>
        <w:color w:val="FFFFFF" w:themeColor="background1"/>
        <w:sz w:val="48"/>
      </w:rPr>
      <w:drawing>
        <wp:anchor distT="0" distB="0" distL="114300" distR="114300" simplePos="0" relativeHeight="251665408" behindDoc="1" locked="0" layoutInCell="1" allowOverlap="1" wp14:anchorId="763CD853" wp14:editId="1743CE48">
          <wp:simplePos x="362857" y="174171"/>
          <wp:positionH relativeFrom="column">
            <wp:align>center</wp:align>
          </wp:positionH>
          <wp:positionV relativeFrom="page">
            <wp:align>top</wp:align>
          </wp:positionV>
          <wp:extent cx="7553130" cy="10681239"/>
          <wp:effectExtent l="0" t="0" r="0" b="6350"/>
          <wp:wrapNone/>
          <wp:docPr id="47058105" name="Picture 47058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53534" name="Picture 9803535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130" cy="1068123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D9B0" w14:textId="77777777" w:rsidR="00D54BDA" w:rsidRPr="003E52A5" w:rsidRDefault="00D54BDA" w:rsidP="00D54BDA">
    <w:pPr>
      <w:pStyle w:val="Header"/>
      <w:jc w:val="center"/>
      <w:rPr>
        <w:rFonts w:ascii="Roboto" w:hAnsi="Roboto" w:cs="Arial"/>
        <w:b/>
        <w:bCs/>
        <w:sz w:val="28"/>
        <w:szCs w:val="40"/>
      </w:rPr>
    </w:pPr>
    <w:r w:rsidRPr="003E52A5">
      <w:rPr>
        <w:rFonts w:ascii="Roboto" w:hAnsi="Roboto" w:cs="Arial"/>
        <w:b/>
        <w:bCs/>
        <w:color w:val="FF0000"/>
        <w:sz w:val="20"/>
        <w:szCs w:val="40"/>
      </w:rPr>
      <w:t>[Insert classification if required]</w:t>
    </w:r>
  </w:p>
  <w:p w14:paraId="40022C26" w14:textId="77777777" w:rsidR="00D54BDA" w:rsidRPr="004352B9" w:rsidRDefault="00D54BDA" w:rsidP="00D54BDA">
    <w:pPr>
      <w:widowControl w:val="0"/>
      <w:pBdr>
        <w:bottom w:val="single" w:sz="8" w:space="10" w:color="00B5E2"/>
      </w:pBdr>
      <w:autoSpaceDE w:val="0"/>
      <w:autoSpaceDN w:val="0"/>
      <w:spacing w:before="60" w:after="240"/>
      <w:contextualSpacing/>
      <w:rPr>
        <w:rFonts w:ascii="Roboto" w:eastAsia="Roboto" w:hAnsi="Roboto" w:cs="Arial"/>
        <w:caps/>
        <w:sz w:val="20"/>
        <w:szCs w:val="22"/>
        <w:lang w:val="en-US" w:eastAsia="en-US"/>
      </w:rPr>
    </w:pPr>
    <w:r w:rsidRPr="004352B9">
      <w:rPr>
        <w:rFonts w:ascii="Roboto" w:eastAsia="Roboto" w:hAnsi="Roboto" w:cs="Arial"/>
        <w:caps/>
        <w:sz w:val="20"/>
        <w:szCs w:val="22"/>
        <w:lang w:val="en-US" w:eastAsia="en-US"/>
      </w:rPr>
      <w:t>DOCUMENT TITLE</w:t>
    </w:r>
  </w:p>
  <w:p w14:paraId="2E648745" w14:textId="77777777" w:rsidR="00D54BDA" w:rsidRPr="00D54BDA" w:rsidRDefault="00D54BDA" w:rsidP="00D54BD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A90" w14:textId="77777777" w:rsidR="004948AF" w:rsidRPr="00D354DD" w:rsidRDefault="001C47B4" w:rsidP="00D354DD">
    <w:pPr>
      <w:pStyle w:val="Header"/>
    </w:pPr>
    <w:r>
      <w:rPr>
        <w:noProof/>
      </w:rPr>
      <mc:AlternateContent>
        <mc:Choice Requires="wps">
          <w:drawing>
            <wp:anchor distT="0" distB="0" distL="114300" distR="114300" simplePos="0" relativeHeight="251666432" behindDoc="0" locked="0" layoutInCell="1" allowOverlap="1" wp14:anchorId="1F4D69D0" wp14:editId="77E1193D">
              <wp:simplePos x="0" y="0"/>
              <wp:positionH relativeFrom="page">
                <wp:align>left</wp:align>
              </wp:positionH>
              <wp:positionV relativeFrom="paragraph">
                <wp:posOffset>-383319</wp:posOffset>
              </wp:positionV>
              <wp:extent cx="7553353" cy="10861482"/>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53" cy="1086148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5485" id="Rectangle 1" o:spid="_x0000_s1026" alt="&quot;&quot;" style="position:absolute;margin-left:0;margin-top:-30.2pt;width:594.75pt;height:855.2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zPagIAAC0FAAAOAAAAZHJzL2Uyb0RvYy54bWysVFFP2zAQfp+0/2D5fSQpLbCqKapATJMQ&#10;oMHEs+vYJJLj885u0+7X7+ykKQK0h2l5cGzf3Xfnz995cblrDdsq9A3YkhcnOWfKSqga+1Lyn083&#10;Xy4480HYShiwquR75fnl8vOnRefmagI1mEohIxDr550reR2Cm2eZl7VqhT8BpywZNWArAi3xJatQ&#10;dITemmyS52dZB1g5BKm8p93r3siXCV9rJcO91l4FZkpOtYU0YhrXccyWCzF/QeHqRg5liH+oohWN&#10;paQj1LUIgm2weQfVNhLBgw4nEtoMtG6kSmeg0xT5m9M81sKpdBYix7uRJv//YOXd9tE9INHQOT/3&#10;NI2n2Gls45/qY7tE1n4kS+0Ck7R5Ppudns5OOZNkK/KLs2J6MYl8Zsd4hz58U9CyOCk50nUklsT2&#10;1ofe9eAS0xkbRws3jTG9Ne5kx8rSLOyN6r1/KM2aimqZJNQkGnVlkG0FXbeQUtlQ9KZaVKrfnuX0&#10;DXWOEalqYwkwImvKP2IPAFGQ77H7Kgf/GKqS5sbg/G+F9cFjRMoMNozBbWMBPwIwdKohc+9/IKmn&#10;JrK0hmr/gAyhV7x38qahO7gVPjwIJIlTM1DbhnsatIGu5DDMOKsBf3+0H/1JeWTlrKOWKbn/tRGo&#10;ODPfLWnyazGdxh5Li+nsfEILfG1Zv7bYTXsFdE0FPRBOpmn0D+Yw1QjtM3X3KmYlk7CScpdcBjws&#10;rkLfyvQ+SLVaJTfqKyfCrX10MoJHVqPGnnbPAt0gxEAivoNDe4n5Gz32vjHSwmoTQDdJrEdeB76p&#10;J5NwhvcjNv3rdfI6vnLLPwAAAP//AwBQSwMEFAAGAAgAAAAhAFEYp0bhAAAACgEAAA8AAABkcnMv&#10;ZG93bnJldi54bWxMj8FOwzAQRO9I/Qdrkbi1digNJcSpqkq9IIRESg/c3HiJQ+N1FLtp4OtxT/Q2&#10;q1nNvMlXo23ZgL1vHElIZgIYUuV0Q7WEj912ugTmgyKtWkco4Qc9rIrJTa4y7c70jkMZahZDyGdK&#10;ggmhyzj3lUGr/Mx1SNH7cr1VIZ59zXWvzjHctvxeiJRb1VBsMKrDjcHqWJ6shJfvx3lphvXwO3/D&#10;vXH718/txkt5dzuun4EFHMP/M1zwIzoUkengTqQ9ayXEIUHCNBUPwC52snxaADtElS5EArzI+fWE&#10;4g8AAP//AwBQSwECLQAUAAYACAAAACEAtoM4kv4AAADhAQAAEwAAAAAAAAAAAAAAAAAAAAAAW0Nv&#10;bnRlbnRfVHlwZXNdLnhtbFBLAQItABQABgAIAAAAIQA4/SH/1gAAAJQBAAALAAAAAAAAAAAAAAAA&#10;AC8BAABfcmVscy8ucmVsc1BLAQItABQABgAIAAAAIQAqBQzPagIAAC0FAAAOAAAAAAAAAAAAAAAA&#10;AC4CAABkcnMvZTJvRG9jLnhtbFBLAQItABQABgAIAAAAIQBRGKdG4QAAAAoBAAAPAAAAAAAAAAAA&#10;AAAAAMQEAABkcnMvZG93bnJldi54bWxQSwUGAAAAAAQABADzAAAA0gUAAAAA&#10;" fillcolor="#00b5e2 [3204]" stroked="f" strokeweight="1pt">
              <w10:wrap anchorx="page"/>
            </v:rect>
          </w:pict>
        </mc:Fallback>
      </mc:AlternateContent>
    </w:r>
    <w:r w:rsidR="00D02950">
      <w:rPr>
        <w:noProof/>
      </w:rPr>
      <mc:AlternateContent>
        <mc:Choice Requires="wps">
          <w:drawing>
            <wp:anchor distT="45720" distB="45720" distL="114300" distR="114300" simplePos="0" relativeHeight="251668480" behindDoc="0" locked="0" layoutInCell="1" allowOverlap="1" wp14:anchorId="119240B5" wp14:editId="32C929DC">
              <wp:simplePos x="0" y="0"/>
              <wp:positionH relativeFrom="margin">
                <wp:align>center</wp:align>
              </wp:positionH>
              <wp:positionV relativeFrom="paragraph">
                <wp:posOffset>4945711</wp:posOffset>
              </wp:positionV>
              <wp:extent cx="2360930" cy="1404620"/>
              <wp:effectExtent l="0" t="0" r="0" b="254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96F003"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9240B5" id="_x0000_t202" coordsize="21600,21600" o:spt="202" path="m,l,21600r21600,l21600,xe">
              <v:stroke joinstyle="miter"/>
              <v:path gradientshapeok="t" o:connecttype="rect"/>
            </v:shapetype>
            <v:shape id="_x0000_s1027" type="#_x0000_t202" alt="&quot;&quot;" style="position:absolute;margin-left:0;margin-top:389.45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D4XuDeAAAACQEAAA8AAABk&#10;cnMvZG93bnJldi54bWxMj8tOwzAQRfdI/IM1SOyoHWhJCXEqxENiSVsqdenGk4ewx1HstuHvGVaw&#10;HN2rO+eUq8k7ccIx9oE0ZDMFAqkOtqdWw+f27WYJIiZD1rhAqOEbI6yqy4vSFDacaY2nTWoFj1As&#10;jIYupaGQMtYdehNnYUDirAmjN4nPsZV2NGce907eKnUvvemJP3RmwOcO66/N0WvY0d69N3PbYb74&#10;mK+H15dmkbZaX19NT48gEk7prwy/+IwOFTMdwpFsFE4DiyQNeb58AMHxXZ6xyYF7SqkMZFXK/wbV&#10;DwAAAP//AwBQSwECLQAUAAYACAAAACEAtoM4kv4AAADhAQAAEwAAAAAAAAAAAAAAAAAAAAAAW0Nv&#10;bnRlbnRfVHlwZXNdLnhtbFBLAQItABQABgAIAAAAIQA4/SH/1gAAAJQBAAALAAAAAAAAAAAAAAAA&#10;AC8BAABfcmVscy8ucmVsc1BLAQItABQABgAIAAAAIQDhHxBj+wEAAM4DAAAOAAAAAAAAAAAAAAAA&#10;AC4CAABkcnMvZTJvRG9jLnhtbFBLAQItABQABgAIAAAAIQAA+F7g3gAAAAkBAAAPAAAAAAAAAAAA&#10;AAAAAFUEAABkcnMvZG93bnJldi54bWxQSwUGAAAAAAQABADzAAAAYAUAAAAA&#10;" filled="f" stroked="f">
              <v:textbox style="mso-fit-shape-to-text:t">
                <w:txbxContent>
                  <w:p w14:paraId="4C96F003"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23.05pt" o:bullet="t">
        <v:imagedata r:id="rId1" o:title="Bullet-Grape"/>
      </v:shape>
    </w:pict>
  </w:numPicBullet>
  <w:abstractNum w:abstractNumId="0" w15:restartNumberingAfterBreak="0">
    <w:nsid w:val="0B265502"/>
    <w:multiLevelType w:val="hybridMultilevel"/>
    <w:tmpl w:val="10F85816"/>
    <w:lvl w:ilvl="0" w:tplc="9E5CA53A">
      <w:start w:val="1"/>
      <w:numFmt w:val="bullet"/>
      <w:lvlText w:val=""/>
      <w:lvlJc w:val="left"/>
      <w:pPr>
        <w:ind w:left="720" w:hanging="360"/>
      </w:pPr>
      <w:rPr>
        <w:rFonts w:ascii="Symbol" w:hAnsi="Symbol" w:hint="default"/>
      </w:rPr>
    </w:lvl>
    <w:lvl w:ilvl="1" w:tplc="44AAA964" w:tentative="1">
      <w:start w:val="1"/>
      <w:numFmt w:val="bullet"/>
      <w:lvlText w:val="o"/>
      <w:lvlJc w:val="left"/>
      <w:pPr>
        <w:ind w:left="1440" w:hanging="360"/>
      </w:pPr>
      <w:rPr>
        <w:rFonts w:ascii="Courier New" w:hAnsi="Courier New" w:cs="Courier New" w:hint="default"/>
      </w:rPr>
    </w:lvl>
    <w:lvl w:ilvl="2" w:tplc="F95E2516" w:tentative="1">
      <w:start w:val="1"/>
      <w:numFmt w:val="bullet"/>
      <w:lvlText w:val=""/>
      <w:lvlJc w:val="left"/>
      <w:pPr>
        <w:ind w:left="2160" w:hanging="360"/>
      </w:pPr>
      <w:rPr>
        <w:rFonts w:ascii="Wingdings" w:hAnsi="Wingdings" w:hint="default"/>
      </w:rPr>
    </w:lvl>
    <w:lvl w:ilvl="3" w:tplc="FFB8F8B4" w:tentative="1">
      <w:start w:val="1"/>
      <w:numFmt w:val="bullet"/>
      <w:lvlText w:val=""/>
      <w:lvlJc w:val="left"/>
      <w:pPr>
        <w:ind w:left="2880" w:hanging="360"/>
      </w:pPr>
      <w:rPr>
        <w:rFonts w:ascii="Symbol" w:hAnsi="Symbol" w:hint="default"/>
      </w:rPr>
    </w:lvl>
    <w:lvl w:ilvl="4" w:tplc="CCD0EF54" w:tentative="1">
      <w:start w:val="1"/>
      <w:numFmt w:val="bullet"/>
      <w:lvlText w:val="o"/>
      <w:lvlJc w:val="left"/>
      <w:pPr>
        <w:ind w:left="3600" w:hanging="360"/>
      </w:pPr>
      <w:rPr>
        <w:rFonts w:ascii="Courier New" w:hAnsi="Courier New" w:cs="Courier New" w:hint="default"/>
      </w:rPr>
    </w:lvl>
    <w:lvl w:ilvl="5" w:tplc="E8324702" w:tentative="1">
      <w:start w:val="1"/>
      <w:numFmt w:val="bullet"/>
      <w:lvlText w:val=""/>
      <w:lvlJc w:val="left"/>
      <w:pPr>
        <w:ind w:left="4320" w:hanging="360"/>
      </w:pPr>
      <w:rPr>
        <w:rFonts w:ascii="Wingdings" w:hAnsi="Wingdings" w:hint="default"/>
      </w:rPr>
    </w:lvl>
    <w:lvl w:ilvl="6" w:tplc="78D4E38E" w:tentative="1">
      <w:start w:val="1"/>
      <w:numFmt w:val="bullet"/>
      <w:lvlText w:val=""/>
      <w:lvlJc w:val="left"/>
      <w:pPr>
        <w:ind w:left="5040" w:hanging="360"/>
      </w:pPr>
      <w:rPr>
        <w:rFonts w:ascii="Symbol" w:hAnsi="Symbol" w:hint="default"/>
      </w:rPr>
    </w:lvl>
    <w:lvl w:ilvl="7" w:tplc="62048A98" w:tentative="1">
      <w:start w:val="1"/>
      <w:numFmt w:val="bullet"/>
      <w:lvlText w:val="o"/>
      <w:lvlJc w:val="left"/>
      <w:pPr>
        <w:ind w:left="5760" w:hanging="360"/>
      </w:pPr>
      <w:rPr>
        <w:rFonts w:ascii="Courier New" w:hAnsi="Courier New" w:cs="Courier New" w:hint="default"/>
      </w:rPr>
    </w:lvl>
    <w:lvl w:ilvl="8" w:tplc="48DA64EC" w:tentative="1">
      <w:start w:val="1"/>
      <w:numFmt w:val="bullet"/>
      <w:lvlText w:val=""/>
      <w:lvlJc w:val="left"/>
      <w:pPr>
        <w:ind w:left="6480" w:hanging="360"/>
      </w:pPr>
      <w:rPr>
        <w:rFonts w:ascii="Wingdings" w:hAnsi="Wingdings" w:hint="default"/>
      </w:rPr>
    </w:lvl>
  </w:abstractNum>
  <w:abstractNum w:abstractNumId="1" w15:restartNumberingAfterBreak="0">
    <w:nsid w:val="10B22611"/>
    <w:multiLevelType w:val="hybridMultilevel"/>
    <w:tmpl w:val="15CC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57AB0"/>
    <w:multiLevelType w:val="hybridMultilevel"/>
    <w:tmpl w:val="F3324B38"/>
    <w:lvl w:ilvl="0" w:tplc="0C090001">
      <w:start w:val="1"/>
      <w:numFmt w:val="bullet"/>
      <w:lvlText w:val=""/>
      <w:lvlJc w:val="left"/>
      <w:pPr>
        <w:ind w:left="720" w:hanging="360"/>
      </w:pPr>
      <w:rPr>
        <w:rFonts w:ascii="Symbol" w:hAnsi="Symbol" w:hint="default"/>
        <w:color w:val="auto"/>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 w15:restartNumberingAfterBreak="0">
    <w:nsid w:val="15440A54"/>
    <w:multiLevelType w:val="hybridMultilevel"/>
    <w:tmpl w:val="E482E30A"/>
    <w:lvl w:ilvl="0" w:tplc="9404FF68">
      <w:start w:val="1"/>
      <w:numFmt w:val="bullet"/>
      <w:lvlText w:val=""/>
      <w:lvlJc w:val="left"/>
      <w:pPr>
        <w:ind w:left="720" w:hanging="360"/>
      </w:pPr>
      <w:rPr>
        <w:rFonts w:ascii="Symbol" w:hAnsi="Symbol" w:hint="default"/>
      </w:rPr>
    </w:lvl>
    <w:lvl w:ilvl="1" w:tplc="E0525862" w:tentative="1">
      <w:start w:val="1"/>
      <w:numFmt w:val="bullet"/>
      <w:lvlText w:val="o"/>
      <w:lvlJc w:val="left"/>
      <w:pPr>
        <w:ind w:left="1440" w:hanging="360"/>
      </w:pPr>
      <w:rPr>
        <w:rFonts w:ascii="Courier New" w:hAnsi="Courier New" w:cs="Courier New" w:hint="default"/>
      </w:rPr>
    </w:lvl>
    <w:lvl w:ilvl="2" w:tplc="0046CB48" w:tentative="1">
      <w:start w:val="1"/>
      <w:numFmt w:val="bullet"/>
      <w:lvlText w:val=""/>
      <w:lvlJc w:val="left"/>
      <w:pPr>
        <w:ind w:left="2160" w:hanging="360"/>
      </w:pPr>
      <w:rPr>
        <w:rFonts w:ascii="Wingdings" w:hAnsi="Wingdings" w:hint="default"/>
      </w:rPr>
    </w:lvl>
    <w:lvl w:ilvl="3" w:tplc="361C2F94" w:tentative="1">
      <w:start w:val="1"/>
      <w:numFmt w:val="bullet"/>
      <w:lvlText w:val=""/>
      <w:lvlJc w:val="left"/>
      <w:pPr>
        <w:ind w:left="2880" w:hanging="360"/>
      </w:pPr>
      <w:rPr>
        <w:rFonts w:ascii="Symbol" w:hAnsi="Symbol" w:hint="default"/>
      </w:rPr>
    </w:lvl>
    <w:lvl w:ilvl="4" w:tplc="BDAE4372" w:tentative="1">
      <w:start w:val="1"/>
      <w:numFmt w:val="bullet"/>
      <w:lvlText w:val="o"/>
      <w:lvlJc w:val="left"/>
      <w:pPr>
        <w:ind w:left="3600" w:hanging="360"/>
      </w:pPr>
      <w:rPr>
        <w:rFonts w:ascii="Courier New" w:hAnsi="Courier New" w:cs="Courier New" w:hint="default"/>
      </w:rPr>
    </w:lvl>
    <w:lvl w:ilvl="5" w:tplc="E4F42370" w:tentative="1">
      <w:start w:val="1"/>
      <w:numFmt w:val="bullet"/>
      <w:lvlText w:val=""/>
      <w:lvlJc w:val="left"/>
      <w:pPr>
        <w:ind w:left="4320" w:hanging="360"/>
      </w:pPr>
      <w:rPr>
        <w:rFonts w:ascii="Wingdings" w:hAnsi="Wingdings" w:hint="default"/>
      </w:rPr>
    </w:lvl>
    <w:lvl w:ilvl="6" w:tplc="FCA4AE32" w:tentative="1">
      <w:start w:val="1"/>
      <w:numFmt w:val="bullet"/>
      <w:lvlText w:val=""/>
      <w:lvlJc w:val="left"/>
      <w:pPr>
        <w:ind w:left="5040" w:hanging="360"/>
      </w:pPr>
      <w:rPr>
        <w:rFonts w:ascii="Symbol" w:hAnsi="Symbol" w:hint="default"/>
      </w:rPr>
    </w:lvl>
    <w:lvl w:ilvl="7" w:tplc="62B66316" w:tentative="1">
      <w:start w:val="1"/>
      <w:numFmt w:val="bullet"/>
      <w:lvlText w:val="o"/>
      <w:lvlJc w:val="left"/>
      <w:pPr>
        <w:ind w:left="5760" w:hanging="360"/>
      </w:pPr>
      <w:rPr>
        <w:rFonts w:ascii="Courier New" w:hAnsi="Courier New" w:cs="Courier New" w:hint="default"/>
      </w:rPr>
    </w:lvl>
    <w:lvl w:ilvl="8" w:tplc="AFDAE29C" w:tentative="1">
      <w:start w:val="1"/>
      <w:numFmt w:val="bullet"/>
      <w:lvlText w:val=""/>
      <w:lvlJc w:val="left"/>
      <w:pPr>
        <w:ind w:left="6480" w:hanging="360"/>
      </w:pPr>
      <w:rPr>
        <w:rFonts w:ascii="Wingdings" w:hAnsi="Wingdings" w:hint="default"/>
      </w:rPr>
    </w:lvl>
  </w:abstractNum>
  <w:abstractNum w:abstractNumId="4" w15:restartNumberingAfterBreak="0">
    <w:nsid w:val="1C800334"/>
    <w:multiLevelType w:val="hybridMultilevel"/>
    <w:tmpl w:val="12CEBB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F24D7D"/>
    <w:multiLevelType w:val="hybridMultilevel"/>
    <w:tmpl w:val="D026CE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60F49AD"/>
    <w:multiLevelType w:val="hybridMultilevel"/>
    <w:tmpl w:val="5986CA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BA213E0"/>
    <w:multiLevelType w:val="hybridMultilevel"/>
    <w:tmpl w:val="7E7007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6C319C"/>
    <w:multiLevelType w:val="hybridMultilevel"/>
    <w:tmpl w:val="C8D4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97AB6"/>
    <w:multiLevelType w:val="hybridMultilevel"/>
    <w:tmpl w:val="ED1CD1EE"/>
    <w:lvl w:ilvl="0" w:tplc="3E9076E0">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DC3C95"/>
    <w:multiLevelType w:val="multilevel"/>
    <w:tmpl w:val="D44A9ABE"/>
    <w:styleLink w:val="Standard"/>
    <w:lvl w:ilvl="0">
      <w:start w:val="1"/>
      <w:numFmt w:val="bullet"/>
      <w:lvlText w:val=""/>
      <w:lvlJc w:val="left"/>
      <w:pPr>
        <w:ind w:left="244" w:hanging="244"/>
      </w:pPr>
      <w:rPr>
        <w:rFonts w:ascii="Symbol" w:hAnsi="Symbol" w:hint="default"/>
      </w:rPr>
    </w:lvl>
    <w:lvl w:ilvl="1">
      <w:start w:val="1"/>
      <w:numFmt w:val="bullet"/>
      <w:lvlText w:val="-"/>
      <w:lvlJc w:val="left"/>
      <w:pPr>
        <w:ind w:left="488" w:hanging="244"/>
      </w:pPr>
      <w:rPr>
        <w:rFonts w:ascii="Courier New" w:hAnsi="Courier New" w:hint="default"/>
      </w:rPr>
    </w:lvl>
    <w:lvl w:ilvl="2">
      <w:start w:val="1"/>
      <w:numFmt w:val="bullet"/>
      <w:lvlText w:val=""/>
      <w:lvlJc w:val="left"/>
      <w:pPr>
        <w:ind w:left="731" w:hanging="243"/>
      </w:pPr>
      <w:rPr>
        <w:rFonts w:ascii="Wingdings" w:hAnsi="Wingdings" w:hint="default"/>
      </w:rPr>
    </w:lvl>
    <w:lvl w:ilvl="3">
      <w:start w:val="1"/>
      <w:numFmt w:val="bullet"/>
      <w:lvlText w:val=""/>
      <w:lvlJc w:val="left"/>
      <w:pPr>
        <w:ind w:left="3124" w:hanging="360"/>
      </w:pPr>
      <w:rPr>
        <w:rFonts w:ascii="Symbol" w:hAnsi="Symbol" w:hint="default"/>
      </w:rPr>
    </w:lvl>
    <w:lvl w:ilvl="4">
      <w:start w:val="1"/>
      <w:numFmt w:val="bullet"/>
      <w:lvlText w:val="o"/>
      <w:lvlJc w:val="left"/>
      <w:pPr>
        <w:ind w:left="3844" w:hanging="360"/>
      </w:pPr>
      <w:rPr>
        <w:rFonts w:ascii="Courier New" w:hAnsi="Courier New" w:cs="Courier New" w:hint="default"/>
      </w:rPr>
    </w:lvl>
    <w:lvl w:ilvl="5">
      <w:start w:val="1"/>
      <w:numFmt w:val="bullet"/>
      <w:lvlText w:val=""/>
      <w:lvlJc w:val="left"/>
      <w:pPr>
        <w:ind w:left="4564" w:hanging="360"/>
      </w:pPr>
      <w:rPr>
        <w:rFonts w:ascii="Wingdings" w:hAnsi="Wingdings" w:hint="default"/>
      </w:rPr>
    </w:lvl>
    <w:lvl w:ilvl="6">
      <w:start w:val="1"/>
      <w:numFmt w:val="bullet"/>
      <w:lvlText w:val=""/>
      <w:lvlJc w:val="left"/>
      <w:pPr>
        <w:ind w:left="5284" w:hanging="360"/>
      </w:pPr>
      <w:rPr>
        <w:rFonts w:ascii="Symbol" w:hAnsi="Symbol" w:hint="default"/>
      </w:rPr>
    </w:lvl>
    <w:lvl w:ilvl="7">
      <w:start w:val="1"/>
      <w:numFmt w:val="bullet"/>
      <w:lvlText w:val="o"/>
      <w:lvlJc w:val="left"/>
      <w:pPr>
        <w:ind w:left="6004" w:hanging="360"/>
      </w:pPr>
      <w:rPr>
        <w:rFonts w:ascii="Courier New" w:hAnsi="Courier New" w:cs="Courier New" w:hint="default"/>
      </w:rPr>
    </w:lvl>
    <w:lvl w:ilvl="8">
      <w:start w:val="1"/>
      <w:numFmt w:val="bullet"/>
      <w:lvlText w:val=""/>
      <w:lvlJc w:val="left"/>
      <w:pPr>
        <w:ind w:left="6724" w:hanging="360"/>
      </w:pPr>
      <w:rPr>
        <w:rFonts w:ascii="Wingdings" w:hAnsi="Wingdings" w:hint="default"/>
      </w:rPr>
    </w:lvl>
  </w:abstractNum>
  <w:abstractNum w:abstractNumId="11" w15:restartNumberingAfterBreak="0">
    <w:nsid w:val="3F2412A1"/>
    <w:multiLevelType w:val="hybridMultilevel"/>
    <w:tmpl w:val="769E17EE"/>
    <w:lvl w:ilvl="0" w:tplc="5B3C622A">
      <w:start w:val="1"/>
      <w:numFmt w:val="bullet"/>
      <w:pStyle w:val="SABulletslevel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E61B75"/>
    <w:multiLevelType w:val="hybridMultilevel"/>
    <w:tmpl w:val="38403674"/>
    <w:lvl w:ilvl="0" w:tplc="EB96958C">
      <w:start w:val="1"/>
      <w:numFmt w:val="bullet"/>
      <w:lvlText w:val=""/>
      <w:lvlJc w:val="left"/>
      <w:pPr>
        <w:ind w:left="360" w:hanging="360"/>
      </w:pPr>
      <w:rPr>
        <w:rFonts w:ascii="Symbol" w:hAnsi="Symbol" w:hint="default"/>
      </w:rPr>
    </w:lvl>
    <w:lvl w:ilvl="1" w:tplc="96FCEC34" w:tentative="1">
      <w:start w:val="1"/>
      <w:numFmt w:val="bullet"/>
      <w:lvlText w:val="o"/>
      <w:lvlJc w:val="left"/>
      <w:pPr>
        <w:ind w:left="1080" w:hanging="360"/>
      </w:pPr>
      <w:rPr>
        <w:rFonts w:ascii="Courier New" w:hAnsi="Courier New" w:cs="Courier New" w:hint="default"/>
      </w:rPr>
    </w:lvl>
    <w:lvl w:ilvl="2" w:tplc="226E2584" w:tentative="1">
      <w:start w:val="1"/>
      <w:numFmt w:val="bullet"/>
      <w:lvlText w:val=""/>
      <w:lvlJc w:val="left"/>
      <w:pPr>
        <w:ind w:left="1800" w:hanging="360"/>
      </w:pPr>
      <w:rPr>
        <w:rFonts w:ascii="Wingdings" w:hAnsi="Wingdings" w:hint="default"/>
      </w:rPr>
    </w:lvl>
    <w:lvl w:ilvl="3" w:tplc="B942BA8A" w:tentative="1">
      <w:start w:val="1"/>
      <w:numFmt w:val="bullet"/>
      <w:lvlText w:val=""/>
      <w:lvlJc w:val="left"/>
      <w:pPr>
        <w:ind w:left="2520" w:hanging="360"/>
      </w:pPr>
      <w:rPr>
        <w:rFonts w:ascii="Symbol" w:hAnsi="Symbol" w:hint="default"/>
      </w:rPr>
    </w:lvl>
    <w:lvl w:ilvl="4" w:tplc="C81439E4" w:tentative="1">
      <w:start w:val="1"/>
      <w:numFmt w:val="bullet"/>
      <w:lvlText w:val="o"/>
      <w:lvlJc w:val="left"/>
      <w:pPr>
        <w:ind w:left="3240" w:hanging="360"/>
      </w:pPr>
      <w:rPr>
        <w:rFonts w:ascii="Courier New" w:hAnsi="Courier New" w:cs="Courier New" w:hint="default"/>
      </w:rPr>
    </w:lvl>
    <w:lvl w:ilvl="5" w:tplc="6C94E8D2" w:tentative="1">
      <w:start w:val="1"/>
      <w:numFmt w:val="bullet"/>
      <w:lvlText w:val=""/>
      <w:lvlJc w:val="left"/>
      <w:pPr>
        <w:ind w:left="3960" w:hanging="360"/>
      </w:pPr>
      <w:rPr>
        <w:rFonts w:ascii="Wingdings" w:hAnsi="Wingdings" w:hint="default"/>
      </w:rPr>
    </w:lvl>
    <w:lvl w:ilvl="6" w:tplc="82FA3BC4" w:tentative="1">
      <w:start w:val="1"/>
      <w:numFmt w:val="bullet"/>
      <w:lvlText w:val=""/>
      <w:lvlJc w:val="left"/>
      <w:pPr>
        <w:ind w:left="4680" w:hanging="360"/>
      </w:pPr>
      <w:rPr>
        <w:rFonts w:ascii="Symbol" w:hAnsi="Symbol" w:hint="default"/>
      </w:rPr>
    </w:lvl>
    <w:lvl w:ilvl="7" w:tplc="54665004" w:tentative="1">
      <w:start w:val="1"/>
      <w:numFmt w:val="bullet"/>
      <w:lvlText w:val="o"/>
      <w:lvlJc w:val="left"/>
      <w:pPr>
        <w:ind w:left="5400" w:hanging="360"/>
      </w:pPr>
      <w:rPr>
        <w:rFonts w:ascii="Courier New" w:hAnsi="Courier New" w:cs="Courier New" w:hint="default"/>
      </w:rPr>
    </w:lvl>
    <w:lvl w:ilvl="8" w:tplc="34504648" w:tentative="1">
      <w:start w:val="1"/>
      <w:numFmt w:val="bullet"/>
      <w:lvlText w:val=""/>
      <w:lvlJc w:val="left"/>
      <w:pPr>
        <w:ind w:left="6120" w:hanging="360"/>
      </w:pPr>
      <w:rPr>
        <w:rFonts w:ascii="Wingdings" w:hAnsi="Wingdings" w:hint="default"/>
      </w:rPr>
    </w:lvl>
  </w:abstractNum>
  <w:abstractNum w:abstractNumId="13" w15:restartNumberingAfterBreak="0">
    <w:nsid w:val="40C576CC"/>
    <w:multiLevelType w:val="hybridMultilevel"/>
    <w:tmpl w:val="7782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AF1661"/>
    <w:multiLevelType w:val="hybridMultilevel"/>
    <w:tmpl w:val="65B0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F72A19"/>
    <w:multiLevelType w:val="hybridMultilevel"/>
    <w:tmpl w:val="63C28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54744"/>
    <w:multiLevelType w:val="hybridMultilevel"/>
    <w:tmpl w:val="96EA1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290074"/>
    <w:multiLevelType w:val="hybridMultilevel"/>
    <w:tmpl w:val="0944C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9F2E47"/>
    <w:multiLevelType w:val="hybridMultilevel"/>
    <w:tmpl w:val="387C7308"/>
    <w:lvl w:ilvl="0" w:tplc="C0E49006">
      <w:start w:val="1"/>
      <w:numFmt w:val="bullet"/>
      <w:lvlText w:val=""/>
      <w:lvlJc w:val="left"/>
      <w:pPr>
        <w:ind w:left="720" w:hanging="360"/>
      </w:pPr>
      <w:rPr>
        <w:rFonts w:ascii="Symbol" w:hAnsi="Symbol" w:hint="default"/>
      </w:rPr>
    </w:lvl>
    <w:lvl w:ilvl="1" w:tplc="B92EB7B8">
      <w:start w:val="1"/>
      <w:numFmt w:val="bullet"/>
      <w:lvlText w:val="o"/>
      <w:lvlJc w:val="left"/>
      <w:pPr>
        <w:ind w:left="1440" w:hanging="360"/>
      </w:pPr>
      <w:rPr>
        <w:rFonts w:ascii="Courier New" w:hAnsi="Courier New" w:cs="Courier New" w:hint="default"/>
      </w:rPr>
    </w:lvl>
    <w:lvl w:ilvl="2" w:tplc="BB1EF606">
      <w:start w:val="1"/>
      <w:numFmt w:val="bullet"/>
      <w:lvlText w:val=""/>
      <w:lvlJc w:val="left"/>
      <w:pPr>
        <w:ind w:left="2160" w:hanging="360"/>
      </w:pPr>
      <w:rPr>
        <w:rFonts w:ascii="Wingdings" w:hAnsi="Wingdings" w:hint="default"/>
      </w:rPr>
    </w:lvl>
    <w:lvl w:ilvl="3" w:tplc="E85E0A20">
      <w:start w:val="1"/>
      <w:numFmt w:val="bullet"/>
      <w:lvlText w:val=""/>
      <w:lvlJc w:val="left"/>
      <w:pPr>
        <w:ind w:left="2880" w:hanging="360"/>
      </w:pPr>
      <w:rPr>
        <w:rFonts w:ascii="Symbol" w:hAnsi="Symbol" w:hint="default"/>
      </w:rPr>
    </w:lvl>
    <w:lvl w:ilvl="4" w:tplc="DA4C5730">
      <w:start w:val="1"/>
      <w:numFmt w:val="bullet"/>
      <w:lvlText w:val="o"/>
      <w:lvlJc w:val="left"/>
      <w:pPr>
        <w:ind w:left="3600" w:hanging="360"/>
      </w:pPr>
      <w:rPr>
        <w:rFonts w:ascii="Courier New" w:hAnsi="Courier New" w:cs="Courier New" w:hint="default"/>
      </w:rPr>
    </w:lvl>
    <w:lvl w:ilvl="5" w:tplc="5A9A3A60">
      <w:start w:val="1"/>
      <w:numFmt w:val="bullet"/>
      <w:lvlText w:val=""/>
      <w:lvlJc w:val="left"/>
      <w:pPr>
        <w:ind w:left="4320" w:hanging="360"/>
      </w:pPr>
      <w:rPr>
        <w:rFonts w:ascii="Wingdings" w:hAnsi="Wingdings" w:hint="default"/>
      </w:rPr>
    </w:lvl>
    <w:lvl w:ilvl="6" w:tplc="C15695CA">
      <w:start w:val="1"/>
      <w:numFmt w:val="bullet"/>
      <w:lvlText w:val=""/>
      <w:lvlJc w:val="left"/>
      <w:pPr>
        <w:ind w:left="5040" w:hanging="360"/>
      </w:pPr>
      <w:rPr>
        <w:rFonts w:ascii="Symbol" w:hAnsi="Symbol" w:hint="default"/>
      </w:rPr>
    </w:lvl>
    <w:lvl w:ilvl="7" w:tplc="E2D6CECE">
      <w:start w:val="1"/>
      <w:numFmt w:val="bullet"/>
      <w:lvlText w:val="o"/>
      <w:lvlJc w:val="left"/>
      <w:pPr>
        <w:ind w:left="5760" w:hanging="360"/>
      </w:pPr>
      <w:rPr>
        <w:rFonts w:ascii="Courier New" w:hAnsi="Courier New" w:cs="Courier New" w:hint="default"/>
      </w:rPr>
    </w:lvl>
    <w:lvl w:ilvl="8" w:tplc="63AC4558">
      <w:start w:val="1"/>
      <w:numFmt w:val="bullet"/>
      <w:lvlText w:val=""/>
      <w:lvlJc w:val="left"/>
      <w:pPr>
        <w:ind w:left="6480" w:hanging="360"/>
      </w:pPr>
      <w:rPr>
        <w:rFonts w:ascii="Wingdings" w:hAnsi="Wingdings" w:hint="default"/>
      </w:rPr>
    </w:lvl>
  </w:abstractNum>
  <w:abstractNum w:abstractNumId="19"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0" w15:restartNumberingAfterBreak="0">
    <w:nsid w:val="64B139CB"/>
    <w:multiLevelType w:val="multilevel"/>
    <w:tmpl w:val="B0CE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895420"/>
    <w:multiLevelType w:val="hybridMultilevel"/>
    <w:tmpl w:val="099A9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B31082"/>
    <w:multiLevelType w:val="hybridMultilevel"/>
    <w:tmpl w:val="0B8EAFC0"/>
    <w:lvl w:ilvl="0" w:tplc="EC58AA90">
      <w:start w:val="1"/>
      <w:numFmt w:val="bullet"/>
      <w:pStyle w:val="SABulletslevel"/>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9763A"/>
    <w:multiLevelType w:val="hybridMultilevel"/>
    <w:tmpl w:val="B37E5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6B70C3"/>
    <w:multiLevelType w:val="hybridMultilevel"/>
    <w:tmpl w:val="4C026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9C1687"/>
    <w:multiLevelType w:val="hybridMultilevel"/>
    <w:tmpl w:val="86C85026"/>
    <w:lvl w:ilvl="0" w:tplc="100E4F80">
      <w:start w:val="1"/>
      <w:numFmt w:val="bullet"/>
      <w:lvlText w:val=""/>
      <w:lvlJc w:val="left"/>
      <w:pPr>
        <w:ind w:left="360" w:hanging="360"/>
      </w:pPr>
      <w:rPr>
        <w:rFonts w:ascii="Symbol" w:hAnsi="Symbol" w:hint="default"/>
      </w:rPr>
    </w:lvl>
    <w:lvl w:ilvl="1" w:tplc="6762BB2E" w:tentative="1">
      <w:start w:val="1"/>
      <w:numFmt w:val="bullet"/>
      <w:lvlText w:val="o"/>
      <w:lvlJc w:val="left"/>
      <w:pPr>
        <w:ind w:left="1080" w:hanging="360"/>
      </w:pPr>
      <w:rPr>
        <w:rFonts w:ascii="Courier New" w:hAnsi="Courier New" w:cs="Courier New" w:hint="default"/>
      </w:rPr>
    </w:lvl>
    <w:lvl w:ilvl="2" w:tplc="84D0AC66" w:tentative="1">
      <w:start w:val="1"/>
      <w:numFmt w:val="bullet"/>
      <w:lvlText w:val=""/>
      <w:lvlJc w:val="left"/>
      <w:pPr>
        <w:ind w:left="1800" w:hanging="360"/>
      </w:pPr>
      <w:rPr>
        <w:rFonts w:ascii="Wingdings" w:hAnsi="Wingdings" w:hint="default"/>
      </w:rPr>
    </w:lvl>
    <w:lvl w:ilvl="3" w:tplc="753E2754" w:tentative="1">
      <w:start w:val="1"/>
      <w:numFmt w:val="bullet"/>
      <w:lvlText w:val=""/>
      <w:lvlJc w:val="left"/>
      <w:pPr>
        <w:ind w:left="2520" w:hanging="360"/>
      </w:pPr>
      <w:rPr>
        <w:rFonts w:ascii="Symbol" w:hAnsi="Symbol" w:hint="default"/>
      </w:rPr>
    </w:lvl>
    <w:lvl w:ilvl="4" w:tplc="15386EBA" w:tentative="1">
      <w:start w:val="1"/>
      <w:numFmt w:val="bullet"/>
      <w:lvlText w:val="o"/>
      <w:lvlJc w:val="left"/>
      <w:pPr>
        <w:ind w:left="3240" w:hanging="360"/>
      </w:pPr>
      <w:rPr>
        <w:rFonts w:ascii="Courier New" w:hAnsi="Courier New" w:cs="Courier New" w:hint="default"/>
      </w:rPr>
    </w:lvl>
    <w:lvl w:ilvl="5" w:tplc="64E2CBC0" w:tentative="1">
      <w:start w:val="1"/>
      <w:numFmt w:val="bullet"/>
      <w:lvlText w:val=""/>
      <w:lvlJc w:val="left"/>
      <w:pPr>
        <w:ind w:left="3960" w:hanging="360"/>
      </w:pPr>
      <w:rPr>
        <w:rFonts w:ascii="Wingdings" w:hAnsi="Wingdings" w:hint="default"/>
      </w:rPr>
    </w:lvl>
    <w:lvl w:ilvl="6" w:tplc="2C9EF63A" w:tentative="1">
      <w:start w:val="1"/>
      <w:numFmt w:val="bullet"/>
      <w:lvlText w:val=""/>
      <w:lvlJc w:val="left"/>
      <w:pPr>
        <w:ind w:left="4680" w:hanging="360"/>
      </w:pPr>
      <w:rPr>
        <w:rFonts w:ascii="Symbol" w:hAnsi="Symbol" w:hint="default"/>
      </w:rPr>
    </w:lvl>
    <w:lvl w:ilvl="7" w:tplc="9DFC67E0" w:tentative="1">
      <w:start w:val="1"/>
      <w:numFmt w:val="bullet"/>
      <w:lvlText w:val="o"/>
      <w:lvlJc w:val="left"/>
      <w:pPr>
        <w:ind w:left="5400" w:hanging="360"/>
      </w:pPr>
      <w:rPr>
        <w:rFonts w:ascii="Courier New" w:hAnsi="Courier New" w:cs="Courier New" w:hint="default"/>
      </w:rPr>
    </w:lvl>
    <w:lvl w:ilvl="8" w:tplc="7CFA295A" w:tentative="1">
      <w:start w:val="1"/>
      <w:numFmt w:val="bullet"/>
      <w:lvlText w:val=""/>
      <w:lvlJc w:val="left"/>
      <w:pPr>
        <w:ind w:left="6120" w:hanging="360"/>
      </w:pPr>
      <w:rPr>
        <w:rFonts w:ascii="Wingdings" w:hAnsi="Wingdings" w:hint="default"/>
      </w:rPr>
    </w:lvl>
  </w:abstractNum>
  <w:abstractNum w:abstractNumId="26" w15:restartNumberingAfterBreak="0">
    <w:nsid w:val="706512FD"/>
    <w:multiLevelType w:val="hybridMultilevel"/>
    <w:tmpl w:val="3BC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F62A65"/>
    <w:multiLevelType w:val="hybridMultilevel"/>
    <w:tmpl w:val="D4B6DB7C"/>
    <w:lvl w:ilvl="0" w:tplc="68562D00">
      <w:start w:val="1"/>
      <w:numFmt w:val="bullet"/>
      <w:lvlText w:val=""/>
      <w:lvlJc w:val="left"/>
      <w:pPr>
        <w:ind w:left="360" w:hanging="360"/>
      </w:pPr>
      <w:rPr>
        <w:rFonts w:ascii="Symbol" w:hAnsi="Symbol" w:hint="default"/>
      </w:rPr>
    </w:lvl>
    <w:lvl w:ilvl="1" w:tplc="DB7225D6" w:tentative="1">
      <w:start w:val="1"/>
      <w:numFmt w:val="bullet"/>
      <w:lvlText w:val="o"/>
      <w:lvlJc w:val="left"/>
      <w:pPr>
        <w:ind w:left="1080" w:hanging="360"/>
      </w:pPr>
      <w:rPr>
        <w:rFonts w:ascii="Courier New" w:hAnsi="Courier New" w:cs="Courier New" w:hint="default"/>
      </w:rPr>
    </w:lvl>
    <w:lvl w:ilvl="2" w:tplc="CB6C8428" w:tentative="1">
      <w:start w:val="1"/>
      <w:numFmt w:val="bullet"/>
      <w:lvlText w:val=""/>
      <w:lvlJc w:val="left"/>
      <w:pPr>
        <w:ind w:left="1800" w:hanging="360"/>
      </w:pPr>
      <w:rPr>
        <w:rFonts w:ascii="Wingdings" w:hAnsi="Wingdings" w:hint="default"/>
      </w:rPr>
    </w:lvl>
    <w:lvl w:ilvl="3" w:tplc="5218BD12" w:tentative="1">
      <w:start w:val="1"/>
      <w:numFmt w:val="bullet"/>
      <w:lvlText w:val=""/>
      <w:lvlJc w:val="left"/>
      <w:pPr>
        <w:ind w:left="2520" w:hanging="360"/>
      </w:pPr>
      <w:rPr>
        <w:rFonts w:ascii="Symbol" w:hAnsi="Symbol" w:hint="default"/>
      </w:rPr>
    </w:lvl>
    <w:lvl w:ilvl="4" w:tplc="ECF07496" w:tentative="1">
      <w:start w:val="1"/>
      <w:numFmt w:val="bullet"/>
      <w:lvlText w:val="o"/>
      <w:lvlJc w:val="left"/>
      <w:pPr>
        <w:ind w:left="3240" w:hanging="360"/>
      </w:pPr>
      <w:rPr>
        <w:rFonts w:ascii="Courier New" w:hAnsi="Courier New" w:cs="Courier New" w:hint="default"/>
      </w:rPr>
    </w:lvl>
    <w:lvl w:ilvl="5" w:tplc="FACADDE8" w:tentative="1">
      <w:start w:val="1"/>
      <w:numFmt w:val="bullet"/>
      <w:lvlText w:val=""/>
      <w:lvlJc w:val="left"/>
      <w:pPr>
        <w:ind w:left="3960" w:hanging="360"/>
      </w:pPr>
      <w:rPr>
        <w:rFonts w:ascii="Wingdings" w:hAnsi="Wingdings" w:hint="default"/>
      </w:rPr>
    </w:lvl>
    <w:lvl w:ilvl="6" w:tplc="B45E1F48" w:tentative="1">
      <w:start w:val="1"/>
      <w:numFmt w:val="bullet"/>
      <w:lvlText w:val=""/>
      <w:lvlJc w:val="left"/>
      <w:pPr>
        <w:ind w:left="4680" w:hanging="360"/>
      </w:pPr>
      <w:rPr>
        <w:rFonts w:ascii="Symbol" w:hAnsi="Symbol" w:hint="default"/>
      </w:rPr>
    </w:lvl>
    <w:lvl w:ilvl="7" w:tplc="7E6A2676" w:tentative="1">
      <w:start w:val="1"/>
      <w:numFmt w:val="bullet"/>
      <w:lvlText w:val="o"/>
      <w:lvlJc w:val="left"/>
      <w:pPr>
        <w:ind w:left="5400" w:hanging="360"/>
      </w:pPr>
      <w:rPr>
        <w:rFonts w:ascii="Courier New" w:hAnsi="Courier New" w:cs="Courier New" w:hint="default"/>
      </w:rPr>
    </w:lvl>
    <w:lvl w:ilvl="8" w:tplc="F6DAA762" w:tentative="1">
      <w:start w:val="1"/>
      <w:numFmt w:val="bullet"/>
      <w:lvlText w:val=""/>
      <w:lvlJc w:val="left"/>
      <w:pPr>
        <w:ind w:left="6120" w:hanging="360"/>
      </w:pPr>
      <w:rPr>
        <w:rFonts w:ascii="Wingdings" w:hAnsi="Wingdings" w:hint="default"/>
      </w:rPr>
    </w:lvl>
  </w:abstractNum>
  <w:abstractNum w:abstractNumId="28" w15:restartNumberingAfterBreak="0">
    <w:nsid w:val="71FC1D14"/>
    <w:multiLevelType w:val="hybridMultilevel"/>
    <w:tmpl w:val="7962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12FDA"/>
    <w:multiLevelType w:val="hybridMultilevel"/>
    <w:tmpl w:val="039A6FD0"/>
    <w:lvl w:ilvl="0" w:tplc="62AA977E">
      <w:start w:val="1"/>
      <w:numFmt w:val="bullet"/>
      <w:lvlText w:val=""/>
      <w:lvlJc w:val="left"/>
      <w:pPr>
        <w:ind w:left="360" w:hanging="360"/>
      </w:pPr>
      <w:rPr>
        <w:rFonts w:ascii="Symbol" w:hAnsi="Symbol" w:hint="default"/>
      </w:rPr>
    </w:lvl>
    <w:lvl w:ilvl="1" w:tplc="5448D432" w:tentative="1">
      <w:start w:val="1"/>
      <w:numFmt w:val="bullet"/>
      <w:lvlText w:val="o"/>
      <w:lvlJc w:val="left"/>
      <w:pPr>
        <w:ind w:left="1080" w:hanging="360"/>
      </w:pPr>
      <w:rPr>
        <w:rFonts w:ascii="Courier New" w:hAnsi="Courier New" w:cs="Courier New" w:hint="default"/>
      </w:rPr>
    </w:lvl>
    <w:lvl w:ilvl="2" w:tplc="1B68CAB6" w:tentative="1">
      <w:start w:val="1"/>
      <w:numFmt w:val="bullet"/>
      <w:lvlText w:val=""/>
      <w:lvlJc w:val="left"/>
      <w:pPr>
        <w:ind w:left="1800" w:hanging="360"/>
      </w:pPr>
      <w:rPr>
        <w:rFonts w:ascii="Wingdings" w:hAnsi="Wingdings" w:hint="default"/>
      </w:rPr>
    </w:lvl>
    <w:lvl w:ilvl="3" w:tplc="4A1A4B9C" w:tentative="1">
      <w:start w:val="1"/>
      <w:numFmt w:val="bullet"/>
      <w:lvlText w:val=""/>
      <w:lvlJc w:val="left"/>
      <w:pPr>
        <w:ind w:left="2520" w:hanging="360"/>
      </w:pPr>
      <w:rPr>
        <w:rFonts w:ascii="Symbol" w:hAnsi="Symbol" w:hint="default"/>
      </w:rPr>
    </w:lvl>
    <w:lvl w:ilvl="4" w:tplc="2932D030" w:tentative="1">
      <w:start w:val="1"/>
      <w:numFmt w:val="bullet"/>
      <w:lvlText w:val="o"/>
      <w:lvlJc w:val="left"/>
      <w:pPr>
        <w:ind w:left="3240" w:hanging="360"/>
      </w:pPr>
      <w:rPr>
        <w:rFonts w:ascii="Courier New" w:hAnsi="Courier New" w:cs="Courier New" w:hint="default"/>
      </w:rPr>
    </w:lvl>
    <w:lvl w:ilvl="5" w:tplc="66B8360C" w:tentative="1">
      <w:start w:val="1"/>
      <w:numFmt w:val="bullet"/>
      <w:lvlText w:val=""/>
      <w:lvlJc w:val="left"/>
      <w:pPr>
        <w:ind w:left="3960" w:hanging="360"/>
      </w:pPr>
      <w:rPr>
        <w:rFonts w:ascii="Wingdings" w:hAnsi="Wingdings" w:hint="default"/>
      </w:rPr>
    </w:lvl>
    <w:lvl w:ilvl="6" w:tplc="E0720BFC" w:tentative="1">
      <w:start w:val="1"/>
      <w:numFmt w:val="bullet"/>
      <w:lvlText w:val=""/>
      <w:lvlJc w:val="left"/>
      <w:pPr>
        <w:ind w:left="4680" w:hanging="360"/>
      </w:pPr>
      <w:rPr>
        <w:rFonts w:ascii="Symbol" w:hAnsi="Symbol" w:hint="default"/>
      </w:rPr>
    </w:lvl>
    <w:lvl w:ilvl="7" w:tplc="0EFA079C" w:tentative="1">
      <w:start w:val="1"/>
      <w:numFmt w:val="bullet"/>
      <w:lvlText w:val="o"/>
      <w:lvlJc w:val="left"/>
      <w:pPr>
        <w:ind w:left="5400" w:hanging="360"/>
      </w:pPr>
      <w:rPr>
        <w:rFonts w:ascii="Courier New" w:hAnsi="Courier New" w:cs="Courier New" w:hint="default"/>
      </w:rPr>
    </w:lvl>
    <w:lvl w:ilvl="8" w:tplc="5568DCDC" w:tentative="1">
      <w:start w:val="1"/>
      <w:numFmt w:val="bullet"/>
      <w:lvlText w:val=""/>
      <w:lvlJc w:val="left"/>
      <w:pPr>
        <w:ind w:left="6120" w:hanging="360"/>
      </w:pPr>
      <w:rPr>
        <w:rFonts w:ascii="Wingdings" w:hAnsi="Wingdings" w:hint="default"/>
      </w:rPr>
    </w:lvl>
  </w:abstractNum>
  <w:abstractNum w:abstractNumId="30" w15:restartNumberingAfterBreak="0">
    <w:nsid w:val="774D0E9B"/>
    <w:multiLevelType w:val="hybridMultilevel"/>
    <w:tmpl w:val="E102CEEA"/>
    <w:lvl w:ilvl="0" w:tplc="6EFADEB0">
      <w:start w:val="1"/>
      <w:numFmt w:val="bullet"/>
      <w:pStyle w:val="Bodybullet1"/>
      <w:lvlText w:val="·"/>
      <w:lvlJc w:val="left"/>
      <w:pPr>
        <w:ind w:left="2203" w:hanging="360"/>
      </w:pPr>
      <w:rPr>
        <w:rFonts w:ascii="Symbol" w:hAnsi="Symbol" w:hint="default"/>
        <w:color w:val="00477C"/>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053CF5"/>
    <w:multiLevelType w:val="hybridMultilevel"/>
    <w:tmpl w:val="9790F320"/>
    <w:lvl w:ilvl="0" w:tplc="CAC21A64">
      <w:start w:val="1"/>
      <w:numFmt w:val="bullet"/>
      <w:pStyle w:val="Footer-Grape"/>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EC0E64"/>
    <w:multiLevelType w:val="hybridMultilevel"/>
    <w:tmpl w:val="79923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49187259">
    <w:abstractNumId w:val="22"/>
  </w:num>
  <w:num w:numId="2" w16cid:durableId="582569789">
    <w:abstractNumId w:val="11"/>
  </w:num>
  <w:num w:numId="3" w16cid:durableId="505291374">
    <w:abstractNumId w:val="19"/>
  </w:num>
  <w:num w:numId="4" w16cid:durableId="1697847764">
    <w:abstractNumId w:val="32"/>
  </w:num>
  <w:num w:numId="5" w16cid:durableId="1259681903">
    <w:abstractNumId w:val="10"/>
  </w:num>
  <w:num w:numId="6" w16cid:durableId="797725214">
    <w:abstractNumId w:val="8"/>
  </w:num>
  <w:num w:numId="7" w16cid:durableId="391857468">
    <w:abstractNumId w:val="31"/>
  </w:num>
  <w:num w:numId="8" w16cid:durableId="716853309">
    <w:abstractNumId w:val="9"/>
  </w:num>
  <w:num w:numId="9" w16cid:durableId="1768500119">
    <w:abstractNumId w:val="2"/>
  </w:num>
  <w:num w:numId="10" w16cid:durableId="1914391807">
    <w:abstractNumId w:val="18"/>
  </w:num>
  <w:num w:numId="11" w16cid:durableId="1024599915">
    <w:abstractNumId w:val="23"/>
  </w:num>
  <w:num w:numId="12" w16cid:durableId="1854025178">
    <w:abstractNumId w:val="14"/>
  </w:num>
  <w:num w:numId="13" w16cid:durableId="2100787364">
    <w:abstractNumId w:val="15"/>
  </w:num>
  <w:num w:numId="14" w16cid:durableId="154758583">
    <w:abstractNumId w:val="30"/>
  </w:num>
  <w:num w:numId="15" w16cid:durableId="126320154">
    <w:abstractNumId w:val="28"/>
  </w:num>
  <w:num w:numId="16" w16cid:durableId="1015112211">
    <w:abstractNumId w:val="13"/>
  </w:num>
  <w:num w:numId="17" w16cid:durableId="1451129082">
    <w:abstractNumId w:val="33"/>
  </w:num>
  <w:num w:numId="18" w16cid:durableId="1072699512">
    <w:abstractNumId w:val="24"/>
  </w:num>
  <w:num w:numId="19" w16cid:durableId="1707876744">
    <w:abstractNumId w:val="6"/>
  </w:num>
  <w:num w:numId="20" w16cid:durableId="1517378834">
    <w:abstractNumId w:val="16"/>
  </w:num>
  <w:num w:numId="21" w16cid:durableId="1119304207">
    <w:abstractNumId w:val="5"/>
  </w:num>
  <w:num w:numId="22" w16cid:durableId="848564575">
    <w:abstractNumId w:val="7"/>
  </w:num>
  <w:num w:numId="23" w16cid:durableId="269514699">
    <w:abstractNumId w:val="20"/>
  </w:num>
  <w:num w:numId="24" w16cid:durableId="154733895">
    <w:abstractNumId w:val="1"/>
  </w:num>
  <w:num w:numId="25" w16cid:durableId="163784369">
    <w:abstractNumId w:val="4"/>
  </w:num>
  <w:num w:numId="26" w16cid:durableId="1268655032">
    <w:abstractNumId w:val="0"/>
  </w:num>
  <w:num w:numId="27" w16cid:durableId="1051464921">
    <w:abstractNumId w:val="25"/>
  </w:num>
  <w:num w:numId="28" w16cid:durableId="489758841">
    <w:abstractNumId w:val="27"/>
  </w:num>
  <w:num w:numId="29" w16cid:durableId="1287421733">
    <w:abstractNumId w:val="3"/>
  </w:num>
  <w:num w:numId="30" w16cid:durableId="882057035">
    <w:abstractNumId w:val="12"/>
  </w:num>
  <w:num w:numId="31" w16cid:durableId="1859469285">
    <w:abstractNumId w:val="29"/>
  </w:num>
  <w:num w:numId="32" w16cid:durableId="478764180">
    <w:abstractNumId w:val="21"/>
  </w:num>
  <w:num w:numId="33" w16cid:durableId="769741578">
    <w:abstractNumId w:val="17"/>
  </w:num>
  <w:num w:numId="34" w16cid:durableId="92079711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48"/>
    <w:rsid w:val="00000755"/>
    <w:rsid w:val="00002168"/>
    <w:rsid w:val="00007C46"/>
    <w:rsid w:val="00010306"/>
    <w:rsid w:val="00012F2A"/>
    <w:rsid w:val="000133CE"/>
    <w:rsid w:val="0001409F"/>
    <w:rsid w:val="000147BD"/>
    <w:rsid w:val="00014DDA"/>
    <w:rsid w:val="000152AE"/>
    <w:rsid w:val="00015A32"/>
    <w:rsid w:val="00016A2F"/>
    <w:rsid w:val="00023E99"/>
    <w:rsid w:val="00024A91"/>
    <w:rsid w:val="00024B31"/>
    <w:rsid w:val="00025378"/>
    <w:rsid w:val="000260E1"/>
    <w:rsid w:val="00026916"/>
    <w:rsid w:val="0003136B"/>
    <w:rsid w:val="000347F5"/>
    <w:rsid w:val="000351C2"/>
    <w:rsid w:val="00036B48"/>
    <w:rsid w:val="000373AC"/>
    <w:rsid w:val="00037FD4"/>
    <w:rsid w:val="000409F5"/>
    <w:rsid w:val="00040B16"/>
    <w:rsid w:val="00040DB4"/>
    <w:rsid w:val="00041A39"/>
    <w:rsid w:val="000428D6"/>
    <w:rsid w:val="00042954"/>
    <w:rsid w:val="0004534D"/>
    <w:rsid w:val="00045B1E"/>
    <w:rsid w:val="00045EEB"/>
    <w:rsid w:val="00046BB1"/>
    <w:rsid w:val="00046F99"/>
    <w:rsid w:val="00050421"/>
    <w:rsid w:val="00051599"/>
    <w:rsid w:val="00053476"/>
    <w:rsid w:val="000543D4"/>
    <w:rsid w:val="00056437"/>
    <w:rsid w:val="00056934"/>
    <w:rsid w:val="00061AAD"/>
    <w:rsid w:val="00062997"/>
    <w:rsid w:val="00062BCD"/>
    <w:rsid w:val="000646B6"/>
    <w:rsid w:val="00064A14"/>
    <w:rsid w:val="000668FA"/>
    <w:rsid w:val="00067335"/>
    <w:rsid w:val="00067A62"/>
    <w:rsid w:val="0007082D"/>
    <w:rsid w:val="0007123C"/>
    <w:rsid w:val="0007138A"/>
    <w:rsid w:val="00071B66"/>
    <w:rsid w:val="00071D2C"/>
    <w:rsid w:val="000746FD"/>
    <w:rsid w:val="00077F9A"/>
    <w:rsid w:val="000810BA"/>
    <w:rsid w:val="000824FD"/>
    <w:rsid w:val="00082A25"/>
    <w:rsid w:val="00085693"/>
    <w:rsid w:val="00086EA1"/>
    <w:rsid w:val="00086FEC"/>
    <w:rsid w:val="000876CD"/>
    <w:rsid w:val="00087BF9"/>
    <w:rsid w:val="00091DC2"/>
    <w:rsid w:val="00091FF4"/>
    <w:rsid w:val="000934B4"/>
    <w:rsid w:val="00095A58"/>
    <w:rsid w:val="00095CF7"/>
    <w:rsid w:val="00096485"/>
    <w:rsid w:val="000A3836"/>
    <w:rsid w:val="000A42AC"/>
    <w:rsid w:val="000A447D"/>
    <w:rsid w:val="000A4B0E"/>
    <w:rsid w:val="000A6286"/>
    <w:rsid w:val="000B3962"/>
    <w:rsid w:val="000B3FE5"/>
    <w:rsid w:val="000B5B55"/>
    <w:rsid w:val="000B6061"/>
    <w:rsid w:val="000B622F"/>
    <w:rsid w:val="000B65CA"/>
    <w:rsid w:val="000B7061"/>
    <w:rsid w:val="000B76E3"/>
    <w:rsid w:val="000C0265"/>
    <w:rsid w:val="000C0B2A"/>
    <w:rsid w:val="000C11E5"/>
    <w:rsid w:val="000C1A14"/>
    <w:rsid w:val="000C1EBE"/>
    <w:rsid w:val="000C2587"/>
    <w:rsid w:val="000C3CC0"/>
    <w:rsid w:val="000C54CD"/>
    <w:rsid w:val="000C649C"/>
    <w:rsid w:val="000C6C57"/>
    <w:rsid w:val="000C71C0"/>
    <w:rsid w:val="000D0E18"/>
    <w:rsid w:val="000D1B48"/>
    <w:rsid w:val="000D2002"/>
    <w:rsid w:val="000D250D"/>
    <w:rsid w:val="000E04AB"/>
    <w:rsid w:val="000E10A4"/>
    <w:rsid w:val="000E42B2"/>
    <w:rsid w:val="000E6B0F"/>
    <w:rsid w:val="000E7E74"/>
    <w:rsid w:val="000E7F86"/>
    <w:rsid w:val="000F00D6"/>
    <w:rsid w:val="000F2F6F"/>
    <w:rsid w:val="000F3C20"/>
    <w:rsid w:val="000F3F4A"/>
    <w:rsid w:val="000F4277"/>
    <w:rsid w:val="000F454D"/>
    <w:rsid w:val="000F72DC"/>
    <w:rsid w:val="000F738C"/>
    <w:rsid w:val="000F770A"/>
    <w:rsid w:val="00101565"/>
    <w:rsid w:val="001067A0"/>
    <w:rsid w:val="00111FBE"/>
    <w:rsid w:val="00112A35"/>
    <w:rsid w:val="00112E64"/>
    <w:rsid w:val="00112F82"/>
    <w:rsid w:val="00113108"/>
    <w:rsid w:val="00113CAE"/>
    <w:rsid w:val="00113E37"/>
    <w:rsid w:val="00113F4F"/>
    <w:rsid w:val="001153E6"/>
    <w:rsid w:val="00115E57"/>
    <w:rsid w:val="00117F68"/>
    <w:rsid w:val="001205BD"/>
    <w:rsid w:val="00120C1B"/>
    <w:rsid w:val="001221CE"/>
    <w:rsid w:val="001240E8"/>
    <w:rsid w:val="00125595"/>
    <w:rsid w:val="001264F1"/>
    <w:rsid w:val="00130050"/>
    <w:rsid w:val="001312A1"/>
    <w:rsid w:val="001352A2"/>
    <w:rsid w:val="001405EE"/>
    <w:rsid w:val="001420B8"/>
    <w:rsid w:val="001435B6"/>
    <w:rsid w:val="00145FC2"/>
    <w:rsid w:val="0015257D"/>
    <w:rsid w:val="00152671"/>
    <w:rsid w:val="0015364A"/>
    <w:rsid w:val="00155ED0"/>
    <w:rsid w:val="0015691E"/>
    <w:rsid w:val="00157C88"/>
    <w:rsid w:val="00160F40"/>
    <w:rsid w:val="001611FB"/>
    <w:rsid w:val="001613D3"/>
    <w:rsid w:val="00161E44"/>
    <w:rsid w:val="00162102"/>
    <w:rsid w:val="00165ECA"/>
    <w:rsid w:val="00170029"/>
    <w:rsid w:val="00170704"/>
    <w:rsid w:val="00170828"/>
    <w:rsid w:val="001709FB"/>
    <w:rsid w:val="00174549"/>
    <w:rsid w:val="00174732"/>
    <w:rsid w:val="0017473F"/>
    <w:rsid w:val="00174C4B"/>
    <w:rsid w:val="00174D2E"/>
    <w:rsid w:val="00175F83"/>
    <w:rsid w:val="00180030"/>
    <w:rsid w:val="00180035"/>
    <w:rsid w:val="00180178"/>
    <w:rsid w:val="00181A06"/>
    <w:rsid w:val="00181A22"/>
    <w:rsid w:val="001827D6"/>
    <w:rsid w:val="00183B5C"/>
    <w:rsid w:val="00184CC5"/>
    <w:rsid w:val="0018558E"/>
    <w:rsid w:val="00185C9C"/>
    <w:rsid w:val="00187BAF"/>
    <w:rsid w:val="00187D80"/>
    <w:rsid w:val="00187F41"/>
    <w:rsid w:val="00193936"/>
    <w:rsid w:val="001941C9"/>
    <w:rsid w:val="001945E7"/>
    <w:rsid w:val="00194843"/>
    <w:rsid w:val="001A0C5C"/>
    <w:rsid w:val="001A0E01"/>
    <w:rsid w:val="001A1B66"/>
    <w:rsid w:val="001A1B84"/>
    <w:rsid w:val="001A4EB0"/>
    <w:rsid w:val="001A54A5"/>
    <w:rsid w:val="001B0038"/>
    <w:rsid w:val="001B139A"/>
    <w:rsid w:val="001B2E4D"/>
    <w:rsid w:val="001B44B7"/>
    <w:rsid w:val="001B4AB1"/>
    <w:rsid w:val="001B567D"/>
    <w:rsid w:val="001B6AF8"/>
    <w:rsid w:val="001C4081"/>
    <w:rsid w:val="001C47B4"/>
    <w:rsid w:val="001C677B"/>
    <w:rsid w:val="001C6D19"/>
    <w:rsid w:val="001D030F"/>
    <w:rsid w:val="001D10AD"/>
    <w:rsid w:val="001D1F61"/>
    <w:rsid w:val="001D3ACB"/>
    <w:rsid w:val="001D4174"/>
    <w:rsid w:val="001D523B"/>
    <w:rsid w:val="001D7343"/>
    <w:rsid w:val="001E1194"/>
    <w:rsid w:val="001E16B5"/>
    <w:rsid w:val="001E1D5D"/>
    <w:rsid w:val="001E3770"/>
    <w:rsid w:val="001E3E32"/>
    <w:rsid w:val="001E5823"/>
    <w:rsid w:val="001E5DFF"/>
    <w:rsid w:val="001E6CFA"/>
    <w:rsid w:val="001E6F95"/>
    <w:rsid w:val="001E72F0"/>
    <w:rsid w:val="001F04D5"/>
    <w:rsid w:val="001F12E3"/>
    <w:rsid w:val="001F3C1E"/>
    <w:rsid w:val="001F57ED"/>
    <w:rsid w:val="001F7324"/>
    <w:rsid w:val="00200F06"/>
    <w:rsid w:val="00203717"/>
    <w:rsid w:val="0020415D"/>
    <w:rsid w:val="00204476"/>
    <w:rsid w:val="00205296"/>
    <w:rsid w:val="00205AD0"/>
    <w:rsid w:val="00206223"/>
    <w:rsid w:val="0020698E"/>
    <w:rsid w:val="00207013"/>
    <w:rsid w:val="002077E6"/>
    <w:rsid w:val="00213C01"/>
    <w:rsid w:val="00216A32"/>
    <w:rsid w:val="00216D6B"/>
    <w:rsid w:val="00217C90"/>
    <w:rsid w:val="002211A4"/>
    <w:rsid w:val="00221514"/>
    <w:rsid w:val="002264A6"/>
    <w:rsid w:val="00226E26"/>
    <w:rsid w:val="002277B9"/>
    <w:rsid w:val="002278BF"/>
    <w:rsid w:val="00232AF0"/>
    <w:rsid w:val="00233D7B"/>
    <w:rsid w:val="00234B69"/>
    <w:rsid w:val="00235662"/>
    <w:rsid w:val="00235ED4"/>
    <w:rsid w:val="00236C9B"/>
    <w:rsid w:val="00240F8C"/>
    <w:rsid w:val="002422A4"/>
    <w:rsid w:val="0024273C"/>
    <w:rsid w:val="002442D7"/>
    <w:rsid w:val="00246940"/>
    <w:rsid w:val="002469FA"/>
    <w:rsid w:val="00246D91"/>
    <w:rsid w:val="002506B9"/>
    <w:rsid w:val="002524DD"/>
    <w:rsid w:val="00252FE0"/>
    <w:rsid w:val="002535DE"/>
    <w:rsid w:val="002565D3"/>
    <w:rsid w:val="00257285"/>
    <w:rsid w:val="0025758F"/>
    <w:rsid w:val="0026043F"/>
    <w:rsid w:val="00260DBE"/>
    <w:rsid w:val="002634A8"/>
    <w:rsid w:val="00263852"/>
    <w:rsid w:val="00264577"/>
    <w:rsid w:val="002645BF"/>
    <w:rsid w:val="00264AA8"/>
    <w:rsid w:val="00266C6A"/>
    <w:rsid w:val="00266CEB"/>
    <w:rsid w:val="002700CF"/>
    <w:rsid w:val="002728C2"/>
    <w:rsid w:val="00274004"/>
    <w:rsid w:val="00275798"/>
    <w:rsid w:val="002806B8"/>
    <w:rsid w:val="00281C72"/>
    <w:rsid w:val="00282B8D"/>
    <w:rsid w:val="00283FFC"/>
    <w:rsid w:val="00284A68"/>
    <w:rsid w:val="00284ADE"/>
    <w:rsid w:val="00284F83"/>
    <w:rsid w:val="00285142"/>
    <w:rsid w:val="00287F6D"/>
    <w:rsid w:val="002907CF"/>
    <w:rsid w:val="00290957"/>
    <w:rsid w:val="00290D95"/>
    <w:rsid w:val="00290FA5"/>
    <w:rsid w:val="00291A24"/>
    <w:rsid w:val="002922BD"/>
    <w:rsid w:val="002925D8"/>
    <w:rsid w:val="002936BE"/>
    <w:rsid w:val="002936F4"/>
    <w:rsid w:val="00294362"/>
    <w:rsid w:val="00294E02"/>
    <w:rsid w:val="00295205"/>
    <w:rsid w:val="002961A2"/>
    <w:rsid w:val="002964DF"/>
    <w:rsid w:val="002A099E"/>
    <w:rsid w:val="002A57FB"/>
    <w:rsid w:val="002A696A"/>
    <w:rsid w:val="002A76D0"/>
    <w:rsid w:val="002A7BE4"/>
    <w:rsid w:val="002B0A27"/>
    <w:rsid w:val="002B1893"/>
    <w:rsid w:val="002B447D"/>
    <w:rsid w:val="002B6D24"/>
    <w:rsid w:val="002B7999"/>
    <w:rsid w:val="002C142D"/>
    <w:rsid w:val="002C19E4"/>
    <w:rsid w:val="002C1B65"/>
    <w:rsid w:val="002C2336"/>
    <w:rsid w:val="002C38F3"/>
    <w:rsid w:val="002C3A7E"/>
    <w:rsid w:val="002C5243"/>
    <w:rsid w:val="002C730F"/>
    <w:rsid w:val="002D0094"/>
    <w:rsid w:val="002D12F3"/>
    <w:rsid w:val="002D162C"/>
    <w:rsid w:val="002D1880"/>
    <w:rsid w:val="002D1AD7"/>
    <w:rsid w:val="002D2129"/>
    <w:rsid w:val="002D4DE6"/>
    <w:rsid w:val="002D569B"/>
    <w:rsid w:val="002E2407"/>
    <w:rsid w:val="002E26ED"/>
    <w:rsid w:val="002E2A18"/>
    <w:rsid w:val="002E2DCE"/>
    <w:rsid w:val="002E2E66"/>
    <w:rsid w:val="002E3802"/>
    <w:rsid w:val="002E4B4E"/>
    <w:rsid w:val="002E4DD5"/>
    <w:rsid w:val="002F0AB2"/>
    <w:rsid w:val="002F1385"/>
    <w:rsid w:val="002F165C"/>
    <w:rsid w:val="002F55F2"/>
    <w:rsid w:val="002F75A5"/>
    <w:rsid w:val="002F7BF2"/>
    <w:rsid w:val="002F7D51"/>
    <w:rsid w:val="00300015"/>
    <w:rsid w:val="003015A6"/>
    <w:rsid w:val="00301877"/>
    <w:rsid w:val="0030278B"/>
    <w:rsid w:val="00303288"/>
    <w:rsid w:val="00304A70"/>
    <w:rsid w:val="00305476"/>
    <w:rsid w:val="003063AE"/>
    <w:rsid w:val="00310D24"/>
    <w:rsid w:val="00311B9F"/>
    <w:rsid w:val="0031296A"/>
    <w:rsid w:val="003131F0"/>
    <w:rsid w:val="00315082"/>
    <w:rsid w:val="00315AF4"/>
    <w:rsid w:val="003163DA"/>
    <w:rsid w:val="0032036E"/>
    <w:rsid w:val="00320A64"/>
    <w:rsid w:val="00320B81"/>
    <w:rsid w:val="00321D4C"/>
    <w:rsid w:val="00323C75"/>
    <w:rsid w:val="003274B0"/>
    <w:rsid w:val="00327987"/>
    <w:rsid w:val="0033138F"/>
    <w:rsid w:val="00332361"/>
    <w:rsid w:val="003325F8"/>
    <w:rsid w:val="00334241"/>
    <w:rsid w:val="00335762"/>
    <w:rsid w:val="003362F3"/>
    <w:rsid w:val="00337BE1"/>
    <w:rsid w:val="003404C4"/>
    <w:rsid w:val="00341747"/>
    <w:rsid w:val="003434F2"/>
    <w:rsid w:val="00345CC6"/>
    <w:rsid w:val="0035039C"/>
    <w:rsid w:val="003526F6"/>
    <w:rsid w:val="0035302D"/>
    <w:rsid w:val="00355F49"/>
    <w:rsid w:val="00363D2A"/>
    <w:rsid w:val="00363F10"/>
    <w:rsid w:val="00366CDC"/>
    <w:rsid w:val="00367D52"/>
    <w:rsid w:val="003701E2"/>
    <w:rsid w:val="00371661"/>
    <w:rsid w:val="00375C91"/>
    <w:rsid w:val="00375E7A"/>
    <w:rsid w:val="003807D8"/>
    <w:rsid w:val="003808D8"/>
    <w:rsid w:val="0038122D"/>
    <w:rsid w:val="00381598"/>
    <w:rsid w:val="0038176D"/>
    <w:rsid w:val="00381BF9"/>
    <w:rsid w:val="0038253F"/>
    <w:rsid w:val="00382F5F"/>
    <w:rsid w:val="00384792"/>
    <w:rsid w:val="00385033"/>
    <w:rsid w:val="0038573A"/>
    <w:rsid w:val="003861FC"/>
    <w:rsid w:val="00386FB6"/>
    <w:rsid w:val="00387910"/>
    <w:rsid w:val="00391CBB"/>
    <w:rsid w:val="0039258B"/>
    <w:rsid w:val="0039267B"/>
    <w:rsid w:val="00392F00"/>
    <w:rsid w:val="00393326"/>
    <w:rsid w:val="00393463"/>
    <w:rsid w:val="00394A31"/>
    <w:rsid w:val="00394CD6"/>
    <w:rsid w:val="0039615C"/>
    <w:rsid w:val="003977F1"/>
    <w:rsid w:val="003A012C"/>
    <w:rsid w:val="003A3111"/>
    <w:rsid w:val="003A42B8"/>
    <w:rsid w:val="003A461E"/>
    <w:rsid w:val="003A53A0"/>
    <w:rsid w:val="003A5837"/>
    <w:rsid w:val="003A5B20"/>
    <w:rsid w:val="003A5EC8"/>
    <w:rsid w:val="003A7E54"/>
    <w:rsid w:val="003B0AAD"/>
    <w:rsid w:val="003B1E33"/>
    <w:rsid w:val="003B41A7"/>
    <w:rsid w:val="003B453F"/>
    <w:rsid w:val="003B6CD0"/>
    <w:rsid w:val="003C08C9"/>
    <w:rsid w:val="003C0F44"/>
    <w:rsid w:val="003C12A5"/>
    <w:rsid w:val="003C1F11"/>
    <w:rsid w:val="003C39EF"/>
    <w:rsid w:val="003C4333"/>
    <w:rsid w:val="003C76D5"/>
    <w:rsid w:val="003C778D"/>
    <w:rsid w:val="003C7E01"/>
    <w:rsid w:val="003D0F31"/>
    <w:rsid w:val="003D19EC"/>
    <w:rsid w:val="003D4F54"/>
    <w:rsid w:val="003D63DA"/>
    <w:rsid w:val="003D6FA5"/>
    <w:rsid w:val="003D7684"/>
    <w:rsid w:val="003E478C"/>
    <w:rsid w:val="003E507E"/>
    <w:rsid w:val="003E52A5"/>
    <w:rsid w:val="003E5C6B"/>
    <w:rsid w:val="003E6309"/>
    <w:rsid w:val="003E6902"/>
    <w:rsid w:val="003E731D"/>
    <w:rsid w:val="003E7506"/>
    <w:rsid w:val="003E7DF1"/>
    <w:rsid w:val="003F1DA0"/>
    <w:rsid w:val="003F421D"/>
    <w:rsid w:val="003F4C28"/>
    <w:rsid w:val="003F597E"/>
    <w:rsid w:val="003F72E8"/>
    <w:rsid w:val="00400DCE"/>
    <w:rsid w:val="00401E31"/>
    <w:rsid w:val="004037DA"/>
    <w:rsid w:val="004052CA"/>
    <w:rsid w:val="00406C11"/>
    <w:rsid w:val="00407A5A"/>
    <w:rsid w:val="0041017D"/>
    <w:rsid w:val="00412478"/>
    <w:rsid w:val="00412F8D"/>
    <w:rsid w:val="00413119"/>
    <w:rsid w:val="0041449E"/>
    <w:rsid w:val="004144D9"/>
    <w:rsid w:val="00414BF8"/>
    <w:rsid w:val="0041617E"/>
    <w:rsid w:val="004203AA"/>
    <w:rsid w:val="00424526"/>
    <w:rsid w:val="00425EA6"/>
    <w:rsid w:val="00426CFE"/>
    <w:rsid w:val="00431F31"/>
    <w:rsid w:val="00432428"/>
    <w:rsid w:val="0043341C"/>
    <w:rsid w:val="00433C18"/>
    <w:rsid w:val="00434C65"/>
    <w:rsid w:val="004352B9"/>
    <w:rsid w:val="00435529"/>
    <w:rsid w:val="00437118"/>
    <w:rsid w:val="00437966"/>
    <w:rsid w:val="00437E3D"/>
    <w:rsid w:val="00437E65"/>
    <w:rsid w:val="00440079"/>
    <w:rsid w:val="00440156"/>
    <w:rsid w:val="004429B4"/>
    <w:rsid w:val="00444160"/>
    <w:rsid w:val="004449F3"/>
    <w:rsid w:val="004450E8"/>
    <w:rsid w:val="00445F9C"/>
    <w:rsid w:val="004518B2"/>
    <w:rsid w:val="0045355C"/>
    <w:rsid w:val="00454124"/>
    <w:rsid w:val="00455963"/>
    <w:rsid w:val="00457C86"/>
    <w:rsid w:val="00460EAD"/>
    <w:rsid w:val="0046234A"/>
    <w:rsid w:val="00462433"/>
    <w:rsid w:val="00462BC9"/>
    <w:rsid w:val="00462EAA"/>
    <w:rsid w:val="00463BAE"/>
    <w:rsid w:val="004644D4"/>
    <w:rsid w:val="00467B45"/>
    <w:rsid w:val="00470994"/>
    <w:rsid w:val="00471D4E"/>
    <w:rsid w:val="004728D2"/>
    <w:rsid w:val="00472C47"/>
    <w:rsid w:val="004746E3"/>
    <w:rsid w:val="00477DF2"/>
    <w:rsid w:val="00481CBE"/>
    <w:rsid w:val="0048495F"/>
    <w:rsid w:val="00485DE4"/>
    <w:rsid w:val="0048608B"/>
    <w:rsid w:val="004862AD"/>
    <w:rsid w:val="004865E1"/>
    <w:rsid w:val="0048714A"/>
    <w:rsid w:val="00490B84"/>
    <w:rsid w:val="004911D6"/>
    <w:rsid w:val="00491A27"/>
    <w:rsid w:val="00491D81"/>
    <w:rsid w:val="0049222A"/>
    <w:rsid w:val="004948AF"/>
    <w:rsid w:val="004A2848"/>
    <w:rsid w:val="004A3249"/>
    <w:rsid w:val="004A4B5A"/>
    <w:rsid w:val="004A4FC1"/>
    <w:rsid w:val="004B0F8C"/>
    <w:rsid w:val="004B2AEA"/>
    <w:rsid w:val="004B3030"/>
    <w:rsid w:val="004B3076"/>
    <w:rsid w:val="004B3627"/>
    <w:rsid w:val="004B4D7F"/>
    <w:rsid w:val="004B4EFC"/>
    <w:rsid w:val="004B59D2"/>
    <w:rsid w:val="004B6BD8"/>
    <w:rsid w:val="004C02EA"/>
    <w:rsid w:val="004C14C0"/>
    <w:rsid w:val="004C27D5"/>
    <w:rsid w:val="004C29CA"/>
    <w:rsid w:val="004C2BAD"/>
    <w:rsid w:val="004C36DA"/>
    <w:rsid w:val="004C415C"/>
    <w:rsid w:val="004C4DB9"/>
    <w:rsid w:val="004C4E97"/>
    <w:rsid w:val="004C4F26"/>
    <w:rsid w:val="004C75B8"/>
    <w:rsid w:val="004C77F1"/>
    <w:rsid w:val="004D1467"/>
    <w:rsid w:val="004D36D7"/>
    <w:rsid w:val="004D38D9"/>
    <w:rsid w:val="004D5812"/>
    <w:rsid w:val="004D5BBB"/>
    <w:rsid w:val="004D7FD9"/>
    <w:rsid w:val="004E0DA8"/>
    <w:rsid w:val="004E0EBF"/>
    <w:rsid w:val="004E116D"/>
    <w:rsid w:val="004E14EE"/>
    <w:rsid w:val="004E2141"/>
    <w:rsid w:val="004E3FA3"/>
    <w:rsid w:val="004E459B"/>
    <w:rsid w:val="004E488A"/>
    <w:rsid w:val="004E494B"/>
    <w:rsid w:val="004E4FB0"/>
    <w:rsid w:val="004F1659"/>
    <w:rsid w:val="004F1EB3"/>
    <w:rsid w:val="004F2206"/>
    <w:rsid w:val="004F239E"/>
    <w:rsid w:val="004F2A24"/>
    <w:rsid w:val="004F5EC8"/>
    <w:rsid w:val="0050026E"/>
    <w:rsid w:val="0050259D"/>
    <w:rsid w:val="00504AA8"/>
    <w:rsid w:val="00505040"/>
    <w:rsid w:val="005067D1"/>
    <w:rsid w:val="00507EB2"/>
    <w:rsid w:val="005101F6"/>
    <w:rsid w:val="0051529C"/>
    <w:rsid w:val="005158EE"/>
    <w:rsid w:val="00515B37"/>
    <w:rsid w:val="0051605C"/>
    <w:rsid w:val="00516313"/>
    <w:rsid w:val="00516D40"/>
    <w:rsid w:val="005171B2"/>
    <w:rsid w:val="005179E8"/>
    <w:rsid w:val="00520B5F"/>
    <w:rsid w:val="00524E16"/>
    <w:rsid w:val="00524E7C"/>
    <w:rsid w:val="0052749B"/>
    <w:rsid w:val="00527BFC"/>
    <w:rsid w:val="0053073F"/>
    <w:rsid w:val="00530C72"/>
    <w:rsid w:val="005343FD"/>
    <w:rsid w:val="005360A5"/>
    <w:rsid w:val="00536CD8"/>
    <w:rsid w:val="00537510"/>
    <w:rsid w:val="00547F1A"/>
    <w:rsid w:val="00551AC7"/>
    <w:rsid w:val="00551CB7"/>
    <w:rsid w:val="005521E2"/>
    <w:rsid w:val="00552FEE"/>
    <w:rsid w:val="00554E25"/>
    <w:rsid w:val="005556A4"/>
    <w:rsid w:val="005567E1"/>
    <w:rsid w:val="00557E92"/>
    <w:rsid w:val="005606D2"/>
    <w:rsid w:val="0056122A"/>
    <w:rsid w:val="005617C0"/>
    <w:rsid w:val="00562572"/>
    <w:rsid w:val="00562A1D"/>
    <w:rsid w:val="00564D2D"/>
    <w:rsid w:val="00564D42"/>
    <w:rsid w:val="0056546A"/>
    <w:rsid w:val="00571396"/>
    <w:rsid w:val="005717C5"/>
    <w:rsid w:val="00571C3F"/>
    <w:rsid w:val="00573C0E"/>
    <w:rsid w:val="00574707"/>
    <w:rsid w:val="00574BB6"/>
    <w:rsid w:val="005766DA"/>
    <w:rsid w:val="00577114"/>
    <w:rsid w:val="00580C96"/>
    <w:rsid w:val="00582672"/>
    <w:rsid w:val="00584EDB"/>
    <w:rsid w:val="00585DBA"/>
    <w:rsid w:val="00592480"/>
    <w:rsid w:val="0059279A"/>
    <w:rsid w:val="00595988"/>
    <w:rsid w:val="00596697"/>
    <w:rsid w:val="0059740C"/>
    <w:rsid w:val="005A1F1B"/>
    <w:rsid w:val="005A2971"/>
    <w:rsid w:val="005A36AA"/>
    <w:rsid w:val="005A44D1"/>
    <w:rsid w:val="005A4B1A"/>
    <w:rsid w:val="005A5C3D"/>
    <w:rsid w:val="005A6529"/>
    <w:rsid w:val="005A7524"/>
    <w:rsid w:val="005B194D"/>
    <w:rsid w:val="005B20E7"/>
    <w:rsid w:val="005B5113"/>
    <w:rsid w:val="005B7B61"/>
    <w:rsid w:val="005C2735"/>
    <w:rsid w:val="005C3819"/>
    <w:rsid w:val="005C5E76"/>
    <w:rsid w:val="005C5EE6"/>
    <w:rsid w:val="005C660C"/>
    <w:rsid w:val="005C6AF0"/>
    <w:rsid w:val="005C738D"/>
    <w:rsid w:val="005C7D3C"/>
    <w:rsid w:val="005D3557"/>
    <w:rsid w:val="005D3E17"/>
    <w:rsid w:val="005D56DF"/>
    <w:rsid w:val="005D6A8D"/>
    <w:rsid w:val="005D75D7"/>
    <w:rsid w:val="005E06BA"/>
    <w:rsid w:val="005E17F6"/>
    <w:rsid w:val="005E2DD2"/>
    <w:rsid w:val="005E38B5"/>
    <w:rsid w:val="005E501A"/>
    <w:rsid w:val="005E7DE4"/>
    <w:rsid w:val="005F3230"/>
    <w:rsid w:val="005F5664"/>
    <w:rsid w:val="005F6AE3"/>
    <w:rsid w:val="006002F0"/>
    <w:rsid w:val="00600382"/>
    <w:rsid w:val="006008BB"/>
    <w:rsid w:val="00602BAA"/>
    <w:rsid w:val="00604952"/>
    <w:rsid w:val="00604E3D"/>
    <w:rsid w:val="006057C7"/>
    <w:rsid w:val="00607115"/>
    <w:rsid w:val="006135D2"/>
    <w:rsid w:val="006166DC"/>
    <w:rsid w:val="006168E7"/>
    <w:rsid w:val="00616A4A"/>
    <w:rsid w:val="006213A3"/>
    <w:rsid w:val="006219E2"/>
    <w:rsid w:val="00622896"/>
    <w:rsid w:val="00626DEF"/>
    <w:rsid w:val="00630046"/>
    <w:rsid w:val="00631441"/>
    <w:rsid w:val="00631C47"/>
    <w:rsid w:val="006343B7"/>
    <w:rsid w:val="00635F90"/>
    <w:rsid w:val="00645105"/>
    <w:rsid w:val="00647344"/>
    <w:rsid w:val="0064768F"/>
    <w:rsid w:val="00656C97"/>
    <w:rsid w:val="00660001"/>
    <w:rsid w:val="00663ED9"/>
    <w:rsid w:val="00664106"/>
    <w:rsid w:val="0066599B"/>
    <w:rsid w:val="006674F4"/>
    <w:rsid w:val="00667560"/>
    <w:rsid w:val="006710A7"/>
    <w:rsid w:val="00671818"/>
    <w:rsid w:val="006725B9"/>
    <w:rsid w:val="0067322B"/>
    <w:rsid w:val="0067371F"/>
    <w:rsid w:val="00675FA3"/>
    <w:rsid w:val="00675FDC"/>
    <w:rsid w:val="0067669C"/>
    <w:rsid w:val="00676F2F"/>
    <w:rsid w:val="00677487"/>
    <w:rsid w:val="00680320"/>
    <w:rsid w:val="006811D0"/>
    <w:rsid w:val="00681375"/>
    <w:rsid w:val="006824D4"/>
    <w:rsid w:val="006825DB"/>
    <w:rsid w:val="0068267F"/>
    <w:rsid w:val="00683B02"/>
    <w:rsid w:val="00685C37"/>
    <w:rsid w:val="00685C7C"/>
    <w:rsid w:val="006870DB"/>
    <w:rsid w:val="00690879"/>
    <w:rsid w:val="00692069"/>
    <w:rsid w:val="006929DF"/>
    <w:rsid w:val="00693923"/>
    <w:rsid w:val="00693E26"/>
    <w:rsid w:val="0069638F"/>
    <w:rsid w:val="006964A3"/>
    <w:rsid w:val="006A1BC3"/>
    <w:rsid w:val="006A1C77"/>
    <w:rsid w:val="006A466B"/>
    <w:rsid w:val="006B22D4"/>
    <w:rsid w:val="006B4D32"/>
    <w:rsid w:val="006C073E"/>
    <w:rsid w:val="006C097D"/>
    <w:rsid w:val="006C1D99"/>
    <w:rsid w:val="006C3671"/>
    <w:rsid w:val="006C406D"/>
    <w:rsid w:val="006C47F7"/>
    <w:rsid w:val="006C4BF3"/>
    <w:rsid w:val="006D03FD"/>
    <w:rsid w:val="006D4F0B"/>
    <w:rsid w:val="006D792B"/>
    <w:rsid w:val="006D79B0"/>
    <w:rsid w:val="006D7B9C"/>
    <w:rsid w:val="006E0849"/>
    <w:rsid w:val="006E24B8"/>
    <w:rsid w:val="006E381E"/>
    <w:rsid w:val="006E3F61"/>
    <w:rsid w:val="006E414F"/>
    <w:rsid w:val="006E5B56"/>
    <w:rsid w:val="006E78A5"/>
    <w:rsid w:val="006F0C91"/>
    <w:rsid w:val="006F140B"/>
    <w:rsid w:val="006F1934"/>
    <w:rsid w:val="006F3C88"/>
    <w:rsid w:val="006F3D37"/>
    <w:rsid w:val="006F4B3D"/>
    <w:rsid w:val="006F7F7E"/>
    <w:rsid w:val="007011D6"/>
    <w:rsid w:val="00701EF2"/>
    <w:rsid w:val="00702FC8"/>
    <w:rsid w:val="0070409D"/>
    <w:rsid w:val="007051AC"/>
    <w:rsid w:val="007058D6"/>
    <w:rsid w:val="007074C7"/>
    <w:rsid w:val="00707A24"/>
    <w:rsid w:val="0071051D"/>
    <w:rsid w:val="00711495"/>
    <w:rsid w:val="00715039"/>
    <w:rsid w:val="007176B9"/>
    <w:rsid w:val="00717B1B"/>
    <w:rsid w:val="007204CA"/>
    <w:rsid w:val="00720AF2"/>
    <w:rsid w:val="007216C0"/>
    <w:rsid w:val="007217B3"/>
    <w:rsid w:val="007235FD"/>
    <w:rsid w:val="007261A2"/>
    <w:rsid w:val="00727232"/>
    <w:rsid w:val="0073029E"/>
    <w:rsid w:val="007302AE"/>
    <w:rsid w:val="00731AC2"/>
    <w:rsid w:val="0073301C"/>
    <w:rsid w:val="00735FDF"/>
    <w:rsid w:val="00737BE7"/>
    <w:rsid w:val="007400A7"/>
    <w:rsid w:val="0074059E"/>
    <w:rsid w:val="00742E2C"/>
    <w:rsid w:val="007446EA"/>
    <w:rsid w:val="007451A8"/>
    <w:rsid w:val="00750947"/>
    <w:rsid w:val="00753640"/>
    <w:rsid w:val="00755600"/>
    <w:rsid w:val="00756927"/>
    <w:rsid w:val="00756C3D"/>
    <w:rsid w:val="007570D6"/>
    <w:rsid w:val="007572D2"/>
    <w:rsid w:val="00760D23"/>
    <w:rsid w:val="0076223E"/>
    <w:rsid w:val="00763757"/>
    <w:rsid w:val="00765B50"/>
    <w:rsid w:val="00767988"/>
    <w:rsid w:val="00767D7C"/>
    <w:rsid w:val="00771372"/>
    <w:rsid w:val="0077229A"/>
    <w:rsid w:val="00772C06"/>
    <w:rsid w:val="00773DF4"/>
    <w:rsid w:val="00776A2F"/>
    <w:rsid w:val="00780C53"/>
    <w:rsid w:val="0078195C"/>
    <w:rsid w:val="00781D69"/>
    <w:rsid w:val="0078213D"/>
    <w:rsid w:val="00783521"/>
    <w:rsid w:val="007837AE"/>
    <w:rsid w:val="007844DC"/>
    <w:rsid w:val="007902D3"/>
    <w:rsid w:val="00790723"/>
    <w:rsid w:val="0079100C"/>
    <w:rsid w:val="007920FB"/>
    <w:rsid w:val="007925AF"/>
    <w:rsid w:val="00792DE2"/>
    <w:rsid w:val="0079380E"/>
    <w:rsid w:val="00793DEF"/>
    <w:rsid w:val="00796D8A"/>
    <w:rsid w:val="00796E3F"/>
    <w:rsid w:val="007A11F3"/>
    <w:rsid w:val="007A21DB"/>
    <w:rsid w:val="007A2A04"/>
    <w:rsid w:val="007A6B98"/>
    <w:rsid w:val="007A6FEC"/>
    <w:rsid w:val="007A701E"/>
    <w:rsid w:val="007B0328"/>
    <w:rsid w:val="007B35FC"/>
    <w:rsid w:val="007B4E4E"/>
    <w:rsid w:val="007B4F51"/>
    <w:rsid w:val="007B7B2D"/>
    <w:rsid w:val="007B7EFE"/>
    <w:rsid w:val="007C2153"/>
    <w:rsid w:val="007C3A99"/>
    <w:rsid w:val="007C5295"/>
    <w:rsid w:val="007C53B1"/>
    <w:rsid w:val="007C64B1"/>
    <w:rsid w:val="007D1450"/>
    <w:rsid w:val="007D234F"/>
    <w:rsid w:val="007D37B8"/>
    <w:rsid w:val="007D5CF7"/>
    <w:rsid w:val="007D6A45"/>
    <w:rsid w:val="007E13E7"/>
    <w:rsid w:val="007E147C"/>
    <w:rsid w:val="007E20BF"/>
    <w:rsid w:val="007E5951"/>
    <w:rsid w:val="007F378E"/>
    <w:rsid w:val="007F6AB4"/>
    <w:rsid w:val="007F6E69"/>
    <w:rsid w:val="007F7DF4"/>
    <w:rsid w:val="00802B9F"/>
    <w:rsid w:val="00803087"/>
    <w:rsid w:val="00803DC9"/>
    <w:rsid w:val="00804E12"/>
    <w:rsid w:val="008059C4"/>
    <w:rsid w:val="00807CDA"/>
    <w:rsid w:val="00810355"/>
    <w:rsid w:val="00811E70"/>
    <w:rsid w:val="00812500"/>
    <w:rsid w:val="00812938"/>
    <w:rsid w:val="008169CD"/>
    <w:rsid w:val="00820B32"/>
    <w:rsid w:val="00820C23"/>
    <w:rsid w:val="008213DB"/>
    <w:rsid w:val="0082227F"/>
    <w:rsid w:val="00822340"/>
    <w:rsid w:val="00824F2B"/>
    <w:rsid w:val="00826583"/>
    <w:rsid w:val="0083002D"/>
    <w:rsid w:val="0083090F"/>
    <w:rsid w:val="00831365"/>
    <w:rsid w:val="00832418"/>
    <w:rsid w:val="008335AB"/>
    <w:rsid w:val="00833ED5"/>
    <w:rsid w:val="008349A2"/>
    <w:rsid w:val="00836332"/>
    <w:rsid w:val="0083650A"/>
    <w:rsid w:val="0084515D"/>
    <w:rsid w:val="008451F0"/>
    <w:rsid w:val="008457BC"/>
    <w:rsid w:val="00845A8D"/>
    <w:rsid w:val="00846CDC"/>
    <w:rsid w:val="00851322"/>
    <w:rsid w:val="00851471"/>
    <w:rsid w:val="008547BD"/>
    <w:rsid w:val="00854B8A"/>
    <w:rsid w:val="00857550"/>
    <w:rsid w:val="008575B3"/>
    <w:rsid w:val="008578EB"/>
    <w:rsid w:val="00860C17"/>
    <w:rsid w:val="00861DA1"/>
    <w:rsid w:val="00862D00"/>
    <w:rsid w:val="00863A82"/>
    <w:rsid w:val="00863A87"/>
    <w:rsid w:val="00866302"/>
    <w:rsid w:val="0087004B"/>
    <w:rsid w:val="00871F95"/>
    <w:rsid w:val="00873080"/>
    <w:rsid w:val="008737E1"/>
    <w:rsid w:val="008739E0"/>
    <w:rsid w:val="0087534C"/>
    <w:rsid w:val="00876457"/>
    <w:rsid w:val="0087667B"/>
    <w:rsid w:val="008774BC"/>
    <w:rsid w:val="00880E09"/>
    <w:rsid w:val="00883634"/>
    <w:rsid w:val="0088528F"/>
    <w:rsid w:val="0089038E"/>
    <w:rsid w:val="008905D2"/>
    <w:rsid w:val="008911CA"/>
    <w:rsid w:val="00891423"/>
    <w:rsid w:val="0089164B"/>
    <w:rsid w:val="0089303B"/>
    <w:rsid w:val="008938BF"/>
    <w:rsid w:val="008957C2"/>
    <w:rsid w:val="008968B7"/>
    <w:rsid w:val="008970C5"/>
    <w:rsid w:val="008A0280"/>
    <w:rsid w:val="008A1E86"/>
    <w:rsid w:val="008A1F8E"/>
    <w:rsid w:val="008A5804"/>
    <w:rsid w:val="008A6719"/>
    <w:rsid w:val="008A7C69"/>
    <w:rsid w:val="008B1E76"/>
    <w:rsid w:val="008B24AC"/>
    <w:rsid w:val="008B2F37"/>
    <w:rsid w:val="008B4BA2"/>
    <w:rsid w:val="008B524A"/>
    <w:rsid w:val="008B53E8"/>
    <w:rsid w:val="008B6BED"/>
    <w:rsid w:val="008C04CC"/>
    <w:rsid w:val="008C16E8"/>
    <w:rsid w:val="008C2237"/>
    <w:rsid w:val="008C4B3E"/>
    <w:rsid w:val="008C62C0"/>
    <w:rsid w:val="008C7230"/>
    <w:rsid w:val="008D0175"/>
    <w:rsid w:val="008D026F"/>
    <w:rsid w:val="008D1C74"/>
    <w:rsid w:val="008E01CA"/>
    <w:rsid w:val="008E0F4A"/>
    <w:rsid w:val="008E1FD4"/>
    <w:rsid w:val="008E3C18"/>
    <w:rsid w:val="008E683B"/>
    <w:rsid w:val="008F08C5"/>
    <w:rsid w:val="008F1CA3"/>
    <w:rsid w:val="008F2A71"/>
    <w:rsid w:val="008F2CDC"/>
    <w:rsid w:val="008F3BDC"/>
    <w:rsid w:val="008F4727"/>
    <w:rsid w:val="008F52E1"/>
    <w:rsid w:val="008F7BB7"/>
    <w:rsid w:val="009012F2"/>
    <w:rsid w:val="0090134D"/>
    <w:rsid w:val="00901D63"/>
    <w:rsid w:val="009029E6"/>
    <w:rsid w:val="00902A25"/>
    <w:rsid w:val="00903395"/>
    <w:rsid w:val="00905198"/>
    <w:rsid w:val="009058CB"/>
    <w:rsid w:val="00906E19"/>
    <w:rsid w:val="00907D7A"/>
    <w:rsid w:val="00911E55"/>
    <w:rsid w:val="00913415"/>
    <w:rsid w:val="009135B1"/>
    <w:rsid w:val="00913C63"/>
    <w:rsid w:val="00913E02"/>
    <w:rsid w:val="009143E6"/>
    <w:rsid w:val="00915588"/>
    <w:rsid w:val="00915873"/>
    <w:rsid w:val="00915942"/>
    <w:rsid w:val="00916E11"/>
    <w:rsid w:val="009174A0"/>
    <w:rsid w:val="00920907"/>
    <w:rsid w:val="00923854"/>
    <w:rsid w:val="00924C89"/>
    <w:rsid w:val="00925BB8"/>
    <w:rsid w:val="0093044B"/>
    <w:rsid w:val="00930CA2"/>
    <w:rsid w:val="00931EE4"/>
    <w:rsid w:val="00932AA3"/>
    <w:rsid w:val="00933D21"/>
    <w:rsid w:val="00934572"/>
    <w:rsid w:val="009348C4"/>
    <w:rsid w:val="00934C33"/>
    <w:rsid w:val="009350BB"/>
    <w:rsid w:val="009409B2"/>
    <w:rsid w:val="009414CD"/>
    <w:rsid w:val="00945237"/>
    <w:rsid w:val="0094658F"/>
    <w:rsid w:val="00951085"/>
    <w:rsid w:val="00952E2D"/>
    <w:rsid w:val="00953473"/>
    <w:rsid w:val="0095465D"/>
    <w:rsid w:val="009562EE"/>
    <w:rsid w:val="00960488"/>
    <w:rsid w:val="00960531"/>
    <w:rsid w:val="009618CE"/>
    <w:rsid w:val="00962EEB"/>
    <w:rsid w:val="00963BA3"/>
    <w:rsid w:val="00965631"/>
    <w:rsid w:val="00965CC0"/>
    <w:rsid w:val="00966648"/>
    <w:rsid w:val="0097065D"/>
    <w:rsid w:val="00972633"/>
    <w:rsid w:val="00972C11"/>
    <w:rsid w:val="0097348F"/>
    <w:rsid w:val="009767B6"/>
    <w:rsid w:val="009779AC"/>
    <w:rsid w:val="009802CC"/>
    <w:rsid w:val="009814D2"/>
    <w:rsid w:val="009825DA"/>
    <w:rsid w:val="00982A28"/>
    <w:rsid w:val="00982B29"/>
    <w:rsid w:val="0098306A"/>
    <w:rsid w:val="00983BAA"/>
    <w:rsid w:val="009849BA"/>
    <w:rsid w:val="00985421"/>
    <w:rsid w:val="00986BCB"/>
    <w:rsid w:val="00987579"/>
    <w:rsid w:val="009875BD"/>
    <w:rsid w:val="0098789B"/>
    <w:rsid w:val="0099049F"/>
    <w:rsid w:val="009905A7"/>
    <w:rsid w:val="00992D45"/>
    <w:rsid w:val="009945D7"/>
    <w:rsid w:val="00994EFE"/>
    <w:rsid w:val="00995023"/>
    <w:rsid w:val="009961A2"/>
    <w:rsid w:val="00997B7E"/>
    <w:rsid w:val="009A099C"/>
    <w:rsid w:val="009A5534"/>
    <w:rsid w:val="009A6FA4"/>
    <w:rsid w:val="009A723D"/>
    <w:rsid w:val="009B02F3"/>
    <w:rsid w:val="009B0D6A"/>
    <w:rsid w:val="009B568A"/>
    <w:rsid w:val="009B57EB"/>
    <w:rsid w:val="009B653E"/>
    <w:rsid w:val="009B7CF5"/>
    <w:rsid w:val="009C19E8"/>
    <w:rsid w:val="009C4DA1"/>
    <w:rsid w:val="009C7184"/>
    <w:rsid w:val="009C727D"/>
    <w:rsid w:val="009D0AC8"/>
    <w:rsid w:val="009D1DA1"/>
    <w:rsid w:val="009D4EAC"/>
    <w:rsid w:val="009E08C0"/>
    <w:rsid w:val="009E1E1B"/>
    <w:rsid w:val="009E3B3A"/>
    <w:rsid w:val="009E46ED"/>
    <w:rsid w:val="009E4D0C"/>
    <w:rsid w:val="009E5CFB"/>
    <w:rsid w:val="009E6010"/>
    <w:rsid w:val="009E7240"/>
    <w:rsid w:val="009E7596"/>
    <w:rsid w:val="009E7B53"/>
    <w:rsid w:val="009F0688"/>
    <w:rsid w:val="009F36AF"/>
    <w:rsid w:val="009F3915"/>
    <w:rsid w:val="009F4E15"/>
    <w:rsid w:val="009F5A02"/>
    <w:rsid w:val="009F5A1B"/>
    <w:rsid w:val="009F6F43"/>
    <w:rsid w:val="00A00F62"/>
    <w:rsid w:val="00A01505"/>
    <w:rsid w:val="00A02BCD"/>
    <w:rsid w:val="00A02D49"/>
    <w:rsid w:val="00A03448"/>
    <w:rsid w:val="00A04A11"/>
    <w:rsid w:val="00A04F85"/>
    <w:rsid w:val="00A052D6"/>
    <w:rsid w:val="00A056E4"/>
    <w:rsid w:val="00A06D73"/>
    <w:rsid w:val="00A06DA6"/>
    <w:rsid w:val="00A06FC9"/>
    <w:rsid w:val="00A13DD7"/>
    <w:rsid w:val="00A14C99"/>
    <w:rsid w:val="00A1595C"/>
    <w:rsid w:val="00A16C8F"/>
    <w:rsid w:val="00A20D7F"/>
    <w:rsid w:val="00A22B3F"/>
    <w:rsid w:val="00A25382"/>
    <w:rsid w:val="00A25A8E"/>
    <w:rsid w:val="00A25B0F"/>
    <w:rsid w:val="00A262E6"/>
    <w:rsid w:val="00A274E2"/>
    <w:rsid w:val="00A308BD"/>
    <w:rsid w:val="00A3266A"/>
    <w:rsid w:val="00A32A54"/>
    <w:rsid w:val="00A33522"/>
    <w:rsid w:val="00A3536B"/>
    <w:rsid w:val="00A377AE"/>
    <w:rsid w:val="00A4208B"/>
    <w:rsid w:val="00A4235F"/>
    <w:rsid w:val="00A427F0"/>
    <w:rsid w:val="00A44796"/>
    <w:rsid w:val="00A4670F"/>
    <w:rsid w:val="00A50149"/>
    <w:rsid w:val="00A518CC"/>
    <w:rsid w:val="00A51F7B"/>
    <w:rsid w:val="00A52171"/>
    <w:rsid w:val="00A52AE3"/>
    <w:rsid w:val="00A52FA8"/>
    <w:rsid w:val="00A53CEA"/>
    <w:rsid w:val="00A55096"/>
    <w:rsid w:val="00A55B7E"/>
    <w:rsid w:val="00A56D5D"/>
    <w:rsid w:val="00A57433"/>
    <w:rsid w:val="00A62C91"/>
    <w:rsid w:val="00A63DF6"/>
    <w:rsid w:val="00A67172"/>
    <w:rsid w:val="00A70051"/>
    <w:rsid w:val="00A7119A"/>
    <w:rsid w:val="00A7216C"/>
    <w:rsid w:val="00A729EF"/>
    <w:rsid w:val="00A72E13"/>
    <w:rsid w:val="00A73D50"/>
    <w:rsid w:val="00A73DAE"/>
    <w:rsid w:val="00A74055"/>
    <w:rsid w:val="00A74C90"/>
    <w:rsid w:val="00A750A7"/>
    <w:rsid w:val="00A76B0D"/>
    <w:rsid w:val="00A77CEC"/>
    <w:rsid w:val="00A84728"/>
    <w:rsid w:val="00A848C2"/>
    <w:rsid w:val="00A84DB1"/>
    <w:rsid w:val="00A84E52"/>
    <w:rsid w:val="00A8616D"/>
    <w:rsid w:val="00A86763"/>
    <w:rsid w:val="00A86FC9"/>
    <w:rsid w:val="00A87A55"/>
    <w:rsid w:val="00A90595"/>
    <w:rsid w:val="00A90FE0"/>
    <w:rsid w:val="00A93485"/>
    <w:rsid w:val="00A95613"/>
    <w:rsid w:val="00A95E1F"/>
    <w:rsid w:val="00A96265"/>
    <w:rsid w:val="00A96341"/>
    <w:rsid w:val="00A97AB1"/>
    <w:rsid w:val="00AA16B2"/>
    <w:rsid w:val="00AA2EF2"/>
    <w:rsid w:val="00AA322F"/>
    <w:rsid w:val="00AA3685"/>
    <w:rsid w:val="00AB3856"/>
    <w:rsid w:val="00AB3E10"/>
    <w:rsid w:val="00AB4A42"/>
    <w:rsid w:val="00AB6D7F"/>
    <w:rsid w:val="00AB7300"/>
    <w:rsid w:val="00AB76A2"/>
    <w:rsid w:val="00AC34FD"/>
    <w:rsid w:val="00AC4DBB"/>
    <w:rsid w:val="00AC4F62"/>
    <w:rsid w:val="00AD62BE"/>
    <w:rsid w:val="00AD6832"/>
    <w:rsid w:val="00AD6ABC"/>
    <w:rsid w:val="00AD790E"/>
    <w:rsid w:val="00AE0688"/>
    <w:rsid w:val="00AE14BD"/>
    <w:rsid w:val="00AE22D6"/>
    <w:rsid w:val="00AE3EA3"/>
    <w:rsid w:val="00AE67D8"/>
    <w:rsid w:val="00AE6F58"/>
    <w:rsid w:val="00AE7143"/>
    <w:rsid w:val="00AF1E43"/>
    <w:rsid w:val="00AF28FB"/>
    <w:rsid w:val="00AF2951"/>
    <w:rsid w:val="00AF3F0F"/>
    <w:rsid w:val="00AF4424"/>
    <w:rsid w:val="00AF5483"/>
    <w:rsid w:val="00B03771"/>
    <w:rsid w:val="00B0573D"/>
    <w:rsid w:val="00B05A79"/>
    <w:rsid w:val="00B06006"/>
    <w:rsid w:val="00B06476"/>
    <w:rsid w:val="00B07EA0"/>
    <w:rsid w:val="00B110FC"/>
    <w:rsid w:val="00B12802"/>
    <w:rsid w:val="00B13119"/>
    <w:rsid w:val="00B132F8"/>
    <w:rsid w:val="00B134E9"/>
    <w:rsid w:val="00B16D74"/>
    <w:rsid w:val="00B20567"/>
    <w:rsid w:val="00B20E1A"/>
    <w:rsid w:val="00B224EF"/>
    <w:rsid w:val="00B228FD"/>
    <w:rsid w:val="00B2292B"/>
    <w:rsid w:val="00B22DB8"/>
    <w:rsid w:val="00B2356A"/>
    <w:rsid w:val="00B23A45"/>
    <w:rsid w:val="00B23AFC"/>
    <w:rsid w:val="00B2511E"/>
    <w:rsid w:val="00B26880"/>
    <w:rsid w:val="00B26B2C"/>
    <w:rsid w:val="00B31BC6"/>
    <w:rsid w:val="00B32C46"/>
    <w:rsid w:val="00B336A7"/>
    <w:rsid w:val="00B33EF6"/>
    <w:rsid w:val="00B359EC"/>
    <w:rsid w:val="00B35D53"/>
    <w:rsid w:val="00B362B6"/>
    <w:rsid w:val="00B36717"/>
    <w:rsid w:val="00B36CD7"/>
    <w:rsid w:val="00B3740B"/>
    <w:rsid w:val="00B42220"/>
    <w:rsid w:val="00B4358C"/>
    <w:rsid w:val="00B449D9"/>
    <w:rsid w:val="00B45214"/>
    <w:rsid w:val="00B45218"/>
    <w:rsid w:val="00B45607"/>
    <w:rsid w:val="00B46C32"/>
    <w:rsid w:val="00B471CC"/>
    <w:rsid w:val="00B47B82"/>
    <w:rsid w:val="00B515C7"/>
    <w:rsid w:val="00B52DEE"/>
    <w:rsid w:val="00B5311A"/>
    <w:rsid w:val="00B546C5"/>
    <w:rsid w:val="00B57614"/>
    <w:rsid w:val="00B57B73"/>
    <w:rsid w:val="00B602AE"/>
    <w:rsid w:val="00B60DC9"/>
    <w:rsid w:val="00B60F19"/>
    <w:rsid w:val="00B624C7"/>
    <w:rsid w:val="00B64816"/>
    <w:rsid w:val="00B64D30"/>
    <w:rsid w:val="00B66AC3"/>
    <w:rsid w:val="00B67062"/>
    <w:rsid w:val="00B71EFB"/>
    <w:rsid w:val="00B76627"/>
    <w:rsid w:val="00B77D04"/>
    <w:rsid w:val="00B8201B"/>
    <w:rsid w:val="00B831D5"/>
    <w:rsid w:val="00B83EC4"/>
    <w:rsid w:val="00B84DAD"/>
    <w:rsid w:val="00B858F8"/>
    <w:rsid w:val="00B86E2B"/>
    <w:rsid w:val="00B87076"/>
    <w:rsid w:val="00B9008C"/>
    <w:rsid w:val="00B912D0"/>
    <w:rsid w:val="00B914E5"/>
    <w:rsid w:val="00B92BB0"/>
    <w:rsid w:val="00B93FDC"/>
    <w:rsid w:val="00B947DB"/>
    <w:rsid w:val="00B9565D"/>
    <w:rsid w:val="00B96FDB"/>
    <w:rsid w:val="00B976C8"/>
    <w:rsid w:val="00BA13E4"/>
    <w:rsid w:val="00BA3558"/>
    <w:rsid w:val="00BA3B1D"/>
    <w:rsid w:val="00BA4636"/>
    <w:rsid w:val="00BA4711"/>
    <w:rsid w:val="00BA5537"/>
    <w:rsid w:val="00BA5D70"/>
    <w:rsid w:val="00BA62BB"/>
    <w:rsid w:val="00BA64BE"/>
    <w:rsid w:val="00BA71C7"/>
    <w:rsid w:val="00BB0571"/>
    <w:rsid w:val="00BB0BC3"/>
    <w:rsid w:val="00BB0EA0"/>
    <w:rsid w:val="00BB135A"/>
    <w:rsid w:val="00BB18DF"/>
    <w:rsid w:val="00BB2703"/>
    <w:rsid w:val="00BB3912"/>
    <w:rsid w:val="00BB73B0"/>
    <w:rsid w:val="00BB7DE5"/>
    <w:rsid w:val="00BB7E14"/>
    <w:rsid w:val="00BC0391"/>
    <w:rsid w:val="00BC3A5A"/>
    <w:rsid w:val="00BD3426"/>
    <w:rsid w:val="00BD448B"/>
    <w:rsid w:val="00BD5BAE"/>
    <w:rsid w:val="00BD5CEE"/>
    <w:rsid w:val="00BD6592"/>
    <w:rsid w:val="00BD677B"/>
    <w:rsid w:val="00BD6CEC"/>
    <w:rsid w:val="00BE0801"/>
    <w:rsid w:val="00BE44D4"/>
    <w:rsid w:val="00BE6FD2"/>
    <w:rsid w:val="00BF088E"/>
    <w:rsid w:val="00BF0BAF"/>
    <w:rsid w:val="00BF1470"/>
    <w:rsid w:val="00BF1471"/>
    <w:rsid w:val="00BF162B"/>
    <w:rsid w:val="00BF26C3"/>
    <w:rsid w:val="00BF4077"/>
    <w:rsid w:val="00BF6032"/>
    <w:rsid w:val="00BF61CA"/>
    <w:rsid w:val="00BF6597"/>
    <w:rsid w:val="00BF6CED"/>
    <w:rsid w:val="00C01B43"/>
    <w:rsid w:val="00C021DC"/>
    <w:rsid w:val="00C025D8"/>
    <w:rsid w:val="00C0275A"/>
    <w:rsid w:val="00C02C9A"/>
    <w:rsid w:val="00C02F35"/>
    <w:rsid w:val="00C04731"/>
    <w:rsid w:val="00C0480A"/>
    <w:rsid w:val="00C05FC6"/>
    <w:rsid w:val="00C06CC9"/>
    <w:rsid w:val="00C06F99"/>
    <w:rsid w:val="00C07BAC"/>
    <w:rsid w:val="00C07BCC"/>
    <w:rsid w:val="00C07D9F"/>
    <w:rsid w:val="00C10099"/>
    <w:rsid w:val="00C113B1"/>
    <w:rsid w:val="00C12319"/>
    <w:rsid w:val="00C12CF2"/>
    <w:rsid w:val="00C13228"/>
    <w:rsid w:val="00C14932"/>
    <w:rsid w:val="00C15DA5"/>
    <w:rsid w:val="00C164F3"/>
    <w:rsid w:val="00C1662E"/>
    <w:rsid w:val="00C16808"/>
    <w:rsid w:val="00C17E39"/>
    <w:rsid w:val="00C207C1"/>
    <w:rsid w:val="00C215D5"/>
    <w:rsid w:val="00C21943"/>
    <w:rsid w:val="00C22228"/>
    <w:rsid w:val="00C227D8"/>
    <w:rsid w:val="00C230E9"/>
    <w:rsid w:val="00C23A50"/>
    <w:rsid w:val="00C24F90"/>
    <w:rsid w:val="00C252F2"/>
    <w:rsid w:val="00C2536F"/>
    <w:rsid w:val="00C26018"/>
    <w:rsid w:val="00C26226"/>
    <w:rsid w:val="00C2628C"/>
    <w:rsid w:val="00C264D8"/>
    <w:rsid w:val="00C27EAD"/>
    <w:rsid w:val="00C33788"/>
    <w:rsid w:val="00C33D0F"/>
    <w:rsid w:val="00C35E25"/>
    <w:rsid w:val="00C369AF"/>
    <w:rsid w:val="00C37F36"/>
    <w:rsid w:val="00C41179"/>
    <w:rsid w:val="00C41F08"/>
    <w:rsid w:val="00C42309"/>
    <w:rsid w:val="00C4250A"/>
    <w:rsid w:val="00C43575"/>
    <w:rsid w:val="00C43C5F"/>
    <w:rsid w:val="00C44156"/>
    <w:rsid w:val="00C44F8D"/>
    <w:rsid w:val="00C46EFA"/>
    <w:rsid w:val="00C47AC7"/>
    <w:rsid w:val="00C5029C"/>
    <w:rsid w:val="00C52E59"/>
    <w:rsid w:val="00C548E3"/>
    <w:rsid w:val="00C554AD"/>
    <w:rsid w:val="00C60743"/>
    <w:rsid w:val="00C61543"/>
    <w:rsid w:val="00C66211"/>
    <w:rsid w:val="00C6648F"/>
    <w:rsid w:val="00C67139"/>
    <w:rsid w:val="00C675F5"/>
    <w:rsid w:val="00C67FA9"/>
    <w:rsid w:val="00C71D9F"/>
    <w:rsid w:val="00C71F48"/>
    <w:rsid w:val="00C72239"/>
    <w:rsid w:val="00C72F20"/>
    <w:rsid w:val="00C74B43"/>
    <w:rsid w:val="00C74E29"/>
    <w:rsid w:val="00C750D2"/>
    <w:rsid w:val="00C75EA3"/>
    <w:rsid w:val="00C773E9"/>
    <w:rsid w:val="00C8026F"/>
    <w:rsid w:val="00C81482"/>
    <w:rsid w:val="00C814A1"/>
    <w:rsid w:val="00C84142"/>
    <w:rsid w:val="00C857F9"/>
    <w:rsid w:val="00C85B2B"/>
    <w:rsid w:val="00C87262"/>
    <w:rsid w:val="00C87853"/>
    <w:rsid w:val="00C8786F"/>
    <w:rsid w:val="00C9122A"/>
    <w:rsid w:val="00C93C84"/>
    <w:rsid w:val="00CA0609"/>
    <w:rsid w:val="00CA0B35"/>
    <w:rsid w:val="00CA381F"/>
    <w:rsid w:val="00CA3A27"/>
    <w:rsid w:val="00CA3F80"/>
    <w:rsid w:val="00CA4B19"/>
    <w:rsid w:val="00CA57EA"/>
    <w:rsid w:val="00CA63B8"/>
    <w:rsid w:val="00CA7075"/>
    <w:rsid w:val="00CA7C89"/>
    <w:rsid w:val="00CA7DAF"/>
    <w:rsid w:val="00CB0F6C"/>
    <w:rsid w:val="00CB2684"/>
    <w:rsid w:val="00CB292E"/>
    <w:rsid w:val="00CB2CBF"/>
    <w:rsid w:val="00CB2F40"/>
    <w:rsid w:val="00CB4F98"/>
    <w:rsid w:val="00CB6BEE"/>
    <w:rsid w:val="00CB6EEA"/>
    <w:rsid w:val="00CB7451"/>
    <w:rsid w:val="00CC07CB"/>
    <w:rsid w:val="00CC0E42"/>
    <w:rsid w:val="00CC0FA5"/>
    <w:rsid w:val="00CC235B"/>
    <w:rsid w:val="00CC4A46"/>
    <w:rsid w:val="00CC6550"/>
    <w:rsid w:val="00CC6F45"/>
    <w:rsid w:val="00CC75E3"/>
    <w:rsid w:val="00CC77C3"/>
    <w:rsid w:val="00CC7DBD"/>
    <w:rsid w:val="00CD0306"/>
    <w:rsid w:val="00CD085E"/>
    <w:rsid w:val="00CD0B6D"/>
    <w:rsid w:val="00CD224E"/>
    <w:rsid w:val="00CD22D1"/>
    <w:rsid w:val="00CD511C"/>
    <w:rsid w:val="00CD609E"/>
    <w:rsid w:val="00CE04E9"/>
    <w:rsid w:val="00CE0958"/>
    <w:rsid w:val="00CE0A35"/>
    <w:rsid w:val="00CE0B55"/>
    <w:rsid w:val="00CE1BD4"/>
    <w:rsid w:val="00CE56A0"/>
    <w:rsid w:val="00CF07A0"/>
    <w:rsid w:val="00CF3306"/>
    <w:rsid w:val="00CF34B6"/>
    <w:rsid w:val="00CF5FC7"/>
    <w:rsid w:val="00CF6B54"/>
    <w:rsid w:val="00CF6CEC"/>
    <w:rsid w:val="00D0148F"/>
    <w:rsid w:val="00D02950"/>
    <w:rsid w:val="00D04940"/>
    <w:rsid w:val="00D05EB1"/>
    <w:rsid w:val="00D1250A"/>
    <w:rsid w:val="00D13062"/>
    <w:rsid w:val="00D141C1"/>
    <w:rsid w:val="00D142F4"/>
    <w:rsid w:val="00D14B82"/>
    <w:rsid w:val="00D15B45"/>
    <w:rsid w:val="00D1616B"/>
    <w:rsid w:val="00D16A0F"/>
    <w:rsid w:val="00D2095D"/>
    <w:rsid w:val="00D2123B"/>
    <w:rsid w:val="00D220CD"/>
    <w:rsid w:val="00D24804"/>
    <w:rsid w:val="00D2686F"/>
    <w:rsid w:val="00D30DC2"/>
    <w:rsid w:val="00D310C8"/>
    <w:rsid w:val="00D3282A"/>
    <w:rsid w:val="00D339C8"/>
    <w:rsid w:val="00D354DD"/>
    <w:rsid w:val="00D3714B"/>
    <w:rsid w:val="00D37F9F"/>
    <w:rsid w:val="00D40409"/>
    <w:rsid w:val="00D40DC1"/>
    <w:rsid w:val="00D41101"/>
    <w:rsid w:val="00D422F4"/>
    <w:rsid w:val="00D42B59"/>
    <w:rsid w:val="00D4338E"/>
    <w:rsid w:val="00D46720"/>
    <w:rsid w:val="00D504C1"/>
    <w:rsid w:val="00D506BD"/>
    <w:rsid w:val="00D51EEE"/>
    <w:rsid w:val="00D54BDA"/>
    <w:rsid w:val="00D550FA"/>
    <w:rsid w:val="00D55123"/>
    <w:rsid w:val="00D559FE"/>
    <w:rsid w:val="00D566B5"/>
    <w:rsid w:val="00D5756A"/>
    <w:rsid w:val="00D57631"/>
    <w:rsid w:val="00D61C2B"/>
    <w:rsid w:val="00D643EB"/>
    <w:rsid w:val="00D64C2B"/>
    <w:rsid w:val="00D65A47"/>
    <w:rsid w:val="00D6682F"/>
    <w:rsid w:val="00D66CFB"/>
    <w:rsid w:val="00D672D0"/>
    <w:rsid w:val="00D67D84"/>
    <w:rsid w:val="00D70A46"/>
    <w:rsid w:val="00D71E0D"/>
    <w:rsid w:val="00D722D0"/>
    <w:rsid w:val="00D72419"/>
    <w:rsid w:val="00D73692"/>
    <w:rsid w:val="00D76442"/>
    <w:rsid w:val="00D76BC8"/>
    <w:rsid w:val="00D774F8"/>
    <w:rsid w:val="00D82386"/>
    <w:rsid w:val="00D83F92"/>
    <w:rsid w:val="00D864C6"/>
    <w:rsid w:val="00D87300"/>
    <w:rsid w:val="00D90CFE"/>
    <w:rsid w:val="00D911B2"/>
    <w:rsid w:val="00D91B1C"/>
    <w:rsid w:val="00D93DBA"/>
    <w:rsid w:val="00D944E6"/>
    <w:rsid w:val="00D953A6"/>
    <w:rsid w:val="00D95C6D"/>
    <w:rsid w:val="00D96171"/>
    <w:rsid w:val="00D9661D"/>
    <w:rsid w:val="00D96C91"/>
    <w:rsid w:val="00D9759A"/>
    <w:rsid w:val="00D97990"/>
    <w:rsid w:val="00DA0425"/>
    <w:rsid w:val="00DA1DAA"/>
    <w:rsid w:val="00DA2435"/>
    <w:rsid w:val="00DA307D"/>
    <w:rsid w:val="00DA3B3B"/>
    <w:rsid w:val="00DA43BE"/>
    <w:rsid w:val="00DA55B6"/>
    <w:rsid w:val="00DA6551"/>
    <w:rsid w:val="00DA702E"/>
    <w:rsid w:val="00DB04F5"/>
    <w:rsid w:val="00DB1BE8"/>
    <w:rsid w:val="00DB4F91"/>
    <w:rsid w:val="00DB5077"/>
    <w:rsid w:val="00DB57B5"/>
    <w:rsid w:val="00DB68E0"/>
    <w:rsid w:val="00DB6D03"/>
    <w:rsid w:val="00DB6DFA"/>
    <w:rsid w:val="00DB78D6"/>
    <w:rsid w:val="00DB7DD8"/>
    <w:rsid w:val="00DC3D6F"/>
    <w:rsid w:val="00DC5DF8"/>
    <w:rsid w:val="00DC6B2A"/>
    <w:rsid w:val="00DD0A1E"/>
    <w:rsid w:val="00DD2352"/>
    <w:rsid w:val="00DD3523"/>
    <w:rsid w:val="00DD40B0"/>
    <w:rsid w:val="00DD49A2"/>
    <w:rsid w:val="00DD517B"/>
    <w:rsid w:val="00DD7634"/>
    <w:rsid w:val="00DD7A2B"/>
    <w:rsid w:val="00DE0FC6"/>
    <w:rsid w:val="00DE1DEA"/>
    <w:rsid w:val="00DE1E32"/>
    <w:rsid w:val="00DE29B5"/>
    <w:rsid w:val="00DE2A2E"/>
    <w:rsid w:val="00DE43D1"/>
    <w:rsid w:val="00DE5050"/>
    <w:rsid w:val="00DE713A"/>
    <w:rsid w:val="00DF0B22"/>
    <w:rsid w:val="00DF0DC8"/>
    <w:rsid w:val="00DF19CC"/>
    <w:rsid w:val="00DF2E6C"/>
    <w:rsid w:val="00E00327"/>
    <w:rsid w:val="00E01124"/>
    <w:rsid w:val="00E02903"/>
    <w:rsid w:val="00E02C50"/>
    <w:rsid w:val="00E02F19"/>
    <w:rsid w:val="00E03A8E"/>
    <w:rsid w:val="00E04C8D"/>
    <w:rsid w:val="00E054EC"/>
    <w:rsid w:val="00E0689D"/>
    <w:rsid w:val="00E06B37"/>
    <w:rsid w:val="00E07341"/>
    <w:rsid w:val="00E076AE"/>
    <w:rsid w:val="00E07EC1"/>
    <w:rsid w:val="00E10BBC"/>
    <w:rsid w:val="00E10E0D"/>
    <w:rsid w:val="00E11C78"/>
    <w:rsid w:val="00E16579"/>
    <w:rsid w:val="00E17977"/>
    <w:rsid w:val="00E20139"/>
    <w:rsid w:val="00E20D45"/>
    <w:rsid w:val="00E21B5F"/>
    <w:rsid w:val="00E21E36"/>
    <w:rsid w:val="00E22BD0"/>
    <w:rsid w:val="00E23AB9"/>
    <w:rsid w:val="00E24BAF"/>
    <w:rsid w:val="00E25296"/>
    <w:rsid w:val="00E25E95"/>
    <w:rsid w:val="00E277F4"/>
    <w:rsid w:val="00E3039F"/>
    <w:rsid w:val="00E31B70"/>
    <w:rsid w:val="00E40814"/>
    <w:rsid w:val="00E409B0"/>
    <w:rsid w:val="00E42128"/>
    <w:rsid w:val="00E42992"/>
    <w:rsid w:val="00E441C7"/>
    <w:rsid w:val="00E4657A"/>
    <w:rsid w:val="00E4740B"/>
    <w:rsid w:val="00E47CB6"/>
    <w:rsid w:val="00E51274"/>
    <w:rsid w:val="00E5195C"/>
    <w:rsid w:val="00E51D8E"/>
    <w:rsid w:val="00E5276D"/>
    <w:rsid w:val="00E530C5"/>
    <w:rsid w:val="00E53D7A"/>
    <w:rsid w:val="00E53E08"/>
    <w:rsid w:val="00E5725A"/>
    <w:rsid w:val="00E61A19"/>
    <w:rsid w:val="00E61A75"/>
    <w:rsid w:val="00E628DC"/>
    <w:rsid w:val="00E63EC2"/>
    <w:rsid w:val="00E64F12"/>
    <w:rsid w:val="00E65989"/>
    <w:rsid w:val="00E676BF"/>
    <w:rsid w:val="00E70205"/>
    <w:rsid w:val="00E717F5"/>
    <w:rsid w:val="00E71A4F"/>
    <w:rsid w:val="00E730EB"/>
    <w:rsid w:val="00E75264"/>
    <w:rsid w:val="00E760BF"/>
    <w:rsid w:val="00E768D0"/>
    <w:rsid w:val="00E776AA"/>
    <w:rsid w:val="00E77894"/>
    <w:rsid w:val="00E8060A"/>
    <w:rsid w:val="00E83EF5"/>
    <w:rsid w:val="00E843F3"/>
    <w:rsid w:val="00E84495"/>
    <w:rsid w:val="00E848B3"/>
    <w:rsid w:val="00E84C8B"/>
    <w:rsid w:val="00E85D5F"/>
    <w:rsid w:val="00E91932"/>
    <w:rsid w:val="00E91BFE"/>
    <w:rsid w:val="00E91D3A"/>
    <w:rsid w:val="00E92173"/>
    <w:rsid w:val="00E92DAC"/>
    <w:rsid w:val="00E9617D"/>
    <w:rsid w:val="00E976B3"/>
    <w:rsid w:val="00E976E9"/>
    <w:rsid w:val="00EA1451"/>
    <w:rsid w:val="00EA16EC"/>
    <w:rsid w:val="00EA2350"/>
    <w:rsid w:val="00EA3054"/>
    <w:rsid w:val="00EA49D1"/>
    <w:rsid w:val="00EA4B31"/>
    <w:rsid w:val="00EA4B51"/>
    <w:rsid w:val="00EA5EE1"/>
    <w:rsid w:val="00EA5EEB"/>
    <w:rsid w:val="00EA7059"/>
    <w:rsid w:val="00EB13FD"/>
    <w:rsid w:val="00EB1509"/>
    <w:rsid w:val="00EB2536"/>
    <w:rsid w:val="00EB5515"/>
    <w:rsid w:val="00EC1360"/>
    <w:rsid w:val="00EC25A1"/>
    <w:rsid w:val="00EC4390"/>
    <w:rsid w:val="00EC4A01"/>
    <w:rsid w:val="00EC6E9E"/>
    <w:rsid w:val="00EC76C1"/>
    <w:rsid w:val="00ED2B67"/>
    <w:rsid w:val="00ED333C"/>
    <w:rsid w:val="00ED3426"/>
    <w:rsid w:val="00ED3FF3"/>
    <w:rsid w:val="00ED403A"/>
    <w:rsid w:val="00ED4678"/>
    <w:rsid w:val="00ED5565"/>
    <w:rsid w:val="00ED5873"/>
    <w:rsid w:val="00ED5E39"/>
    <w:rsid w:val="00EE002C"/>
    <w:rsid w:val="00EE555C"/>
    <w:rsid w:val="00EE5A6D"/>
    <w:rsid w:val="00EE779D"/>
    <w:rsid w:val="00EE78F0"/>
    <w:rsid w:val="00EF22F8"/>
    <w:rsid w:val="00EF283A"/>
    <w:rsid w:val="00EF3B05"/>
    <w:rsid w:val="00EF4FCC"/>
    <w:rsid w:val="00EF60B9"/>
    <w:rsid w:val="00EF7588"/>
    <w:rsid w:val="00F00F2F"/>
    <w:rsid w:val="00F01601"/>
    <w:rsid w:val="00F023A7"/>
    <w:rsid w:val="00F07E4F"/>
    <w:rsid w:val="00F10073"/>
    <w:rsid w:val="00F103F3"/>
    <w:rsid w:val="00F1280E"/>
    <w:rsid w:val="00F129FF"/>
    <w:rsid w:val="00F13192"/>
    <w:rsid w:val="00F13C40"/>
    <w:rsid w:val="00F14026"/>
    <w:rsid w:val="00F17318"/>
    <w:rsid w:val="00F17F7D"/>
    <w:rsid w:val="00F204C1"/>
    <w:rsid w:val="00F20D30"/>
    <w:rsid w:val="00F23455"/>
    <w:rsid w:val="00F24477"/>
    <w:rsid w:val="00F24D13"/>
    <w:rsid w:val="00F24F58"/>
    <w:rsid w:val="00F27795"/>
    <w:rsid w:val="00F30B3E"/>
    <w:rsid w:val="00F30DC7"/>
    <w:rsid w:val="00F31133"/>
    <w:rsid w:val="00F32345"/>
    <w:rsid w:val="00F34E10"/>
    <w:rsid w:val="00F35352"/>
    <w:rsid w:val="00F35F92"/>
    <w:rsid w:val="00F37C24"/>
    <w:rsid w:val="00F37DCD"/>
    <w:rsid w:val="00F37DD9"/>
    <w:rsid w:val="00F439F4"/>
    <w:rsid w:val="00F441BC"/>
    <w:rsid w:val="00F44CC7"/>
    <w:rsid w:val="00F45487"/>
    <w:rsid w:val="00F46CC7"/>
    <w:rsid w:val="00F50D76"/>
    <w:rsid w:val="00F53D63"/>
    <w:rsid w:val="00F54105"/>
    <w:rsid w:val="00F54BA0"/>
    <w:rsid w:val="00F55170"/>
    <w:rsid w:val="00F555EE"/>
    <w:rsid w:val="00F557F1"/>
    <w:rsid w:val="00F61BE3"/>
    <w:rsid w:val="00F6243E"/>
    <w:rsid w:val="00F63ACE"/>
    <w:rsid w:val="00F63B3E"/>
    <w:rsid w:val="00F63E0D"/>
    <w:rsid w:val="00F63F5A"/>
    <w:rsid w:val="00F6403C"/>
    <w:rsid w:val="00F6470B"/>
    <w:rsid w:val="00F6638F"/>
    <w:rsid w:val="00F70FA7"/>
    <w:rsid w:val="00F71DB5"/>
    <w:rsid w:val="00F72029"/>
    <w:rsid w:val="00F74268"/>
    <w:rsid w:val="00F757C6"/>
    <w:rsid w:val="00F76290"/>
    <w:rsid w:val="00F7704A"/>
    <w:rsid w:val="00F8091B"/>
    <w:rsid w:val="00F8133C"/>
    <w:rsid w:val="00F83A32"/>
    <w:rsid w:val="00F84D34"/>
    <w:rsid w:val="00F85641"/>
    <w:rsid w:val="00F870D0"/>
    <w:rsid w:val="00F872E2"/>
    <w:rsid w:val="00F90313"/>
    <w:rsid w:val="00F90463"/>
    <w:rsid w:val="00F9201F"/>
    <w:rsid w:val="00F92B3B"/>
    <w:rsid w:val="00F93B49"/>
    <w:rsid w:val="00F946D8"/>
    <w:rsid w:val="00F95A33"/>
    <w:rsid w:val="00FA0415"/>
    <w:rsid w:val="00FA36A3"/>
    <w:rsid w:val="00FA3CC0"/>
    <w:rsid w:val="00FA44A1"/>
    <w:rsid w:val="00FA4EA7"/>
    <w:rsid w:val="00FA75C8"/>
    <w:rsid w:val="00FA7748"/>
    <w:rsid w:val="00FB13A2"/>
    <w:rsid w:val="00FB2D77"/>
    <w:rsid w:val="00FB3745"/>
    <w:rsid w:val="00FB7FD9"/>
    <w:rsid w:val="00FC3645"/>
    <w:rsid w:val="00FC3E63"/>
    <w:rsid w:val="00FC42AE"/>
    <w:rsid w:val="00FC5CAE"/>
    <w:rsid w:val="00FC72A7"/>
    <w:rsid w:val="00FD11B6"/>
    <w:rsid w:val="00FD4069"/>
    <w:rsid w:val="00FD459B"/>
    <w:rsid w:val="00FD5587"/>
    <w:rsid w:val="00FE2123"/>
    <w:rsid w:val="00FE38FE"/>
    <w:rsid w:val="00FE4654"/>
    <w:rsid w:val="00FE50F8"/>
    <w:rsid w:val="00FE5886"/>
    <w:rsid w:val="00FF1617"/>
    <w:rsid w:val="00FF1883"/>
    <w:rsid w:val="00FF41C1"/>
    <w:rsid w:val="00FF4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CDE9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caption" w:semiHidden="1" w:uiPriority="35" w:unhideWhenUsed="1" w:qFormat="1"/>
    <w:lsdException w:name="footnote reference" w:uiPriority="99"/>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F4277"/>
    <w:rPr>
      <w:sz w:val="24"/>
      <w:szCs w:val="24"/>
    </w:rPr>
  </w:style>
  <w:style w:type="paragraph" w:styleId="Heading1">
    <w:name w:val="heading 1"/>
    <w:basedOn w:val="Normal"/>
    <w:next w:val="Normal"/>
    <w:link w:val="Heading1Char"/>
    <w:uiPriority w:val="9"/>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rsid w:val="00F13C40"/>
    <w:pPr>
      <w:keepNext/>
      <w:spacing w:before="240" w:after="60"/>
      <w:outlineLvl w:val="1"/>
    </w:pPr>
    <w:rPr>
      <w:rFonts w:asciiTheme="minorHAnsi" w:hAnsiTheme="minorHAnsi"/>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link w:val="SAHeadinglevel1Char"/>
    <w:qFormat/>
    <w:rsid w:val="00574707"/>
    <w:pPr>
      <w:spacing w:before="60" w:after="240"/>
    </w:pPr>
    <w:rPr>
      <w:rFonts w:ascii="Roboto" w:hAnsi="Roboto" w:cs="Arial"/>
      <w:color w:val="1B365D" w:themeColor="accent2"/>
      <w:sz w:val="48"/>
      <w:szCs w:val="40"/>
    </w:rPr>
  </w:style>
  <w:style w:type="paragraph" w:customStyle="1" w:styleId="SAHeadinglevel2">
    <w:name w:val="SA Heading level 2"/>
    <w:basedOn w:val="Heading2"/>
    <w:next w:val="SABodytext"/>
    <w:qFormat/>
    <w:rsid w:val="00574707"/>
    <w:pPr>
      <w:spacing w:before="120" w:after="120"/>
    </w:pPr>
    <w:rPr>
      <w:rFonts w:ascii="Roboto" w:hAnsi="Roboto" w:cs="Arial"/>
      <w:i w:val="0"/>
      <w:color w:val="1B365D" w:themeColor="accent2"/>
      <w:sz w:val="36"/>
    </w:rPr>
  </w:style>
  <w:style w:type="paragraph" w:customStyle="1" w:styleId="SAHeadinglevel3">
    <w:name w:val="SA Heading level 3"/>
    <w:basedOn w:val="Heading3"/>
    <w:next w:val="SABodytext"/>
    <w:qFormat/>
    <w:rsid w:val="00574707"/>
    <w:pPr>
      <w:spacing w:before="60" w:after="120"/>
    </w:pPr>
    <w:rPr>
      <w:rFonts w:ascii="Roboto" w:hAnsi="Roboto" w:cs="Arial"/>
      <w:sz w:val="28"/>
    </w:rPr>
  </w:style>
  <w:style w:type="paragraph" w:customStyle="1" w:styleId="SAHeadinglevel4">
    <w:name w:val="SA Heading level 4"/>
    <w:basedOn w:val="Heading4"/>
    <w:next w:val="SABodytext"/>
    <w:qFormat/>
    <w:rsid w:val="00CC6F45"/>
    <w:pPr>
      <w:spacing w:before="60" w:after="120"/>
    </w:pPr>
    <w:rPr>
      <w:rFonts w:ascii="Roboto" w:hAnsi="Roboto" w:cs="Arial"/>
      <w:b w:val="0"/>
      <w:sz w:val="24"/>
      <w:szCs w:val="22"/>
    </w:rPr>
  </w:style>
  <w:style w:type="paragraph" w:customStyle="1" w:styleId="SABodytext">
    <w:name w:val="SA Body text"/>
    <w:basedOn w:val="Normal"/>
    <w:link w:val="SABodytextChar"/>
    <w:qFormat/>
    <w:rsid w:val="00A25B0F"/>
    <w:pPr>
      <w:spacing w:before="120" w:after="240"/>
    </w:pPr>
    <w:rPr>
      <w:rFonts w:ascii="Roboto" w:hAnsi="Roboto" w:cs="Arial"/>
      <w:sz w:val="20"/>
      <w:szCs w:val="22"/>
    </w:rPr>
  </w:style>
  <w:style w:type="paragraph" w:customStyle="1" w:styleId="SABulletslevel2">
    <w:name w:val="SA Bullets level 2"/>
    <w:basedOn w:val="Normal"/>
    <w:qFormat/>
    <w:rsid w:val="00A25B0F"/>
    <w:pPr>
      <w:numPr>
        <w:numId w:val="2"/>
      </w:numPr>
      <w:spacing w:after="120"/>
    </w:pPr>
    <w:rPr>
      <w:rFonts w:ascii="Roboto" w:hAnsi="Roboto" w:cs="Arial"/>
      <w:sz w:val="20"/>
      <w:szCs w:val="22"/>
      <w:lang w:val="en-US" w:eastAsia="en-US"/>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BodyText"/>
    <w:next w:val="BlockText"/>
    <w:autoRedefine/>
    <w:uiPriority w:val="39"/>
    <w:rsid w:val="002469FA"/>
    <w:pPr>
      <w:tabs>
        <w:tab w:val="right" w:leader="dot" w:pos="9968"/>
      </w:tabs>
      <w:spacing w:before="240" w:after="240"/>
      <w:ind w:left="238"/>
    </w:pPr>
    <w:rPr>
      <w:rFonts w:ascii="Arial" w:hAnsi="Arial"/>
      <w:sz w:val="22"/>
    </w:rPr>
  </w:style>
  <w:style w:type="paragraph" w:styleId="TOC3">
    <w:name w:val="toc 3"/>
    <w:basedOn w:val="SABodytext"/>
    <w:next w:val="Normal"/>
    <w:autoRedefine/>
    <w:uiPriority w:val="39"/>
    <w:rsid w:val="002469FA"/>
    <w:pPr>
      <w:tabs>
        <w:tab w:val="right" w:leader="dot" w:pos="9968"/>
      </w:tabs>
      <w:spacing w:after="120"/>
      <w:ind w:left="482"/>
    </w:pPr>
  </w:style>
  <w:style w:type="character" w:styleId="Hyperlink">
    <w:name w:val="Hyperlink"/>
    <w:uiPriority w:val="99"/>
    <w:rsid w:val="00A20D7F"/>
    <w:rPr>
      <w:rFonts w:asciiTheme="minorHAnsi" w:hAnsiTheme="minorHAnsi"/>
      <w:color w:val="1B365D" w:themeColor="accent2"/>
      <w:u w:val="single"/>
    </w:rPr>
  </w:style>
  <w:style w:type="paragraph" w:customStyle="1" w:styleId="SANumberslevel1">
    <w:name w:val="SA Numbers level 1"/>
    <w:basedOn w:val="Normal"/>
    <w:qFormat/>
    <w:rsid w:val="00A25B0F"/>
    <w:pPr>
      <w:numPr>
        <w:numId w:val="3"/>
      </w:numPr>
      <w:spacing w:after="120"/>
      <w:ind w:left="357" w:hanging="357"/>
    </w:pPr>
    <w:rPr>
      <w:rFonts w:ascii="Roboto" w:hAnsi="Roboto" w:cs="Arial"/>
      <w:sz w:val="20"/>
      <w:szCs w:val="22"/>
    </w:rPr>
  </w:style>
  <w:style w:type="paragraph" w:customStyle="1" w:styleId="SANumberslevel2">
    <w:name w:val="SA Numbers level 2"/>
    <w:basedOn w:val="SANumberslevel1"/>
    <w:qFormat/>
    <w:rsid w:val="009409B2"/>
    <w:pPr>
      <w:numPr>
        <w:numId w:val="4"/>
      </w:numPr>
      <w:ind w:left="680" w:hanging="340"/>
    </w:pPr>
  </w:style>
  <w:style w:type="character" w:customStyle="1" w:styleId="Heading1Char">
    <w:name w:val="Heading 1 Char"/>
    <w:link w:val="Heading1"/>
    <w:uiPriority w:val="9"/>
    <w:rsid w:val="00C207C1"/>
    <w:rPr>
      <w:rFonts w:ascii="Cambria" w:hAnsi="Cambria"/>
      <w:b/>
      <w:bCs/>
      <w:kern w:val="32"/>
      <w:sz w:val="32"/>
      <w:szCs w:val="32"/>
    </w:rPr>
  </w:style>
  <w:style w:type="character" w:customStyle="1" w:styleId="Heading2Char">
    <w:name w:val="Heading 2 Char"/>
    <w:link w:val="Heading2"/>
    <w:rsid w:val="00F13C40"/>
    <w:rPr>
      <w:rFonts w:asciiTheme="minorHAnsi" w:hAnsiTheme="minorHAnsi"/>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
    <w:name w:val="SA Bullets level"/>
    <w:basedOn w:val="Normal"/>
    <w:qFormat/>
    <w:rsid w:val="00A25B0F"/>
    <w:pPr>
      <w:numPr>
        <w:numId w:val="1"/>
      </w:numPr>
      <w:spacing w:after="120"/>
    </w:pPr>
    <w:rPr>
      <w:rFonts w:ascii="Roboto" w:hAnsi="Roboto" w:cs="Arial"/>
      <w:sz w:val="20"/>
      <w:szCs w:val="22"/>
      <w:lang w:val="en-US" w:eastAsia="en-US"/>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color w:val="1B365D" w:themeColor="accent2"/>
      <w:kern w:val="0"/>
      <w:sz w:val="40"/>
      <w:lang w:val="en-US" w:eastAsia="en-US"/>
    </w:rPr>
  </w:style>
  <w:style w:type="character" w:customStyle="1" w:styleId="ListParagraphChar">
    <w:name w:val="List Paragraph Char"/>
    <w:aliases w:val="AR bullet 1 Char,List Paragraph1 Char,Number Paragraph Char,Recommendation Char,List Paragraph11 Char,Bulleted Para Char,CV text Char,Dot pt Char,F5 List Paragraph Char,FooterText Char,L Char,List Paragraph111 Char"/>
    <w:basedOn w:val="DefaultParagraphFont"/>
    <w:link w:val="ListParagraph"/>
    <w:uiPriority w:val="34"/>
    <w:qFormat/>
    <w:locked/>
    <w:rsid w:val="0015364A"/>
    <w:rPr>
      <w:rFonts w:ascii="Calibri" w:hAnsi="Calibri" w:cs="Calibri"/>
    </w:rPr>
  </w:style>
  <w:style w:type="paragraph" w:styleId="ListParagraph">
    <w:name w:val="List Paragraph"/>
    <w:aliases w:val="AR bullet 1,List Paragraph1,Number Paragraph,Recommendation,List Paragraph11,Bulleted Para,CV text,Dot pt,F5 List Paragraph,FooterText,L,List Paragraph111,List Paragraph2,Medium Grid 1 - Accent 21,NFP GP Bulleted List,Numbered Paragraph"/>
    <w:basedOn w:val="Normal"/>
    <w:link w:val="ListParagraphChar"/>
    <w:uiPriority w:val="34"/>
    <w:qFormat/>
    <w:rsid w:val="0015364A"/>
    <w:pPr>
      <w:ind w:left="720"/>
      <w:contextualSpacing/>
    </w:pPr>
    <w:rPr>
      <w:rFonts w:ascii="Calibri" w:hAnsi="Calibri" w:cs="Calibri"/>
      <w:sz w:val="20"/>
      <w:szCs w:val="20"/>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SAHeadinglevel1"/>
    <w:link w:val="BannerImageChar"/>
    <w:rsid w:val="009409B2"/>
    <w:pPr>
      <w:spacing w:line="360" w:lineRule="auto"/>
    </w:pPr>
    <w:rPr>
      <w:rFonts w:eastAsiaTheme="minorHAnsi"/>
      <w:noProof/>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Headinglevel1Char">
    <w:name w:val="SA Heading level 1 Char"/>
    <w:basedOn w:val="Heading1Char"/>
    <w:link w:val="SAHeadinglevel1"/>
    <w:rsid w:val="00574707"/>
    <w:rPr>
      <w:rFonts w:ascii="Roboto" w:hAnsi="Roboto" w:cs="Arial"/>
      <w:b/>
      <w:bCs/>
      <w:color w:val="1B365D" w:themeColor="accent2"/>
      <w:kern w:val="32"/>
      <w:sz w:val="48"/>
      <w:szCs w:val="40"/>
    </w:rPr>
  </w:style>
  <w:style w:type="character" w:customStyle="1" w:styleId="BannerImageChar">
    <w:name w:val="Banner Image Char"/>
    <w:basedOn w:val="SAHeadinglevel1Char"/>
    <w:link w:val="BannerImage"/>
    <w:rsid w:val="009409B2"/>
    <w:rPr>
      <w:rFonts w:ascii="Arial" w:eastAsiaTheme="minorHAnsi" w:hAnsi="Arial" w:cs="Arial"/>
      <w:b/>
      <w:bCs/>
      <w:caps w:val="0"/>
      <w:noProof/>
      <w:color w:val="1B365D" w:themeColor="accent2"/>
      <w:kern w:val="32"/>
      <w:sz w:val="40"/>
      <w:szCs w:val="40"/>
    </w:rPr>
  </w:style>
  <w:style w:type="paragraph" w:styleId="BodyText">
    <w:name w:val="Body Text"/>
    <w:basedOn w:val="Normal"/>
    <w:link w:val="BodyTextChar"/>
    <w:qFormat/>
    <w:rsid w:val="00966648"/>
    <w:pPr>
      <w:spacing w:after="120"/>
    </w:pPr>
    <w:rPr>
      <w:rFonts w:ascii="Roboto" w:hAnsi="Roboto"/>
      <w:sz w:val="20"/>
    </w:rPr>
  </w:style>
  <w:style w:type="character" w:customStyle="1" w:styleId="BodyTextChar">
    <w:name w:val="Body Text Char"/>
    <w:basedOn w:val="DefaultParagraphFont"/>
    <w:link w:val="BodyText"/>
    <w:rsid w:val="00966648"/>
    <w:rPr>
      <w:rFonts w:ascii="Roboto" w:hAnsi="Roboto"/>
      <w:szCs w:val="24"/>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paragraph" w:customStyle="1" w:styleId="SATitle">
    <w:name w:val="SA Title"/>
    <w:basedOn w:val="SABodytext"/>
    <w:qFormat/>
    <w:rsid w:val="007E5951"/>
    <w:pPr>
      <w:spacing w:before="1600"/>
    </w:pPr>
    <w:rPr>
      <w:b/>
      <w:color w:val="1B365D" w:themeColor="accent2"/>
      <w:sz w:val="72"/>
    </w:rPr>
  </w:style>
  <w:style w:type="paragraph" w:customStyle="1" w:styleId="SASubtitle">
    <w:name w:val="SA Subtitle"/>
    <w:basedOn w:val="SATitle"/>
    <w:qFormat/>
    <w:rsid w:val="007E5951"/>
    <w:pPr>
      <w:spacing w:before="240"/>
    </w:pPr>
    <w:rPr>
      <w:b w:val="0"/>
      <w:sz w:val="36"/>
    </w:rPr>
  </w:style>
  <w:style w:type="paragraph" w:customStyle="1" w:styleId="SADate">
    <w:name w:val="SA Date"/>
    <w:basedOn w:val="SASubtitle"/>
    <w:rsid w:val="00D37F9F"/>
    <w:pPr>
      <w:spacing w:before="360"/>
    </w:pPr>
    <w:rPr>
      <w:color w:val="auto"/>
      <w:sz w:val="20"/>
    </w:rPr>
  </w:style>
  <w:style w:type="table" w:customStyle="1" w:styleId="StandardTable-Grey">
    <w:name w:val="Standard Table - Grey"/>
    <w:basedOn w:val="ListTable5Dark-Accent4"/>
    <w:uiPriority w:val="99"/>
    <w:rsid w:val="004E3FA3"/>
    <w:rPr>
      <w:rFonts w:asciiTheme="minorHAnsi" w:eastAsiaTheme="minorEastAsia" w:hAnsiTheme="minorHAnsi" w:cstheme="minorBidi"/>
      <w:color w:val="000000" w:themeColor="text1"/>
      <w:sz w:val="22"/>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170" w:type="dxa"/>
        <w:left w:w="0" w:type="dxa"/>
        <w:bottom w:w="170" w:type="dxa"/>
        <w:right w:w="170" w:type="dxa"/>
      </w:tblCellMar>
    </w:tblPr>
    <w:tcPr>
      <w:shd w:val="clear" w:color="auto" w:fill="auto"/>
      <w:tcMar>
        <w:left w:w="170" w:type="dxa"/>
      </w:tcMar>
    </w:tcPr>
    <w:tblStylePr w:type="firstRow">
      <w:pPr>
        <w:wordWrap/>
        <w:spacing w:afterLines="0" w:after="0" w:afterAutospacing="0"/>
      </w:pPr>
      <w:rPr>
        <w:b/>
        <w:bCs/>
        <w:color w:val="FFFFFF" w:themeColor="background1"/>
      </w:rPr>
      <w:tblPr/>
      <w:tcPr>
        <w:tcBorders>
          <w:bottom w:val="single" w:sz="12" w:space="0" w:color="00B5E2" w:themeColor="accent1"/>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ADiv-Branchname">
    <w:name w:val="SA Div-Branch name"/>
    <w:basedOn w:val="SABodytext"/>
    <w:rsid w:val="00F129FF"/>
    <w:rPr>
      <w:caps/>
      <w:color w:val="FFFFFF" w:themeColor="background1"/>
    </w:rPr>
  </w:style>
  <w:style w:type="paragraph" w:customStyle="1" w:styleId="Introductory">
    <w:name w:val="Introductory"/>
    <w:basedOn w:val="Normal"/>
    <w:qFormat/>
    <w:rsid w:val="00574707"/>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asciiTheme="minorHAnsi" w:eastAsia="Roboto" w:hAnsiTheme="minorHAnsi" w:cs="Roboto"/>
      <w:sz w:val="28"/>
      <w:szCs w:val="28"/>
      <w:lang w:val="en-US" w:eastAsia="en-US"/>
    </w:rPr>
  </w:style>
  <w:style w:type="paragraph" w:customStyle="1" w:styleId="KeyInfo">
    <w:name w:val="Key Info"/>
    <w:basedOn w:val="Normal"/>
    <w:qFormat/>
    <w:rsid w:val="00574707"/>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asciiTheme="minorHAnsi" w:eastAsia="Roboto" w:hAnsiTheme="minorHAnsi" w:cs="Roboto"/>
      <w:sz w:val="20"/>
      <w:szCs w:val="20"/>
      <w:lang w:val="en-US" w:eastAsia="en-US"/>
    </w:rPr>
  </w:style>
  <w:style w:type="paragraph" w:customStyle="1" w:styleId="SATablebody">
    <w:name w:val="SA Table body"/>
    <w:link w:val="SATablebodyChar"/>
    <w:qFormat/>
    <w:rsid w:val="004429B4"/>
    <w:rPr>
      <w:rFonts w:ascii="Roboto" w:eastAsiaTheme="minorEastAsia" w:hAnsi="Roboto" w:cs="Arial"/>
      <w:color w:val="000000" w:themeColor="text1"/>
      <w:szCs w:val="22"/>
      <w:lang w:eastAsia="ko-KR"/>
    </w:rPr>
  </w:style>
  <w:style w:type="character" w:customStyle="1" w:styleId="SABodytextChar">
    <w:name w:val="SA Body text Char"/>
    <w:basedOn w:val="DefaultParagraphFont"/>
    <w:link w:val="SABodytext"/>
    <w:rsid w:val="004429B4"/>
    <w:rPr>
      <w:rFonts w:ascii="Roboto" w:hAnsi="Roboto" w:cs="Arial"/>
      <w:szCs w:val="22"/>
    </w:rPr>
  </w:style>
  <w:style w:type="character" w:customStyle="1" w:styleId="SATablebodyChar">
    <w:name w:val="SA Table body Char"/>
    <w:basedOn w:val="SABodytextChar"/>
    <w:link w:val="SATablebody"/>
    <w:rsid w:val="004429B4"/>
    <w:rPr>
      <w:rFonts w:ascii="Roboto" w:eastAsiaTheme="minorEastAsia" w:hAnsi="Roboto" w:cs="Arial"/>
      <w:color w:val="000000" w:themeColor="text1"/>
      <w:szCs w:val="22"/>
      <w:lang w:eastAsia="ko-KR"/>
    </w:rPr>
  </w:style>
  <w:style w:type="paragraph" w:customStyle="1" w:styleId="SATableHeading">
    <w:name w:val="SA Table Heading"/>
    <w:basedOn w:val="Normal"/>
    <w:link w:val="SATableHeadingChar"/>
    <w:qFormat/>
    <w:rsid w:val="004E3FA3"/>
    <w:rPr>
      <w:rFonts w:asciiTheme="minorHAnsi" w:eastAsiaTheme="minorEastAsia" w:hAnsiTheme="minorHAnsi" w:cstheme="minorBidi"/>
      <w:bCs/>
      <w:color w:val="FFFFFF" w:themeColor="background1"/>
      <w:lang w:eastAsia="ko-KR"/>
    </w:rPr>
  </w:style>
  <w:style w:type="character" w:customStyle="1" w:styleId="SATableHeadingChar">
    <w:name w:val="SA Table Heading Char"/>
    <w:basedOn w:val="DefaultParagraphFont"/>
    <w:link w:val="SATableHeading"/>
    <w:rsid w:val="004E3FA3"/>
    <w:rPr>
      <w:rFonts w:asciiTheme="minorHAnsi" w:eastAsiaTheme="minorEastAsia" w:hAnsiTheme="minorHAnsi" w:cstheme="minorBidi"/>
      <w:bCs/>
      <w:color w:val="FFFFFF" w:themeColor="background1"/>
      <w:sz w:val="24"/>
      <w:szCs w:val="24"/>
      <w:lang w:eastAsia="ko-KR"/>
    </w:rPr>
  </w:style>
  <w:style w:type="numbering" w:customStyle="1" w:styleId="Standard">
    <w:name w:val="Standard"/>
    <w:uiPriority w:val="99"/>
    <w:rsid w:val="00A03448"/>
    <w:pPr>
      <w:numPr>
        <w:numId w:val="5"/>
      </w:numPr>
    </w:pPr>
  </w:style>
  <w:style w:type="paragraph" w:styleId="FootnoteText">
    <w:name w:val="footnote text"/>
    <w:basedOn w:val="Normal"/>
    <w:link w:val="FootnoteTextChar"/>
    <w:uiPriority w:val="99"/>
    <w:unhideWhenUsed/>
    <w:rsid w:val="00A0344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03448"/>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A03448"/>
    <w:rPr>
      <w:vertAlign w:val="superscript"/>
    </w:rPr>
  </w:style>
  <w:style w:type="character" w:styleId="CommentReference">
    <w:name w:val="annotation reference"/>
    <w:basedOn w:val="DefaultParagraphFont"/>
    <w:unhideWhenUsed/>
    <w:rsid w:val="00A03448"/>
    <w:rPr>
      <w:sz w:val="16"/>
      <w:szCs w:val="16"/>
    </w:rPr>
  </w:style>
  <w:style w:type="paragraph" w:styleId="CommentText">
    <w:name w:val="annotation text"/>
    <w:basedOn w:val="Normal"/>
    <w:link w:val="CommentTextChar"/>
    <w:rsid w:val="00A03448"/>
    <w:rPr>
      <w:sz w:val="20"/>
      <w:szCs w:val="20"/>
    </w:rPr>
  </w:style>
  <w:style w:type="character" w:customStyle="1" w:styleId="CommentTextChar">
    <w:name w:val="Comment Text Char"/>
    <w:basedOn w:val="DefaultParagraphFont"/>
    <w:link w:val="CommentText"/>
    <w:rsid w:val="00A03448"/>
  </w:style>
  <w:style w:type="paragraph" w:customStyle="1" w:styleId="Footer-Grape">
    <w:name w:val="Footer - Grape"/>
    <w:basedOn w:val="Footer"/>
    <w:link w:val="Footer-GrapeChar"/>
    <w:uiPriority w:val="49"/>
    <w:semiHidden/>
    <w:qFormat/>
    <w:rsid w:val="00A03448"/>
    <w:pPr>
      <w:widowControl w:val="0"/>
      <w:numPr>
        <w:numId w:val="7"/>
      </w:numPr>
      <w:pBdr>
        <w:top w:val="single" w:sz="8" w:space="10" w:color="6F263D" w:themeColor="accent5"/>
      </w:pBdr>
      <w:tabs>
        <w:tab w:val="clear" w:pos="4153"/>
        <w:tab w:val="clear" w:pos="8306"/>
        <w:tab w:val="num" w:pos="360"/>
      </w:tabs>
      <w:autoSpaceDE w:val="0"/>
      <w:autoSpaceDN w:val="0"/>
      <w:spacing w:before="60" w:after="120"/>
      <w:ind w:left="244" w:hanging="244"/>
      <w:contextualSpacing/>
    </w:pPr>
    <w:rPr>
      <w:rFonts w:asciiTheme="minorHAnsi" w:eastAsia="Roboto" w:hAnsiTheme="minorHAnsi" w:cs="Roboto"/>
      <w:caps/>
      <w:noProof/>
      <w:sz w:val="20"/>
      <w:szCs w:val="22"/>
      <w:lang w:val="en-US" w:eastAsia="en-US"/>
    </w:rPr>
  </w:style>
  <w:style w:type="character" w:customStyle="1" w:styleId="Footer-GrapeChar">
    <w:name w:val="Footer - Grape Char"/>
    <w:basedOn w:val="DefaultParagraphFont"/>
    <w:link w:val="Footer-Grape"/>
    <w:uiPriority w:val="49"/>
    <w:semiHidden/>
    <w:rsid w:val="00A03448"/>
    <w:rPr>
      <w:rFonts w:asciiTheme="minorHAnsi" w:eastAsia="Roboto" w:hAnsiTheme="minorHAnsi" w:cs="Roboto"/>
      <w:caps/>
      <w:noProof/>
      <w:szCs w:val="22"/>
      <w:lang w:val="en-US" w:eastAsia="en-US"/>
    </w:rPr>
  </w:style>
  <w:style w:type="paragraph" w:customStyle="1" w:styleId="wordsection1">
    <w:name w:val="wordsection1"/>
    <w:basedOn w:val="Normal"/>
    <w:uiPriority w:val="99"/>
    <w:rsid w:val="00A03448"/>
    <w:rPr>
      <w:rFonts w:eastAsiaTheme="minorHAnsi"/>
    </w:rPr>
  </w:style>
  <w:style w:type="paragraph" w:styleId="CommentSubject">
    <w:name w:val="annotation subject"/>
    <w:basedOn w:val="CommentText"/>
    <w:next w:val="CommentText"/>
    <w:link w:val="CommentSubjectChar"/>
    <w:rsid w:val="00A03448"/>
    <w:rPr>
      <w:b/>
      <w:bCs/>
    </w:rPr>
  </w:style>
  <w:style w:type="character" w:customStyle="1" w:styleId="CommentSubjectChar">
    <w:name w:val="Comment Subject Char"/>
    <w:basedOn w:val="CommentTextChar"/>
    <w:link w:val="CommentSubject"/>
    <w:rsid w:val="00A03448"/>
    <w:rPr>
      <w:b/>
      <w:bCs/>
    </w:rPr>
  </w:style>
  <w:style w:type="paragraph" w:styleId="Caption">
    <w:name w:val="caption"/>
    <w:basedOn w:val="Normal"/>
    <w:next w:val="Normal"/>
    <w:uiPriority w:val="35"/>
    <w:unhideWhenUsed/>
    <w:qFormat/>
    <w:rsid w:val="00A03448"/>
    <w:pPr>
      <w:spacing w:after="200"/>
    </w:pPr>
    <w:rPr>
      <w:rFonts w:asciiTheme="minorHAnsi" w:eastAsiaTheme="minorHAnsi" w:hAnsiTheme="minorHAnsi" w:cstheme="minorBidi"/>
      <w:i/>
      <w:iCs/>
      <w:color w:val="75787B" w:themeColor="text2"/>
      <w:sz w:val="18"/>
      <w:szCs w:val="18"/>
      <w:lang w:eastAsia="en-US"/>
    </w:rPr>
  </w:style>
  <w:style w:type="paragraph" w:customStyle="1" w:styleId="BodyText1">
    <w:name w:val="Body Text 1"/>
    <w:uiPriority w:val="2"/>
    <w:qFormat/>
    <w:rsid w:val="00A03448"/>
    <w:pPr>
      <w:spacing w:before="120" w:after="120" w:line="252" w:lineRule="auto"/>
    </w:pPr>
    <w:rPr>
      <w:rFonts w:ascii="Arial" w:eastAsiaTheme="minorHAnsi" w:hAnsi="Arial" w:cstheme="minorBidi"/>
      <w:szCs w:val="22"/>
      <w:lang w:eastAsia="en-US"/>
    </w:rPr>
  </w:style>
  <w:style w:type="paragraph" w:customStyle="1" w:styleId="Bodybullet1">
    <w:name w:val="Body bullet 1"/>
    <w:uiPriority w:val="2"/>
    <w:qFormat/>
    <w:rsid w:val="00A03448"/>
    <w:pPr>
      <w:numPr>
        <w:numId w:val="14"/>
      </w:numPr>
      <w:spacing w:before="60" w:after="60"/>
    </w:pPr>
    <w:rPr>
      <w:rFonts w:ascii="Arial" w:eastAsiaTheme="minorHAnsi" w:hAnsi="Arial" w:cstheme="minorBidi"/>
      <w:szCs w:val="22"/>
      <w:lang w:eastAsia="en-US"/>
    </w:rPr>
  </w:style>
  <w:style w:type="table" w:customStyle="1" w:styleId="JLLTableSpace">
    <w:name w:val="JLL_Table Space"/>
    <w:basedOn w:val="TableNormal"/>
    <w:uiPriority w:val="99"/>
    <w:rsid w:val="00A03448"/>
    <w:rPr>
      <w:rFonts w:asciiTheme="minorHAnsi" w:eastAsiaTheme="minorHAnsi" w:hAnsiTheme="minorHAnsi" w:cstheme="minorBidi"/>
      <w:sz w:val="22"/>
      <w:szCs w:val="22"/>
      <w:lang w:val="en-GB" w:eastAsia="en-US"/>
    </w:rPr>
    <w:tblPr>
      <w:tblStyleRowBandSize w:val="1"/>
      <w:tblStyleColBandSize w:val="1"/>
      <w:tblBorders>
        <w:bottom w:val="single" w:sz="4" w:space="0" w:color="B6C0C2"/>
        <w:insideH w:val="single" w:sz="4" w:space="0" w:color="B6C0C2"/>
      </w:tblBorders>
    </w:tblPr>
    <w:tcPr>
      <w:shd w:val="clear" w:color="auto" w:fill="auto"/>
    </w:tcPr>
    <w:tblStylePr w:type="firstRow">
      <w:tblPr/>
      <w:tcPr>
        <w:tcBorders>
          <w:top w:val="nil"/>
          <w:left w:val="nil"/>
          <w:bottom w:val="nil"/>
          <w:right w:val="nil"/>
          <w:insideH w:val="nil"/>
          <w:insideV w:val="nil"/>
          <w:tl2br w:val="nil"/>
          <w:tr2bl w:val="nil"/>
        </w:tcBorders>
        <w:shd w:val="clear" w:color="auto" w:fill="003E51"/>
      </w:tcPr>
    </w:tblStylePr>
    <w:tblStylePr w:type="band2Horz">
      <w:tblPr/>
      <w:tcPr>
        <w:shd w:val="clear" w:color="auto" w:fill="EBF0F1"/>
      </w:tcPr>
    </w:tblStylePr>
  </w:style>
  <w:style w:type="paragraph" w:styleId="Revision">
    <w:name w:val="Revision"/>
    <w:hidden/>
    <w:uiPriority w:val="99"/>
    <w:semiHidden/>
    <w:rsid w:val="005766DA"/>
    <w:rPr>
      <w:sz w:val="24"/>
      <w:szCs w:val="24"/>
    </w:rPr>
  </w:style>
  <w:style w:type="paragraph" w:styleId="EndnoteText">
    <w:name w:val="endnote text"/>
    <w:basedOn w:val="Normal"/>
    <w:link w:val="EndnoteTextChar"/>
    <w:rsid w:val="005171B2"/>
    <w:rPr>
      <w:sz w:val="20"/>
      <w:szCs w:val="20"/>
    </w:rPr>
  </w:style>
  <w:style w:type="character" w:customStyle="1" w:styleId="EndnoteTextChar">
    <w:name w:val="Endnote Text Char"/>
    <w:basedOn w:val="DefaultParagraphFont"/>
    <w:link w:val="EndnoteText"/>
    <w:rsid w:val="005171B2"/>
  </w:style>
  <w:style w:type="character" w:styleId="EndnoteReference">
    <w:name w:val="endnote reference"/>
    <w:basedOn w:val="DefaultParagraphFont"/>
    <w:rsid w:val="005171B2"/>
    <w:rPr>
      <w:vertAlign w:val="superscript"/>
    </w:rPr>
  </w:style>
  <w:style w:type="table" w:styleId="ListTable3-Accent3">
    <w:name w:val="List Table 3 Accent 3"/>
    <w:basedOn w:val="TableNormal"/>
    <w:uiPriority w:val="48"/>
    <w:rsid w:val="007D234F"/>
    <w:tblPr>
      <w:tblStyleRowBandSize w:val="1"/>
      <w:tblStyleColBandSize w:val="1"/>
      <w:tblBorders>
        <w:top w:val="single" w:sz="4" w:space="0" w:color="FF8674" w:themeColor="accent3"/>
        <w:left w:val="single" w:sz="4" w:space="0" w:color="FF8674" w:themeColor="accent3"/>
        <w:bottom w:val="single" w:sz="4" w:space="0" w:color="FF8674" w:themeColor="accent3"/>
        <w:right w:val="single" w:sz="4" w:space="0" w:color="FF8674" w:themeColor="accent3"/>
      </w:tblBorders>
    </w:tblPr>
    <w:tblStylePr w:type="firstRow">
      <w:rPr>
        <w:b/>
        <w:bCs/>
        <w:color w:val="FFFFFF" w:themeColor="background1"/>
      </w:rPr>
      <w:tblPr/>
      <w:tcPr>
        <w:shd w:val="clear" w:color="auto" w:fill="FF8674" w:themeFill="accent3"/>
      </w:tcPr>
    </w:tblStylePr>
    <w:tblStylePr w:type="lastRow">
      <w:rPr>
        <w:b/>
        <w:bCs/>
      </w:rPr>
      <w:tblPr/>
      <w:tcPr>
        <w:tcBorders>
          <w:top w:val="double" w:sz="4" w:space="0" w:color="FF867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674" w:themeColor="accent3"/>
          <w:right w:val="single" w:sz="4" w:space="0" w:color="FF8674" w:themeColor="accent3"/>
        </w:tcBorders>
      </w:tcPr>
    </w:tblStylePr>
    <w:tblStylePr w:type="band1Horz">
      <w:tblPr/>
      <w:tcPr>
        <w:tcBorders>
          <w:top w:val="single" w:sz="4" w:space="0" w:color="FF8674" w:themeColor="accent3"/>
          <w:bottom w:val="single" w:sz="4" w:space="0" w:color="FF86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674" w:themeColor="accent3"/>
          <w:left w:val="nil"/>
        </w:tcBorders>
      </w:tcPr>
    </w:tblStylePr>
    <w:tblStylePr w:type="swCell">
      <w:tblPr/>
      <w:tcPr>
        <w:tcBorders>
          <w:top w:val="double" w:sz="4" w:space="0" w:color="FF8674" w:themeColor="accent3"/>
          <w:right w:val="nil"/>
        </w:tcBorders>
      </w:tcPr>
    </w:tblStylePr>
  </w:style>
  <w:style w:type="table" w:styleId="ListTable4-Accent3">
    <w:name w:val="List Table 4 Accent 3"/>
    <w:basedOn w:val="TableNormal"/>
    <w:uiPriority w:val="49"/>
    <w:rsid w:val="007D234F"/>
    <w:tblPr>
      <w:tblStyleRowBandSize w:val="1"/>
      <w:tblStyleColBandSize w:val="1"/>
      <w:tblBorders>
        <w:top w:val="single" w:sz="4" w:space="0" w:color="FFB6AB" w:themeColor="accent3" w:themeTint="99"/>
        <w:left w:val="single" w:sz="4" w:space="0" w:color="FFB6AB" w:themeColor="accent3" w:themeTint="99"/>
        <w:bottom w:val="single" w:sz="4" w:space="0" w:color="FFB6AB" w:themeColor="accent3" w:themeTint="99"/>
        <w:right w:val="single" w:sz="4" w:space="0" w:color="FFB6AB" w:themeColor="accent3" w:themeTint="99"/>
        <w:insideH w:val="single" w:sz="4" w:space="0" w:color="FFB6AB" w:themeColor="accent3" w:themeTint="99"/>
      </w:tblBorders>
    </w:tblPr>
    <w:tblStylePr w:type="firstRow">
      <w:rPr>
        <w:b/>
        <w:bCs/>
        <w:color w:val="FFFFFF" w:themeColor="background1"/>
      </w:rPr>
      <w:tblPr/>
      <w:tcPr>
        <w:tcBorders>
          <w:top w:val="single" w:sz="4" w:space="0" w:color="FF8674" w:themeColor="accent3"/>
          <w:left w:val="single" w:sz="4" w:space="0" w:color="FF8674" w:themeColor="accent3"/>
          <w:bottom w:val="single" w:sz="4" w:space="0" w:color="FF8674" w:themeColor="accent3"/>
          <w:right w:val="single" w:sz="4" w:space="0" w:color="FF8674" w:themeColor="accent3"/>
          <w:insideH w:val="nil"/>
        </w:tcBorders>
        <w:shd w:val="clear" w:color="auto" w:fill="FF8674" w:themeFill="accent3"/>
      </w:tcPr>
    </w:tblStylePr>
    <w:tblStylePr w:type="lastRow">
      <w:rPr>
        <w:b/>
        <w:bCs/>
      </w:rPr>
      <w:tblPr/>
      <w:tcPr>
        <w:tcBorders>
          <w:top w:val="double" w:sz="4" w:space="0" w:color="FFB6AB" w:themeColor="accent3" w:themeTint="99"/>
        </w:tcBorders>
      </w:tcPr>
    </w:tblStylePr>
    <w:tblStylePr w:type="firstCol">
      <w:rPr>
        <w:b/>
        <w:bCs/>
      </w:rPr>
    </w:tblStylePr>
    <w:tblStylePr w:type="lastCol">
      <w:rPr>
        <w:b/>
        <w:bCs/>
      </w:rPr>
    </w:tblStylePr>
    <w:tblStylePr w:type="band1Vert">
      <w:tblPr/>
      <w:tcPr>
        <w:shd w:val="clear" w:color="auto" w:fill="FFE6E3" w:themeFill="accent3" w:themeFillTint="33"/>
      </w:tcPr>
    </w:tblStylePr>
    <w:tblStylePr w:type="band1Horz">
      <w:tblPr/>
      <w:tcPr>
        <w:shd w:val="clear" w:color="auto" w:fill="FFE6E3" w:themeFill="accent3" w:themeFillTint="33"/>
      </w:tcPr>
    </w:tblStylePr>
  </w:style>
  <w:style w:type="character" w:customStyle="1" w:styleId="cf01">
    <w:name w:val="cf01"/>
    <w:basedOn w:val="DefaultParagraphFont"/>
    <w:rsid w:val="00E07341"/>
    <w:rPr>
      <w:rFonts w:ascii="Segoe UI" w:hAnsi="Segoe UI" w:cs="Segoe UI" w:hint="default"/>
      <w:sz w:val="18"/>
      <w:szCs w:val="18"/>
    </w:rPr>
  </w:style>
  <w:style w:type="character" w:customStyle="1" w:styleId="SAbodytextChar0">
    <w:name w:val="SA body text Char"/>
    <w:basedOn w:val="DefaultParagraphFont"/>
    <w:link w:val="SAbodytext0"/>
    <w:locked/>
    <w:rsid w:val="00BF6032"/>
  </w:style>
  <w:style w:type="paragraph" w:customStyle="1" w:styleId="SAbodytext0">
    <w:name w:val="SA body text"/>
    <w:basedOn w:val="Normal"/>
    <w:link w:val="SAbodytextChar0"/>
    <w:rsid w:val="00BF6032"/>
    <w:pPr>
      <w:spacing w:before="120" w:after="120"/>
    </w:pPr>
    <w:rPr>
      <w:sz w:val="20"/>
      <w:szCs w:val="20"/>
    </w:rPr>
  </w:style>
  <w:style w:type="character" w:customStyle="1" w:styleId="ui-provider">
    <w:name w:val="ui-provider"/>
    <w:basedOn w:val="DefaultParagraphFont"/>
    <w:rsid w:val="002D12F3"/>
  </w:style>
  <w:style w:type="character" w:customStyle="1" w:styleId="SARecomendationsListnumberslevel1Char">
    <w:name w:val="SA Recomendations List (numbers) level 1 Char"/>
    <w:basedOn w:val="DefaultParagraphFont"/>
    <w:link w:val="SARecomendationsListnumberslevel1"/>
    <w:locked/>
    <w:rsid w:val="00803087"/>
    <w:rPr>
      <w:rFonts w:ascii="Arial" w:hAnsi="Arial" w:cs="Arial"/>
    </w:rPr>
  </w:style>
  <w:style w:type="paragraph" w:customStyle="1" w:styleId="SARecomendationsListnumberslevel1">
    <w:name w:val="SA Recomendations List (numbers) level 1"/>
    <w:basedOn w:val="Normal"/>
    <w:link w:val="SARecomendationsListnumberslevel1Char"/>
    <w:rsid w:val="00803087"/>
    <w:pPr>
      <w:spacing w:before="60"/>
      <w:ind w:left="357" w:hanging="357"/>
    </w:pPr>
    <w:rPr>
      <w:rFonts w:ascii="Arial" w:hAnsi="Arial" w:cs="Arial"/>
      <w:sz w:val="20"/>
      <w:szCs w:val="20"/>
    </w:rPr>
  </w:style>
  <w:style w:type="paragraph" w:customStyle="1" w:styleId="SATableBodyText">
    <w:name w:val="SA Table Body Text"/>
    <w:basedOn w:val="Normal"/>
    <w:link w:val="SATableBodyTextChar"/>
    <w:autoRedefine/>
    <w:qFormat/>
    <w:rsid w:val="00863A87"/>
    <w:pPr>
      <w:tabs>
        <w:tab w:val="left" w:pos="720"/>
        <w:tab w:val="left" w:pos="1440"/>
        <w:tab w:val="left" w:pos="2160"/>
        <w:tab w:val="left" w:pos="2880"/>
        <w:tab w:val="left" w:pos="3600"/>
      </w:tabs>
      <w:spacing w:before="120" w:after="120"/>
    </w:pPr>
    <w:rPr>
      <w:rFonts w:asciiTheme="minorHAnsi" w:hAnsiTheme="minorHAnsi" w:cstheme="minorHAnsi"/>
      <w:sz w:val="22"/>
      <w:szCs w:val="22"/>
    </w:rPr>
  </w:style>
  <w:style w:type="character" w:customStyle="1" w:styleId="SATableBodyTextChar">
    <w:name w:val="SA Table Body Text Char"/>
    <w:basedOn w:val="DefaultParagraphFont"/>
    <w:link w:val="SATableBodyText"/>
    <w:rsid w:val="00863A87"/>
    <w:rPr>
      <w:rFonts w:asciiTheme="minorHAnsi" w:hAnsiTheme="minorHAnsi" w:cstheme="minorHAnsi"/>
      <w:sz w:val="22"/>
      <w:szCs w:val="22"/>
    </w:rPr>
  </w:style>
  <w:style w:type="paragraph" w:customStyle="1" w:styleId="SAnumberedbodytext">
    <w:name w:val="SA numbered body text"/>
    <w:basedOn w:val="SAbodytext0"/>
    <w:link w:val="SAnumberedbodytextChar"/>
    <w:autoRedefine/>
    <w:qFormat/>
    <w:rsid w:val="00863A87"/>
    <w:pPr>
      <w:ind w:left="1440"/>
    </w:pPr>
    <w:rPr>
      <w:rFonts w:asciiTheme="minorHAnsi" w:hAnsiTheme="minorHAnsi" w:cs="Arial"/>
      <w:sz w:val="22"/>
      <w:szCs w:val="22"/>
    </w:rPr>
  </w:style>
  <w:style w:type="character" w:customStyle="1" w:styleId="SAnumberedbodytextChar">
    <w:name w:val="SA numbered body text Char"/>
    <w:basedOn w:val="SAbodytextChar0"/>
    <w:link w:val="SAnumberedbodytext"/>
    <w:rsid w:val="00863A87"/>
    <w:rPr>
      <w:rFonts w:asciiTheme="minorHAnsi" w:hAnsiTheme="minorHAnsi" w:cs="Arial"/>
      <w:sz w:val="22"/>
      <w:szCs w:val="22"/>
    </w:rPr>
  </w:style>
  <w:style w:type="table" w:customStyle="1" w:styleId="TableGrid1">
    <w:name w:val="Table Grid1"/>
    <w:basedOn w:val="TableNormal"/>
    <w:next w:val="TableGrid"/>
    <w:rsid w:val="0071051D"/>
    <w:rPr>
      <w:rFonts w:ascii="Arial" w:eastAsia="Arial"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ervicesAustralia">
    <w:name w:val="Services Australia"/>
    <w:basedOn w:val="TableNormal"/>
    <w:uiPriority w:val="99"/>
    <w:rsid w:val="00413119"/>
    <w:rPr>
      <w:rFonts w:asciiTheme="minorHAnsi" w:eastAsiaTheme="minorEastAsia" w:hAnsiTheme="minorHAnsi" w:cstheme="minorBidi"/>
      <w:color w:val="000000" w:themeColor="text1"/>
      <w:szCs w:val="22"/>
      <w:lang w:eastAsia="ko-KR"/>
    </w:rPr>
    <w:tblPr>
      <w:tblBorders>
        <w:bottom w:val="single" w:sz="4" w:space="0" w:color="00B5E2" w:themeColor="accent1"/>
        <w:insideH w:val="single" w:sz="4" w:space="0" w:color="00B5E2" w:themeColor="accent1"/>
      </w:tblBorders>
      <w:tblCellMar>
        <w:top w:w="57" w:type="dxa"/>
        <w:left w:w="0" w:type="dxa"/>
        <w:bottom w:w="57" w:type="dxa"/>
        <w:right w:w="57" w:type="dxa"/>
      </w:tblCellMar>
    </w:tblPr>
    <w:tcPr>
      <w:shd w:val="clear" w:color="auto" w:fill="auto"/>
      <w:tcMar>
        <w:left w:w="170" w:type="dxa"/>
      </w:tcMar>
    </w:tcPr>
    <w:tblStylePr w:type="firstRow">
      <w:pPr>
        <w:wordWrap/>
        <w:spacing w:afterLines="0" w:after="0" w:afterAutospacing="0"/>
      </w:pPr>
      <w:rPr>
        <w:rFonts w:ascii="Roboto" w:hAnsi="Roboto"/>
        <w:b/>
        <w:bCs/>
        <w:i w:val="0"/>
        <w:color w:val="FFFFFF" w:themeColor="background1"/>
        <w:sz w:val="22"/>
      </w:rPr>
      <w:tblPr/>
      <w:trPr>
        <w:tblHeader/>
      </w:trPr>
      <w:tcPr>
        <w:tcBorders>
          <w:bottom w:val="single" w:sz="12" w:space="0" w:color="00B5E2" w:themeColor="accent1"/>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Roboto" w:hAnsi="Roboto"/>
        <w:b/>
        <w:bCs/>
        <w:i w:val="0"/>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178548744">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499541252">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44197808">
      <w:bodyDiv w:val="1"/>
      <w:marLeft w:val="0"/>
      <w:marRight w:val="0"/>
      <w:marTop w:val="0"/>
      <w:marBottom w:val="0"/>
      <w:divBdr>
        <w:top w:val="none" w:sz="0" w:space="0" w:color="auto"/>
        <w:left w:val="none" w:sz="0" w:space="0" w:color="auto"/>
        <w:bottom w:val="none" w:sz="0" w:space="0" w:color="auto"/>
        <w:right w:val="none" w:sz="0" w:space="0" w:color="auto"/>
      </w:divBdr>
      <w:divsChild>
        <w:div w:id="1605336684">
          <w:marLeft w:val="547"/>
          <w:marRight w:val="0"/>
          <w:marTop w:val="0"/>
          <w:marBottom w:val="0"/>
          <w:divBdr>
            <w:top w:val="none" w:sz="0" w:space="0" w:color="auto"/>
            <w:left w:val="none" w:sz="0" w:space="0" w:color="auto"/>
            <w:bottom w:val="none" w:sz="0" w:space="0" w:color="auto"/>
            <w:right w:val="none" w:sz="0" w:space="0" w:color="auto"/>
          </w:divBdr>
        </w:div>
        <w:div w:id="1321544867">
          <w:marLeft w:val="1166"/>
          <w:marRight w:val="0"/>
          <w:marTop w:val="0"/>
          <w:marBottom w:val="0"/>
          <w:divBdr>
            <w:top w:val="none" w:sz="0" w:space="0" w:color="auto"/>
            <w:left w:val="none" w:sz="0" w:space="0" w:color="auto"/>
            <w:bottom w:val="none" w:sz="0" w:space="0" w:color="auto"/>
            <w:right w:val="none" w:sz="0" w:space="0" w:color="auto"/>
          </w:divBdr>
        </w:div>
        <w:div w:id="2089185581">
          <w:marLeft w:val="1166"/>
          <w:marRight w:val="0"/>
          <w:marTop w:val="0"/>
          <w:marBottom w:val="0"/>
          <w:divBdr>
            <w:top w:val="none" w:sz="0" w:space="0" w:color="auto"/>
            <w:left w:val="none" w:sz="0" w:space="0" w:color="auto"/>
            <w:bottom w:val="none" w:sz="0" w:space="0" w:color="auto"/>
            <w:right w:val="none" w:sz="0" w:space="0" w:color="auto"/>
          </w:divBdr>
        </w:div>
        <w:div w:id="1840656497">
          <w:marLeft w:val="547"/>
          <w:marRight w:val="0"/>
          <w:marTop w:val="0"/>
          <w:marBottom w:val="0"/>
          <w:divBdr>
            <w:top w:val="none" w:sz="0" w:space="0" w:color="auto"/>
            <w:left w:val="none" w:sz="0" w:space="0" w:color="auto"/>
            <w:bottom w:val="none" w:sz="0" w:space="0" w:color="auto"/>
            <w:right w:val="none" w:sz="0" w:space="0" w:color="auto"/>
          </w:divBdr>
        </w:div>
        <w:div w:id="680007626">
          <w:marLeft w:val="1166"/>
          <w:marRight w:val="0"/>
          <w:marTop w:val="0"/>
          <w:marBottom w:val="0"/>
          <w:divBdr>
            <w:top w:val="none" w:sz="0" w:space="0" w:color="auto"/>
            <w:left w:val="none" w:sz="0" w:space="0" w:color="auto"/>
            <w:bottom w:val="none" w:sz="0" w:space="0" w:color="auto"/>
            <w:right w:val="none" w:sz="0" w:space="0" w:color="auto"/>
          </w:divBdr>
        </w:div>
        <w:div w:id="57553345">
          <w:marLeft w:val="1166"/>
          <w:marRight w:val="0"/>
          <w:marTop w:val="0"/>
          <w:marBottom w:val="0"/>
          <w:divBdr>
            <w:top w:val="none" w:sz="0" w:space="0" w:color="auto"/>
            <w:left w:val="none" w:sz="0" w:space="0" w:color="auto"/>
            <w:bottom w:val="none" w:sz="0" w:space="0" w:color="auto"/>
            <w:right w:val="none" w:sz="0" w:space="0" w:color="auto"/>
          </w:divBdr>
        </w:div>
        <w:div w:id="1866484003">
          <w:marLeft w:val="547"/>
          <w:marRight w:val="0"/>
          <w:marTop w:val="0"/>
          <w:marBottom w:val="0"/>
          <w:divBdr>
            <w:top w:val="none" w:sz="0" w:space="0" w:color="auto"/>
            <w:left w:val="none" w:sz="0" w:space="0" w:color="auto"/>
            <w:bottom w:val="none" w:sz="0" w:space="0" w:color="auto"/>
            <w:right w:val="none" w:sz="0" w:space="0" w:color="auto"/>
          </w:divBdr>
        </w:div>
        <w:div w:id="1420637931">
          <w:marLeft w:val="1166"/>
          <w:marRight w:val="0"/>
          <w:marTop w:val="0"/>
          <w:marBottom w:val="0"/>
          <w:divBdr>
            <w:top w:val="none" w:sz="0" w:space="0" w:color="auto"/>
            <w:left w:val="none" w:sz="0" w:space="0" w:color="auto"/>
            <w:bottom w:val="none" w:sz="0" w:space="0" w:color="auto"/>
            <w:right w:val="none" w:sz="0" w:space="0" w:color="auto"/>
          </w:divBdr>
        </w:div>
        <w:div w:id="1976183528">
          <w:marLeft w:val="1166"/>
          <w:marRight w:val="0"/>
          <w:marTop w:val="0"/>
          <w:marBottom w:val="0"/>
          <w:divBdr>
            <w:top w:val="none" w:sz="0" w:space="0" w:color="auto"/>
            <w:left w:val="none" w:sz="0" w:space="0" w:color="auto"/>
            <w:bottom w:val="none" w:sz="0" w:space="0" w:color="auto"/>
            <w:right w:val="none" w:sz="0" w:space="0" w:color="auto"/>
          </w:divBdr>
        </w:div>
        <w:div w:id="755638354">
          <w:marLeft w:val="547"/>
          <w:marRight w:val="0"/>
          <w:marTop w:val="0"/>
          <w:marBottom w:val="0"/>
          <w:divBdr>
            <w:top w:val="none" w:sz="0" w:space="0" w:color="auto"/>
            <w:left w:val="none" w:sz="0" w:space="0" w:color="auto"/>
            <w:bottom w:val="none" w:sz="0" w:space="0" w:color="auto"/>
            <w:right w:val="none" w:sz="0" w:space="0" w:color="auto"/>
          </w:divBdr>
        </w:div>
        <w:div w:id="1892766803">
          <w:marLeft w:val="547"/>
          <w:marRight w:val="0"/>
          <w:marTop w:val="0"/>
          <w:marBottom w:val="0"/>
          <w:divBdr>
            <w:top w:val="none" w:sz="0" w:space="0" w:color="auto"/>
            <w:left w:val="none" w:sz="0" w:space="0" w:color="auto"/>
            <w:bottom w:val="none" w:sz="0" w:space="0" w:color="auto"/>
            <w:right w:val="none" w:sz="0" w:space="0" w:color="auto"/>
          </w:divBdr>
        </w:div>
        <w:div w:id="590433291">
          <w:marLeft w:val="547"/>
          <w:marRight w:val="0"/>
          <w:marTop w:val="0"/>
          <w:marBottom w:val="0"/>
          <w:divBdr>
            <w:top w:val="none" w:sz="0" w:space="0" w:color="auto"/>
            <w:left w:val="none" w:sz="0" w:space="0" w:color="auto"/>
            <w:bottom w:val="none" w:sz="0" w:space="0" w:color="auto"/>
            <w:right w:val="none" w:sz="0" w:space="0" w:color="auto"/>
          </w:divBdr>
        </w:div>
        <w:div w:id="1430269535">
          <w:marLeft w:val="547"/>
          <w:marRight w:val="0"/>
          <w:marTop w:val="0"/>
          <w:marBottom w:val="0"/>
          <w:divBdr>
            <w:top w:val="none" w:sz="0" w:space="0" w:color="auto"/>
            <w:left w:val="none" w:sz="0" w:space="0" w:color="auto"/>
            <w:bottom w:val="none" w:sz="0" w:space="0" w:color="auto"/>
            <w:right w:val="none" w:sz="0" w:space="0" w:color="auto"/>
          </w:divBdr>
        </w:div>
        <w:div w:id="1312171010">
          <w:marLeft w:val="547"/>
          <w:marRight w:val="0"/>
          <w:marTop w:val="0"/>
          <w:marBottom w:val="0"/>
          <w:divBdr>
            <w:top w:val="none" w:sz="0" w:space="0" w:color="auto"/>
            <w:left w:val="none" w:sz="0" w:space="0" w:color="auto"/>
            <w:bottom w:val="none" w:sz="0" w:space="0" w:color="auto"/>
            <w:right w:val="none" w:sz="0" w:space="0" w:color="auto"/>
          </w:divBdr>
        </w:div>
        <w:div w:id="1165895178">
          <w:marLeft w:val="547"/>
          <w:marRight w:val="0"/>
          <w:marTop w:val="0"/>
          <w:marBottom w:val="0"/>
          <w:divBdr>
            <w:top w:val="none" w:sz="0" w:space="0" w:color="auto"/>
            <w:left w:val="none" w:sz="0" w:space="0" w:color="auto"/>
            <w:bottom w:val="none" w:sz="0" w:space="0" w:color="auto"/>
            <w:right w:val="none" w:sz="0" w:space="0" w:color="auto"/>
          </w:divBdr>
        </w:div>
        <w:div w:id="1288900334">
          <w:marLeft w:val="547"/>
          <w:marRight w:val="0"/>
          <w:marTop w:val="0"/>
          <w:marBottom w:val="0"/>
          <w:divBdr>
            <w:top w:val="none" w:sz="0" w:space="0" w:color="auto"/>
            <w:left w:val="none" w:sz="0" w:space="0" w:color="auto"/>
            <w:bottom w:val="none" w:sz="0" w:space="0" w:color="auto"/>
            <w:right w:val="none" w:sz="0" w:space="0" w:color="auto"/>
          </w:divBdr>
        </w:div>
        <w:div w:id="1810780601">
          <w:marLeft w:val="547"/>
          <w:marRight w:val="0"/>
          <w:marTop w:val="0"/>
          <w:marBottom w:val="0"/>
          <w:divBdr>
            <w:top w:val="none" w:sz="0" w:space="0" w:color="auto"/>
            <w:left w:val="none" w:sz="0" w:space="0" w:color="auto"/>
            <w:bottom w:val="none" w:sz="0" w:space="0" w:color="auto"/>
            <w:right w:val="none" w:sz="0" w:space="0" w:color="auto"/>
          </w:divBdr>
        </w:div>
      </w:divsChild>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44818107">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435132480">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66862610">
      <w:bodyDiv w:val="1"/>
      <w:marLeft w:val="0"/>
      <w:marRight w:val="0"/>
      <w:marTop w:val="0"/>
      <w:marBottom w:val="0"/>
      <w:divBdr>
        <w:top w:val="none" w:sz="0" w:space="0" w:color="auto"/>
        <w:left w:val="none" w:sz="0" w:space="0" w:color="auto"/>
        <w:bottom w:val="none" w:sz="0" w:space="0" w:color="auto"/>
        <w:right w:val="none" w:sz="0" w:space="0" w:color="auto"/>
      </w:divBdr>
      <w:divsChild>
        <w:div w:id="1016737794">
          <w:marLeft w:val="547"/>
          <w:marRight w:val="0"/>
          <w:marTop w:val="0"/>
          <w:marBottom w:val="0"/>
          <w:divBdr>
            <w:top w:val="none" w:sz="0" w:space="0" w:color="auto"/>
            <w:left w:val="none" w:sz="0" w:space="0" w:color="auto"/>
            <w:bottom w:val="none" w:sz="0" w:space="0" w:color="auto"/>
            <w:right w:val="none" w:sz="0" w:space="0" w:color="auto"/>
          </w:divBdr>
        </w:div>
        <w:div w:id="268204816">
          <w:marLeft w:val="1166"/>
          <w:marRight w:val="0"/>
          <w:marTop w:val="0"/>
          <w:marBottom w:val="0"/>
          <w:divBdr>
            <w:top w:val="none" w:sz="0" w:space="0" w:color="auto"/>
            <w:left w:val="none" w:sz="0" w:space="0" w:color="auto"/>
            <w:bottom w:val="none" w:sz="0" w:space="0" w:color="auto"/>
            <w:right w:val="none" w:sz="0" w:space="0" w:color="auto"/>
          </w:divBdr>
        </w:div>
        <w:div w:id="867570419">
          <w:marLeft w:val="1166"/>
          <w:marRight w:val="0"/>
          <w:marTop w:val="0"/>
          <w:marBottom w:val="0"/>
          <w:divBdr>
            <w:top w:val="none" w:sz="0" w:space="0" w:color="auto"/>
            <w:left w:val="none" w:sz="0" w:space="0" w:color="auto"/>
            <w:bottom w:val="none" w:sz="0" w:space="0" w:color="auto"/>
            <w:right w:val="none" w:sz="0" w:space="0" w:color="auto"/>
          </w:divBdr>
        </w:div>
        <w:div w:id="1450663167">
          <w:marLeft w:val="547"/>
          <w:marRight w:val="0"/>
          <w:marTop w:val="0"/>
          <w:marBottom w:val="0"/>
          <w:divBdr>
            <w:top w:val="none" w:sz="0" w:space="0" w:color="auto"/>
            <w:left w:val="none" w:sz="0" w:space="0" w:color="auto"/>
            <w:bottom w:val="none" w:sz="0" w:space="0" w:color="auto"/>
            <w:right w:val="none" w:sz="0" w:space="0" w:color="auto"/>
          </w:divBdr>
        </w:div>
        <w:div w:id="463036779">
          <w:marLeft w:val="1166"/>
          <w:marRight w:val="0"/>
          <w:marTop w:val="0"/>
          <w:marBottom w:val="0"/>
          <w:divBdr>
            <w:top w:val="none" w:sz="0" w:space="0" w:color="auto"/>
            <w:left w:val="none" w:sz="0" w:space="0" w:color="auto"/>
            <w:bottom w:val="none" w:sz="0" w:space="0" w:color="auto"/>
            <w:right w:val="none" w:sz="0" w:space="0" w:color="auto"/>
          </w:divBdr>
        </w:div>
        <w:div w:id="1559436034">
          <w:marLeft w:val="1166"/>
          <w:marRight w:val="0"/>
          <w:marTop w:val="0"/>
          <w:marBottom w:val="0"/>
          <w:divBdr>
            <w:top w:val="none" w:sz="0" w:space="0" w:color="auto"/>
            <w:left w:val="none" w:sz="0" w:space="0" w:color="auto"/>
            <w:bottom w:val="none" w:sz="0" w:space="0" w:color="auto"/>
            <w:right w:val="none" w:sz="0" w:space="0" w:color="auto"/>
          </w:divBdr>
        </w:div>
        <w:div w:id="860053040">
          <w:marLeft w:val="547"/>
          <w:marRight w:val="0"/>
          <w:marTop w:val="0"/>
          <w:marBottom w:val="0"/>
          <w:divBdr>
            <w:top w:val="none" w:sz="0" w:space="0" w:color="auto"/>
            <w:left w:val="none" w:sz="0" w:space="0" w:color="auto"/>
            <w:bottom w:val="none" w:sz="0" w:space="0" w:color="auto"/>
            <w:right w:val="none" w:sz="0" w:space="0" w:color="auto"/>
          </w:divBdr>
        </w:div>
        <w:div w:id="806750362">
          <w:marLeft w:val="1166"/>
          <w:marRight w:val="0"/>
          <w:marTop w:val="0"/>
          <w:marBottom w:val="0"/>
          <w:divBdr>
            <w:top w:val="none" w:sz="0" w:space="0" w:color="auto"/>
            <w:left w:val="none" w:sz="0" w:space="0" w:color="auto"/>
            <w:bottom w:val="none" w:sz="0" w:space="0" w:color="auto"/>
            <w:right w:val="none" w:sz="0" w:space="0" w:color="auto"/>
          </w:divBdr>
        </w:div>
        <w:div w:id="18708187">
          <w:marLeft w:val="1166"/>
          <w:marRight w:val="0"/>
          <w:marTop w:val="0"/>
          <w:marBottom w:val="0"/>
          <w:divBdr>
            <w:top w:val="none" w:sz="0" w:space="0" w:color="auto"/>
            <w:left w:val="none" w:sz="0" w:space="0" w:color="auto"/>
            <w:bottom w:val="none" w:sz="0" w:space="0" w:color="auto"/>
            <w:right w:val="none" w:sz="0" w:space="0" w:color="auto"/>
          </w:divBdr>
        </w:div>
        <w:div w:id="1336225825">
          <w:marLeft w:val="547"/>
          <w:marRight w:val="0"/>
          <w:marTop w:val="0"/>
          <w:marBottom w:val="0"/>
          <w:divBdr>
            <w:top w:val="none" w:sz="0" w:space="0" w:color="auto"/>
            <w:left w:val="none" w:sz="0" w:space="0" w:color="auto"/>
            <w:bottom w:val="none" w:sz="0" w:space="0" w:color="auto"/>
            <w:right w:val="none" w:sz="0" w:space="0" w:color="auto"/>
          </w:divBdr>
        </w:div>
        <w:div w:id="1986349428">
          <w:marLeft w:val="547"/>
          <w:marRight w:val="0"/>
          <w:marTop w:val="0"/>
          <w:marBottom w:val="0"/>
          <w:divBdr>
            <w:top w:val="none" w:sz="0" w:space="0" w:color="auto"/>
            <w:left w:val="none" w:sz="0" w:space="0" w:color="auto"/>
            <w:bottom w:val="none" w:sz="0" w:space="0" w:color="auto"/>
            <w:right w:val="none" w:sz="0" w:space="0" w:color="auto"/>
          </w:divBdr>
        </w:div>
        <w:div w:id="309796099">
          <w:marLeft w:val="547"/>
          <w:marRight w:val="0"/>
          <w:marTop w:val="0"/>
          <w:marBottom w:val="0"/>
          <w:divBdr>
            <w:top w:val="none" w:sz="0" w:space="0" w:color="auto"/>
            <w:left w:val="none" w:sz="0" w:space="0" w:color="auto"/>
            <w:bottom w:val="none" w:sz="0" w:space="0" w:color="auto"/>
            <w:right w:val="none" w:sz="0" w:space="0" w:color="auto"/>
          </w:divBdr>
        </w:div>
        <w:div w:id="410275756">
          <w:marLeft w:val="547"/>
          <w:marRight w:val="0"/>
          <w:marTop w:val="0"/>
          <w:marBottom w:val="0"/>
          <w:divBdr>
            <w:top w:val="none" w:sz="0" w:space="0" w:color="auto"/>
            <w:left w:val="none" w:sz="0" w:space="0" w:color="auto"/>
            <w:bottom w:val="none" w:sz="0" w:space="0" w:color="auto"/>
            <w:right w:val="none" w:sz="0" w:space="0" w:color="auto"/>
          </w:divBdr>
        </w:div>
        <w:div w:id="351342167">
          <w:marLeft w:val="547"/>
          <w:marRight w:val="0"/>
          <w:marTop w:val="0"/>
          <w:marBottom w:val="0"/>
          <w:divBdr>
            <w:top w:val="none" w:sz="0" w:space="0" w:color="auto"/>
            <w:left w:val="none" w:sz="0" w:space="0" w:color="auto"/>
            <w:bottom w:val="none" w:sz="0" w:space="0" w:color="auto"/>
            <w:right w:val="none" w:sz="0" w:space="0" w:color="auto"/>
          </w:divBdr>
        </w:div>
        <w:div w:id="182521739">
          <w:marLeft w:val="547"/>
          <w:marRight w:val="0"/>
          <w:marTop w:val="0"/>
          <w:marBottom w:val="0"/>
          <w:divBdr>
            <w:top w:val="none" w:sz="0" w:space="0" w:color="auto"/>
            <w:left w:val="none" w:sz="0" w:space="0" w:color="auto"/>
            <w:bottom w:val="none" w:sz="0" w:space="0" w:color="auto"/>
            <w:right w:val="none" w:sz="0" w:space="0" w:color="auto"/>
          </w:divBdr>
        </w:div>
        <w:div w:id="1190796019">
          <w:marLeft w:val="547"/>
          <w:marRight w:val="0"/>
          <w:marTop w:val="0"/>
          <w:marBottom w:val="0"/>
          <w:divBdr>
            <w:top w:val="none" w:sz="0" w:space="0" w:color="auto"/>
            <w:left w:val="none" w:sz="0" w:space="0" w:color="auto"/>
            <w:bottom w:val="none" w:sz="0" w:space="0" w:color="auto"/>
            <w:right w:val="none" w:sz="0" w:space="0" w:color="auto"/>
          </w:divBdr>
        </w:div>
        <w:div w:id="1552690719">
          <w:marLeft w:val="547"/>
          <w:marRight w:val="0"/>
          <w:marTop w:val="0"/>
          <w:marBottom w:val="0"/>
          <w:divBdr>
            <w:top w:val="none" w:sz="0" w:space="0" w:color="auto"/>
            <w:left w:val="none" w:sz="0" w:space="0" w:color="auto"/>
            <w:bottom w:val="none" w:sz="0" w:space="0" w:color="auto"/>
            <w:right w:val="none" w:sz="0" w:space="0" w:color="auto"/>
          </w:divBdr>
        </w:div>
      </w:divsChild>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785691019">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01.safelinks.protection.outlook.com/?url=https%3A%2F%2Fwww.finance.gov.au%2Fgovernment%2Fclimate-action-government-operations%2Faps-net-zero-emissions-2030&amp;data=05%7C02%7CAndrew.Dias%40servicesaustralia.gov.au%7C36d8ac6eabc64efb2af308dc5db4e5f0%7C627250e63e294861a084aad68ccfcccc%7C0%7C0%7C638488279075689429%7CUnknown%7CTWFpbGZsb3d8eyJWIjoiMC4wLjAwMDAiLCJQIjoiV2luMzIiLCJBTiI6Ik1haWwiLCJXVCI6Mn0%3D%7C0%7C%7C%7C&amp;sdata=wVrKanD3jpJiwMMfCNTXKiVOpSMzLbdbrxS0OKVfurw%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s01.safelinks.protection.outlook.com/?url=https%3A%2F%2Fwww.dcceew.gov.au%2Fclimate-change%2Fpolicy%2Fadaptation%2Fclimate-risk-opportunity-management-program&amp;data=05%7C02%7CAndrew.Dias%40servicesaustralia.gov.au%7C36d8ac6eabc64efb2af308dc5db4e5f0%7C627250e63e294861a084aad68ccfcccc%7C0%7C0%7C638488279075681796%7CUnknown%7CTWFpbGZsb3d8eyJWIjoiMC4wLjAwMDAiLCJQIjoiV2luMzIiLCJBTiI6Ik1haWwiLCJXVCI6Mn0%3D%7C0%7C%7C%7C&amp;sdata=BpWGdpvJROxkgmILtXwqSapzqag1%2F4RrdDDGljaY9KI%3D&amp;reserved=0"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5bb417cbbe9f440821b6534fa33701c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3d3939f8b501a5bedad1435f070ec37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51aaf75-930a-414f-a991-bc765086d780">
      <UserInfo>
        <DisplayName/>
        <AccountId xsi:nil="true"/>
        <AccountType/>
      </UserInfo>
    </SharedWithUsers>
    <lcf76f155ced4ddcb4097134ff3c332f xmlns="33c1b9cb-fd43-40b1-9848-dc2637201129">
      <Terms xmlns="http://schemas.microsoft.com/office/infopath/2007/PartnerControls"/>
    </lcf76f155ced4ddcb4097134ff3c332f>
    <TaxCatchAll xmlns="c51aaf75-930a-414f-a991-bc765086d780" xsi:nil="true"/>
  </documentManagement>
</p:properties>
</file>

<file path=customXml/itemProps1.xml><?xml version="1.0" encoding="utf-8"?>
<ds:datastoreItem xmlns:ds="http://schemas.openxmlformats.org/officeDocument/2006/customXml" ds:itemID="{1FEDF3CD-8FE3-4610-9436-D26DD80796B3}"/>
</file>

<file path=customXml/itemProps2.xml><?xml version="1.0" encoding="utf-8"?>
<ds:datastoreItem xmlns:ds="http://schemas.openxmlformats.org/officeDocument/2006/customXml" ds:itemID="{6EE8F84B-F906-4DF5-B2F0-4BE1D874115F}"/>
</file>

<file path=customXml/itemProps3.xml><?xml version="1.0" encoding="utf-8"?>
<ds:datastoreItem xmlns:ds="http://schemas.openxmlformats.org/officeDocument/2006/customXml" ds:itemID="{6A24AF3E-315D-45B0-BBEE-7CE2729B5373}"/>
</file>

<file path=docProps/app.xml><?xml version="1.0" encoding="utf-8"?>
<Properties xmlns="http://schemas.openxmlformats.org/officeDocument/2006/extended-properties" xmlns:vt="http://schemas.openxmlformats.org/officeDocument/2006/docPropsVTypes">
  <Template>Normal.dotm</Template>
  <TotalTime>0</TotalTime>
  <Pages>22</Pages>
  <Words>6147</Words>
  <Characters>38984</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net zero action plan</dc:title>
  <dc:subject/>
  <dc:creator>Services Australia</dc:creator>
  <cp:keywords/>
  <dc:description/>
  <cp:lastModifiedBy/>
  <cp:revision>1</cp:revision>
  <dcterms:created xsi:type="dcterms:W3CDTF">2026-01-12T23:16:00Z</dcterms:created>
  <dcterms:modified xsi:type="dcterms:W3CDTF">2026-01-12T23:16:00Z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4687800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0x010100F60F1586F27FAD45A7CD4E7DF44CDD0E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docLang">
    <vt:lpwstr>en</vt:lpwstr>
  </property>
  <property fmtid="{D5CDD505-2E9C-101B-9397-08002B2CF9AE}" pid="10" name="xd_Signature">
    <vt:bool>false</vt:bool>
  </property>
  <property fmtid="{D5CDD505-2E9C-101B-9397-08002B2CF9AE}" pid="11" name="TriggerFlowInfo">
    <vt:lpwstr/>
  </property>
</Properties>
</file>