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82D2" w14:textId="77777777" w:rsidR="00CA5987" w:rsidRDefault="00CA5987" w:rsidP="00CA5987">
      <w:pPr>
        <w:pStyle w:val="Heading1"/>
      </w:pPr>
      <w:r w:rsidRPr="00CA5987">
        <w:t>Disaster Recovery Allowance</w:t>
      </w:r>
    </w:p>
    <w:p w14:paraId="56B80792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Disaster Recovery Allowance (DRA) is financial support if you’ve lost income as a direct result of a declared disaster.</w:t>
      </w:r>
    </w:p>
    <w:p w14:paraId="6D074B1F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You can get it for a maximum of 13 weeks, starting from the date you began losing income as a direct result of the disaster. </w:t>
      </w:r>
    </w:p>
    <w:p w14:paraId="4BD9D15B" w14:textId="77777777" w:rsidR="00CA5987" w:rsidRPr="00CA5987" w:rsidRDefault="00CA5987" w:rsidP="00C76D0F">
      <w:pPr>
        <w:pStyle w:val="Heading2"/>
        <w:rPr>
          <w:lang w:val="en-US"/>
        </w:rPr>
      </w:pPr>
      <w:r w:rsidRPr="00CA5987">
        <w:rPr>
          <w:lang w:val="en-US"/>
        </w:rPr>
        <w:t>Who can get it</w:t>
      </w:r>
    </w:p>
    <w:p w14:paraId="7E417BE0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To get DRA you must meet </w:t>
      </w:r>
      <w:proofErr w:type="gramStart"/>
      <w:r w:rsidRPr="00CA5987">
        <w:rPr>
          <w:lang w:val="en-US"/>
        </w:rPr>
        <w:t>all of</w:t>
      </w:r>
      <w:proofErr w:type="gramEnd"/>
      <w:r w:rsidRPr="00CA5987">
        <w:rPr>
          <w:lang w:val="en-US"/>
        </w:rPr>
        <w:t xml:space="preserve"> the following. </w:t>
      </w:r>
      <w:proofErr w:type="gramStart"/>
      <w:r w:rsidRPr="00CA5987">
        <w:rPr>
          <w:lang w:val="en-US"/>
        </w:rPr>
        <w:t>You</w:t>
      </w:r>
      <w:proofErr w:type="gramEnd"/>
      <w:r w:rsidRPr="00CA5987">
        <w:rPr>
          <w:lang w:val="en-US"/>
        </w:rPr>
        <w:t>:</w:t>
      </w:r>
    </w:p>
    <w:p w14:paraId="313A4F31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 xml:space="preserve">lost some or </w:t>
      </w:r>
      <w:proofErr w:type="gramStart"/>
      <w:r w:rsidRPr="00CA5987">
        <w:rPr>
          <w:lang w:val="en-US"/>
        </w:rPr>
        <w:t>all of</w:t>
      </w:r>
      <w:proofErr w:type="gramEnd"/>
      <w:r w:rsidRPr="00CA5987">
        <w:rPr>
          <w:lang w:val="en-US"/>
        </w:rPr>
        <w:t xml:space="preserve"> your income as a direct result of the declared disaster</w:t>
      </w:r>
    </w:p>
    <w:p w14:paraId="24FCC65F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earn less than the average Australian weekly income after this income loss</w:t>
      </w:r>
    </w:p>
    <w:p w14:paraId="1052ED80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work or live in a declared area</w:t>
      </w:r>
    </w:p>
    <w:p w14:paraId="586E09CF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were 16 years or older at the time of the disaster</w:t>
      </w:r>
    </w:p>
    <w:p w14:paraId="107B40E4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are an Australian resident or meet other residence rules.</w:t>
      </w:r>
    </w:p>
    <w:p w14:paraId="63751383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You don’t need to have lost all your income to be eligible for this payment. You can get DRA for a maximum period of 13 weeks, for each week your income is below the average weekly income.</w:t>
      </w:r>
    </w:p>
    <w:p w14:paraId="1D7A7AA2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We use Australian Bureau of Statistics figures to tell us what the average Australian weekly income is.</w:t>
      </w:r>
    </w:p>
    <w:p w14:paraId="7EBF5DDB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You can’t get DRA and some other payments at the same time.</w:t>
      </w:r>
    </w:p>
    <w:p w14:paraId="0E80A5EE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If you’re a member of a couple you can both claim this payment. You and your partner must make separate claims.</w:t>
      </w:r>
    </w:p>
    <w:p w14:paraId="786A493D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There are other rules you must meet if you’re aged between 16 and 21 years.</w:t>
      </w:r>
    </w:p>
    <w:p w14:paraId="2088A8B1" w14:textId="77777777" w:rsidR="00CA5987" w:rsidRPr="00CA5987" w:rsidRDefault="00CA5987" w:rsidP="00CA5987">
      <w:pPr>
        <w:pStyle w:val="BodyText"/>
        <w:rPr>
          <w:b/>
          <w:bCs/>
          <w:lang w:val="en-US"/>
        </w:rPr>
      </w:pPr>
      <w:r w:rsidRPr="00CA5987">
        <w:rPr>
          <w:lang w:val="en-US"/>
        </w:rPr>
        <w:t xml:space="preserve">To check declared areas and for more information, go to </w:t>
      </w:r>
      <w:hyperlink r:id="rId7" w:history="1">
        <w:r w:rsidRPr="00CA5987">
          <w:rPr>
            <w:b/>
            <w:bCs/>
            <w:lang w:val="en-US"/>
          </w:rPr>
          <w:t>servicesaustralia.gov.au/</w:t>
        </w:r>
        <w:proofErr w:type="spellStart"/>
        <w:r w:rsidRPr="00CA5987">
          <w:rPr>
            <w:b/>
            <w:bCs/>
            <w:lang w:val="en-US"/>
          </w:rPr>
          <w:t>disastersupport</w:t>
        </w:r>
        <w:proofErr w:type="spellEnd"/>
      </w:hyperlink>
    </w:p>
    <w:p w14:paraId="35BC47C6" w14:textId="77777777" w:rsidR="00CA5987" w:rsidRPr="00CA5987" w:rsidRDefault="00CA5987" w:rsidP="00C76D0F">
      <w:pPr>
        <w:pStyle w:val="Heading3"/>
        <w:rPr>
          <w:lang w:val="en-US"/>
        </w:rPr>
      </w:pPr>
      <w:r w:rsidRPr="00CA5987">
        <w:rPr>
          <w:lang w:val="en-US"/>
        </w:rPr>
        <w:t>How much you can get</w:t>
      </w:r>
    </w:p>
    <w:p w14:paraId="131A369F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If you’re eligible, you’ll get the maximum equivalent rate of </w:t>
      </w:r>
      <w:proofErr w:type="spellStart"/>
      <w:r w:rsidRPr="00CA5987">
        <w:rPr>
          <w:lang w:val="en-US"/>
        </w:rPr>
        <w:t>JobSeeker</w:t>
      </w:r>
      <w:proofErr w:type="spellEnd"/>
      <w:r w:rsidRPr="00CA5987">
        <w:rPr>
          <w:lang w:val="en-US"/>
        </w:rPr>
        <w:t xml:space="preserve"> Payment or Youth Allowance, depending on your personal circumstances.</w:t>
      </w:r>
    </w:p>
    <w:p w14:paraId="6FAE345F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We’ll reduce your payment to zero if your income is the same or more than the average weekly income.</w:t>
      </w:r>
    </w:p>
    <w:p w14:paraId="091C0CB6" w14:textId="77777777" w:rsidR="00CA5987" w:rsidRPr="00CA5987" w:rsidRDefault="00CA5987" w:rsidP="00C76D0F">
      <w:pPr>
        <w:pStyle w:val="Heading2"/>
        <w:rPr>
          <w:lang w:val="en-US"/>
        </w:rPr>
      </w:pPr>
      <w:r w:rsidRPr="00CA5987">
        <w:rPr>
          <w:lang w:val="en-US"/>
        </w:rPr>
        <w:t>Evidence you need to provide</w:t>
      </w:r>
    </w:p>
    <w:p w14:paraId="142060AF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We will ask you to give us evidence of your loss of income.</w:t>
      </w:r>
    </w:p>
    <w:p w14:paraId="3929E6C0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Evidence can include any of the following:</w:t>
      </w:r>
    </w:p>
    <w:p w14:paraId="1786310A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pay slips from your employer</w:t>
      </w:r>
    </w:p>
    <w:p w14:paraId="12140595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a letter from your employer.</w:t>
      </w:r>
    </w:p>
    <w:p w14:paraId="2526DA68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If you’re a farmer, have a small business or you’re involved in a trust or partnership where you get wages, evidence can also include any of the following:</w:t>
      </w:r>
    </w:p>
    <w:p w14:paraId="5E9580E0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profit and loss statements</w:t>
      </w:r>
    </w:p>
    <w:p w14:paraId="287DFAF3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income tax returns</w:t>
      </w:r>
    </w:p>
    <w:p w14:paraId="0411137F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lastRenderedPageBreak/>
        <w:t>other documents that show cash flow, such as a bank statement for your business</w:t>
      </w:r>
    </w:p>
    <w:p w14:paraId="1E25B319" w14:textId="77777777" w:rsidR="00CA5987" w:rsidRPr="00CA5987" w:rsidRDefault="00CA5987" w:rsidP="00C76D0F">
      <w:pPr>
        <w:pStyle w:val="ListBullet"/>
        <w:rPr>
          <w:lang w:val="en-US"/>
        </w:rPr>
      </w:pPr>
      <w:r w:rsidRPr="00CA5987">
        <w:rPr>
          <w:lang w:val="en-US"/>
        </w:rPr>
        <w:t>trust or partnership tax returns that show you have been paid a wage or salary.</w:t>
      </w:r>
    </w:p>
    <w:p w14:paraId="27549642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If you don’t have evidence, you can still submit your claim and call us on </w:t>
      </w:r>
      <w:r w:rsidRPr="00CA5987">
        <w:rPr>
          <w:b/>
          <w:bCs/>
          <w:lang w:val="en-US"/>
        </w:rPr>
        <w:t>180 22 66</w:t>
      </w:r>
      <w:r w:rsidRPr="00CA5987">
        <w:rPr>
          <w:lang w:val="en-US"/>
        </w:rPr>
        <w:t xml:space="preserve"> to discuss your options.</w:t>
      </w:r>
    </w:p>
    <w:p w14:paraId="73152316" w14:textId="77777777" w:rsidR="00CA5987" w:rsidRPr="00CA5987" w:rsidRDefault="00CA5987" w:rsidP="00C76D0F">
      <w:pPr>
        <w:pStyle w:val="Heading3"/>
        <w:rPr>
          <w:lang w:val="en-US"/>
        </w:rPr>
      </w:pPr>
      <w:r w:rsidRPr="00CA5987">
        <w:rPr>
          <w:lang w:val="en-US"/>
        </w:rPr>
        <w:t>How to claim</w:t>
      </w:r>
    </w:p>
    <w:p w14:paraId="0CEFFD47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The fastest way to claim is online through </w:t>
      </w:r>
      <w:proofErr w:type="spellStart"/>
      <w:r w:rsidRPr="00CA5987">
        <w:rPr>
          <w:lang w:val="en-US"/>
        </w:rPr>
        <w:t>myGov</w:t>
      </w:r>
      <w:proofErr w:type="spellEnd"/>
      <w:r w:rsidRPr="00CA5987">
        <w:rPr>
          <w:lang w:val="en-US"/>
        </w:rPr>
        <w:t xml:space="preserve">. </w:t>
      </w:r>
    </w:p>
    <w:p w14:paraId="6DD4510D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For more information, go to </w:t>
      </w:r>
      <w:hyperlink r:id="rId8" w:history="1">
        <w:r w:rsidRPr="00CA5987">
          <w:rPr>
            <w:b/>
            <w:bCs/>
            <w:lang w:val="en-US"/>
          </w:rPr>
          <w:t>servicesaustralia.gov.au/</w:t>
        </w:r>
        <w:proofErr w:type="spellStart"/>
        <w:r w:rsidRPr="00CA5987">
          <w:rPr>
            <w:b/>
            <w:bCs/>
            <w:lang w:val="en-US"/>
          </w:rPr>
          <w:t>disastersupport</w:t>
        </w:r>
        <w:proofErr w:type="spellEnd"/>
      </w:hyperlink>
    </w:p>
    <w:p w14:paraId="05364BC6" w14:textId="77777777" w:rsidR="00CA5987" w:rsidRPr="00CA5987" w:rsidRDefault="00CA5987" w:rsidP="00C76D0F">
      <w:pPr>
        <w:pStyle w:val="Heading3"/>
        <w:rPr>
          <w:lang w:val="en-US"/>
        </w:rPr>
      </w:pPr>
      <w:r w:rsidRPr="00CA5987">
        <w:rPr>
          <w:lang w:val="en-US"/>
        </w:rPr>
        <w:t>Help for you</w:t>
      </w:r>
    </w:p>
    <w:p w14:paraId="0F059BB6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>A disaster can have a physical and emotional impact on you and your family.</w:t>
      </w:r>
    </w:p>
    <w:p w14:paraId="6533521B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For additional help, go to </w:t>
      </w:r>
      <w:hyperlink r:id="rId9" w:history="1">
        <w:r w:rsidRPr="00CA5987">
          <w:rPr>
            <w:b/>
            <w:bCs/>
            <w:lang w:val="en-US"/>
          </w:rPr>
          <w:t>servicesaustralia.gov.au/</w:t>
        </w:r>
        <w:proofErr w:type="spellStart"/>
        <w:r w:rsidRPr="00CA5987">
          <w:rPr>
            <w:b/>
            <w:bCs/>
            <w:lang w:val="en-US"/>
          </w:rPr>
          <w:t>disasterhelp</w:t>
        </w:r>
        <w:proofErr w:type="spellEnd"/>
      </w:hyperlink>
    </w:p>
    <w:p w14:paraId="7CE1D076" w14:textId="77777777" w:rsidR="00CA5987" w:rsidRPr="00CA5987" w:rsidRDefault="00CA5987" w:rsidP="00C76D0F">
      <w:pPr>
        <w:pStyle w:val="Heading3"/>
        <w:rPr>
          <w:lang w:val="en-US"/>
        </w:rPr>
      </w:pPr>
      <w:r w:rsidRPr="00CA5987">
        <w:rPr>
          <w:lang w:val="en-US"/>
        </w:rPr>
        <w:t>How to manage your payment</w:t>
      </w:r>
    </w:p>
    <w:p w14:paraId="7E074C54" w14:textId="77777777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If you get </w:t>
      </w:r>
      <w:proofErr w:type="gramStart"/>
      <w:r w:rsidRPr="00CA5987">
        <w:rPr>
          <w:lang w:val="en-US"/>
        </w:rPr>
        <w:t>DRA</w:t>
      </w:r>
      <w:proofErr w:type="gramEnd"/>
      <w:r w:rsidRPr="00CA5987">
        <w:rPr>
          <w:lang w:val="en-US"/>
        </w:rPr>
        <w:t xml:space="preserve"> you’ll need to report changes in your circumstances. This includes if you earn more than or the same as the average Australian weekly income while you get DRA.</w:t>
      </w:r>
    </w:p>
    <w:p w14:paraId="79083051" w14:textId="2290133E" w:rsidR="00CA5987" w:rsidRPr="00CA5987" w:rsidRDefault="00CA5987" w:rsidP="00CA5987">
      <w:pPr>
        <w:pStyle w:val="BodyText"/>
        <w:rPr>
          <w:lang w:val="en-US"/>
        </w:rPr>
      </w:pPr>
      <w:r w:rsidRPr="00CA5987">
        <w:rPr>
          <w:lang w:val="en-US"/>
        </w:rPr>
        <w:t xml:space="preserve"> Contact us on </w:t>
      </w:r>
      <w:r w:rsidRPr="00CA5987">
        <w:rPr>
          <w:b/>
          <w:bCs/>
          <w:lang w:val="en-US"/>
        </w:rPr>
        <w:t>180 22 66</w:t>
      </w:r>
      <w:r w:rsidRPr="00CA5987">
        <w:rPr>
          <w:lang w:val="en-US"/>
        </w:rPr>
        <w:t xml:space="preserve"> to report changes.</w:t>
      </w:r>
    </w:p>
    <w:p w14:paraId="4A3292BB" w14:textId="77777777" w:rsidR="00CA5987" w:rsidRPr="00CA5987" w:rsidRDefault="00CA5987" w:rsidP="00C76D0F">
      <w:pPr>
        <w:pStyle w:val="Heading3"/>
        <w:rPr>
          <w:lang w:val="en-US"/>
        </w:rPr>
      </w:pPr>
      <w:r w:rsidRPr="00CA5987">
        <w:rPr>
          <w:lang w:val="en-US"/>
        </w:rPr>
        <w:t>For more information</w:t>
      </w:r>
    </w:p>
    <w:p w14:paraId="550B2D35" w14:textId="3B690311" w:rsidR="00CA5987" w:rsidRPr="00C76D0F" w:rsidRDefault="00CA5987" w:rsidP="00B87C17">
      <w:pPr>
        <w:pStyle w:val="BodyText"/>
        <w:rPr>
          <w:b/>
          <w:bCs/>
          <w:lang w:val="en-US"/>
        </w:rPr>
      </w:pPr>
      <w:r w:rsidRPr="00CA5987">
        <w:rPr>
          <w:lang w:val="en-US"/>
        </w:rPr>
        <w:t xml:space="preserve">Scan the QR code or go to </w:t>
      </w:r>
      <w:hyperlink r:id="rId10" w:history="1">
        <w:r w:rsidRPr="00CA5987">
          <w:rPr>
            <w:b/>
            <w:bCs/>
            <w:lang w:val="en-US"/>
          </w:rPr>
          <w:t>servicesaustralia.gov.au/disaster</w:t>
        </w:r>
      </w:hyperlink>
    </w:p>
    <w:p w14:paraId="52CC6F3E" w14:textId="10A3AD78" w:rsidR="00E018DC" w:rsidRPr="00374B97" w:rsidRDefault="00C76D0F" w:rsidP="00C76D0F">
      <w:pPr>
        <w:pStyle w:val="ProductCode"/>
      </w:pPr>
      <w:r>
        <w:t>15226.2510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3D8D" w14:textId="77777777" w:rsidR="003E0728" w:rsidRDefault="003E0728" w:rsidP="00C77FE4">
      <w:r>
        <w:separator/>
      </w:r>
    </w:p>
  </w:endnote>
  <w:endnote w:type="continuationSeparator" w:id="0">
    <w:p w14:paraId="0500D754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15E" w14:textId="77777777" w:rsidR="003E0728" w:rsidRDefault="003E0728" w:rsidP="00C77FE4">
      <w:r>
        <w:separator/>
      </w:r>
    </w:p>
  </w:footnote>
  <w:footnote w:type="continuationSeparator" w:id="0">
    <w:p w14:paraId="3AE750C9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09974">
    <w:abstractNumId w:val="9"/>
  </w:num>
  <w:num w:numId="2" w16cid:durableId="1470394500">
    <w:abstractNumId w:val="7"/>
  </w:num>
  <w:num w:numId="3" w16cid:durableId="1925600224">
    <w:abstractNumId w:val="6"/>
  </w:num>
  <w:num w:numId="4" w16cid:durableId="1272519610">
    <w:abstractNumId w:val="5"/>
  </w:num>
  <w:num w:numId="5" w16cid:durableId="2023313055">
    <w:abstractNumId w:val="4"/>
  </w:num>
  <w:num w:numId="6" w16cid:durableId="1638491702">
    <w:abstractNumId w:val="8"/>
  </w:num>
  <w:num w:numId="7" w16cid:durableId="641690826">
    <w:abstractNumId w:val="3"/>
  </w:num>
  <w:num w:numId="8" w16cid:durableId="1221557833">
    <w:abstractNumId w:val="2"/>
  </w:num>
  <w:num w:numId="9" w16cid:durableId="2018070563">
    <w:abstractNumId w:val="1"/>
  </w:num>
  <w:num w:numId="10" w16cid:durableId="1886410059">
    <w:abstractNumId w:val="0"/>
  </w:num>
  <w:num w:numId="11" w16cid:durableId="1782917657">
    <w:abstractNumId w:val="10"/>
  </w:num>
  <w:num w:numId="12" w16cid:durableId="1250650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8D0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C1DD5"/>
    <w:rsid w:val="001E5563"/>
    <w:rsid w:val="001E55A2"/>
    <w:rsid w:val="001F312C"/>
    <w:rsid w:val="00211456"/>
    <w:rsid w:val="00232C31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140B5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1D2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4F3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3E31"/>
    <w:rsid w:val="00C76D0F"/>
    <w:rsid w:val="00C77FE4"/>
    <w:rsid w:val="00C86E67"/>
    <w:rsid w:val="00C91EEF"/>
    <w:rsid w:val="00C95A69"/>
    <w:rsid w:val="00C96772"/>
    <w:rsid w:val="00CA2FB4"/>
    <w:rsid w:val="00CA3C73"/>
    <w:rsid w:val="00CA5987"/>
    <w:rsid w:val="00CB6314"/>
    <w:rsid w:val="00CC520F"/>
    <w:rsid w:val="00CD2E38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5C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CA5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9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0B5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0B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0B5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0B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disastersupport?utm_source=factsheet&amp;utm_medium=offline&amp;utm_campaign=sa-natural-disaster-ekit-2025-11&amp;utm_id=15226-2510&amp;utm_content=click-link-disaster-recovery-allowanc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servicesaustralia.gov.au/disastersupport?utm_source=factsheet&amp;utm_medium=offline&amp;utm_campaign=sa-natural-disaster-ekit-2025-11&amp;utm_id=15226-2510&amp;utm_content=click-link-disaster-recovery-allow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servicesaustralia.gov.au/disastersupport?utm_source=poster&amp;utm_medium=offline&amp;utm_campaign=sa-natural-disaster-ekit-2025-11&amp;utm_content=click-link-self-print-have-you-effected-by-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icesaustralia.gov.au/disasterhelp?utm_source=factsheet&amp;utm_medium=offline&amp;utm_campaign=sa-natural-disaster-ekit-2025-11&amp;utm_id=15226-2510&amp;utm_content=click-link-disaster-recovery-allowanc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19" ma:contentTypeDescription="Create a new document." ma:contentTypeScope="" ma:versionID="67be326726688e7433b5d9b7a78c8fa3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e6ca0d33c09bab6300012b78e338360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Fi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Description" ma:index="25" nillable="true" ma:displayName="File Description" ma:default="Details Here" ma:description="Details on file" ma:format="Dropdown" ma:internalName="File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Description xmlns="8a3015fc-010c-405b-b1a8-ab604fca8f92">Details Here</FileDescription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0AC5C-0FE6-41B8-9DC3-B731F4AA4838}"/>
</file>

<file path=customXml/itemProps2.xml><?xml version="1.0" encoding="utf-8"?>
<ds:datastoreItem xmlns:ds="http://schemas.openxmlformats.org/officeDocument/2006/customXml" ds:itemID="{A1980B82-D9DA-486E-87BA-1583B09DB63B}"/>
</file>

<file path=customXml/itemProps3.xml><?xml version="1.0" encoding="utf-8"?>
<ds:datastoreItem xmlns:ds="http://schemas.openxmlformats.org/officeDocument/2006/customXml" ds:itemID="{E4FF72F5-CBAA-4CC0-AD90-866CFCBA6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Recovery Allowance</dc:title>
  <dc:subject/>
  <dc:creator>Services Australia</dc:creator>
  <cp:keywords>15226.2510</cp:keywords>
  <dc:description/>
  <cp:lastModifiedBy/>
  <cp:revision>1</cp:revision>
  <dcterms:created xsi:type="dcterms:W3CDTF">2025-12-01T00:50:00Z</dcterms:created>
  <dcterms:modified xsi:type="dcterms:W3CDTF">2025-12-01T00:50:00Z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</Properties>
</file>