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0BB1F" w14:textId="5D2031E8" w:rsidR="00D52168" w:rsidRDefault="00D52168" w:rsidP="00824ED3">
      <w:pPr>
        <w:pStyle w:val="Heading1"/>
      </w:pPr>
      <w:bookmarkStart w:id="0" w:name="_Toc210815379"/>
      <w:r>
        <w:t>Services Australia</w:t>
      </w:r>
      <w:bookmarkEnd w:id="0"/>
    </w:p>
    <w:p w14:paraId="26F5AD67" w14:textId="3CCEEB96" w:rsidR="00824ED3" w:rsidRDefault="00824ED3" w:rsidP="00824ED3">
      <w:pPr>
        <w:pStyle w:val="Heading1"/>
      </w:pPr>
      <w:bookmarkStart w:id="1" w:name="_Toc210815380"/>
      <w:r>
        <w:t>Annual Report 2024–25</w:t>
      </w:r>
      <w:bookmarkEnd w:id="1"/>
    </w:p>
    <w:p w14:paraId="3C6472B2" w14:textId="77777777" w:rsidR="00D52168" w:rsidRPr="00D52168" w:rsidRDefault="00D52168" w:rsidP="00D52168">
      <w:pPr>
        <w:pStyle w:val="Heading3"/>
      </w:pPr>
      <w:r w:rsidRPr="00D52168">
        <w:t>Acknowledgement of Country</w:t>
      </w:r>
    </w:p>
    <w:p w14:paraId="7490FA04" w14:textId="77777777" w:rsidR="00D52168" w:rsidRPr="00D52168" w:rsidRDefault="00D52168" w:rsidP="00D52168">
      <w:pPr>
        <w:pStyle w:val="BodyText"/>
      </w:pPr>
      <w:r w:rsidRPr="00D52168">
        <w:t>Services Australia acknowledges the Traditional Custodians of the lands we live on. We pay our respects to all Elders, past and present, of all Aboriginal and Torres Strait Islander nations.</w:t>
      </w:r>
    </w:p>
    <w:p w14:paraId="0D6585CD" w14:textId="77777777" w:rsidR="00D52168" w:rsidRPr="00D52168" w:rsidRDefault="00D52168" w:rsidP="00D52168">
      <w:pPr>
        <w:pStyle w:val="BodyText"/>
        <w:rPr>
          <w:b/>
          <w:bCs/>
        </w:rPr>
      </w:pPr>
      <w:r w:rsidRPr="00D52168">
        <w:rPr>
          <w:b/>
          <w:bCs/>
        </w:rPr>
        <w:t>Copyright statement</w:t>
      </w:r>
    </w:p>
    <w:p w14:paraId="0ACAC3C5" w14:textId="77777777" w:rsidR="00D52168" w:rsidRPr="00D52168" w:rsidRDefault="00D52168" w:rsidP="00D52168">
      <w:pPr>
        <w:pStyle w:val="BodyText"/>
      </w:pPr>
      <w:r w:rsidRPr="00D52168">
        <w:t>Unless otherwise noted, copyright in this annual report is owned by the Commonwealth of Australia, represented by Services Australia.</w:t>
      </w:r>
    </w:p>
    <w:p w14:paraId="1FC51C2F" w14:textId="77777777" w:rsidR="00D52168" w:rsidRPr="00D52168" w:rsidRDefault="00D52168" w:rsidP="00D52168">
      <w:pPr>
        <w:pStyle w:val="BodyText"/>
      </w:pPr>
      <w:r w:rsidRPr="00D52168">
        <w:t xml:space="preserve">ISSN: 1832-8792 (Print) </w:t>
      </w:r>
    </w:p>
    <w:p w14:paraId="67D6F2B7" w14:textId="77777777" w:rsidR="00D52168" w:rsidRPr="00D52168" w:rsidRDefault="00D52168" w:rsidP="00D52168">
      <w:pPr>
        <w:pStyle w:val="BodyText"/>
      </w:pPr>
      <w:r w:rsidRPr="00D52168">
        <w:t>ISSN: 1838-2452 (Online)</w:t>
      </w:r>
    </w:p>
    <w:p w14:paraId="3C2A46CC" w14:textId="77777777" w:rsidR="00D52168" w:rsidRPr="00D52168" w:rsidRDefault="00D52168" w:rsidP="00D52168">
      <w:pPr>
        <w:pStyle w:val="BodyText"/>
        <w:rPr>
          <w:b/>
          <w:bCs/>
        </w:rPr>
      </w:pPr>
      <w:r w:rsidRPr="00D52168">
        <w:rPr>
          <w:b/>
          <w:bCs/>
        </w:rPr>
        <w:t>Attribution</w:t>
      </w:r>
    </w:p>
    <w:p w14:paraId="1A531E75" w14:textId="77777777" w:rsidR="00D52168" w:rsidRPr="00D52168" w:rsidRDefault="00D52168" w:rsidP="00D52168">
      <w:pPr>
        <w:pStyle w:val="BodyText"/>
      </w:pPr>
      <w:r w:rsidRPr="00D52168">
        <w:t>Except where otherwise noted, content in this publication is licensed under a Creative Commons Attribution 4.0 International Licence, except for:</w:t>
      </w:r>
    </w:p>
    <w:p w14:paraId="01C43A09" w14:textId="77777777" w:rsidR="00D52168" w:rsidRPr="00D52168" w:rsidRDefault="00D52168" w:rsidP="00D52168">
      <w:pPr>
        <w:pStyle w:val="ListBullet"/>
      </w:pPr>
      <w:r w:rsidRPr="00D52168">
        <w:t>the Commonwealth Coat of Arms</w:t>
      </w:r>
    </w:p>
    <w:p w14:paraId="5FF32257" w14:textId="7E64A06E" w:rsidR="00D52168" w:rsidRPr="00D52168" w:rsidRDefault="00D52168" w:rsidP="00D52168">
      <w:pPr>
        <w:pStyle w:val="ListBullet"/>
      </w:pPr>
      <w:r w:rsidRPr="00D52168">
        <w:t>the Australian Government Services Australia logo</w:t>
      </w:r>
    </w:p>
    <w:p w14:paraId="0D7950DB" w14:textId="77777777" w:rsidR="00D52168" w:rsidRPr="00D52168" w:rsidRDefault="00D52168" w:rsidP="00D52168">
      <w:pPr>
        <w:pStyle w:val="ListBullet"/>
      </w:pPr>
      <w:r w:rsidRPr="00D52168">
        <w:t>any protected names and symbols under Commonwealth legislation</w:t>
      </w:r>
    </w:p>
    <w:p w14:paraId="021FA599" w14:textId="77777777" w:rsidR="00D52168" w:rsidRPr="00D52168" w:rsidRDefault="00D52168" w:rsidP="00D52168">
      <w:pPr>
        <w:pStyle w:val="ListBullet"/>
      </w:pPr>
      <w:r w:rsidRPr="00D52168">
        <w:t>any registered trademarks owned by the Commonwealth of Australia</w:t>
      </w:r>
    </w:p>
    <w:p w14:paraId="13208F5D" w14:textId="77777777" w:rsidR="00D52168" w:rsidRPr="00D52168" w:rsidRDefault="00D52168" w:rsidP="00D52168">
      <w:pPr>
        <w:pStyle w:val="ListBullet"/>
      </w:pPr>
      <w:r w:rsidRPr="00D52168">
        <w:t>images</w:t>
      </w:r>
    </w:p>
    <w:p w14:paraId="63289FC7" w14:textId="77777777" w:rsidR="00D52168" w:rsidRPr="00D52168" w:rsidRDefault="00D52168" w:rsidP="00D52168">
      <w:pPr>
        <w:pStyle w:val="ListBullet"/>
      </w:pPr>
      <w:r w:rsidRPr="00D52168">
        <w:t>content supplied by third parties, as identified.</w:t>
      </w:r>
    </w:p>
    <w:p w14:paraId="28868098" w14:textId="77777777" w:rsidR="00D52168" w:rsidRPr="00D52168" w:rsidRDefault="00D52168" w:rsidP="00D52168">
      <w:pPr>
        <w:pStyle w:val="BodyText"/>
      </w:pPr>
      <w:r w:rsidRPr="00D52168">
        <w:t>Full details of the licensed terms are available on the Creative Commons website.</w:t>
      </w:r>
    </w:p>
    <w:p w14:paraId="4AFFFEE4" w14:textId="77777777" w:rsidR="00D52168" w:rsidRPr="00D52168" w:rsidRDefault="00D52168" w:rsidP="00D52168">
      <w:pPr>
        <w:pStyle w:val="BodyText"/>
      </w:pPr>
      <w:r w:rsidRPr="00D52168">
        <w:t>The terms of use for the Coat of Arms are available from the Department of the Prime Minister and Cabinet website.</w:t>
      </w:r>
    </w:p>
    <w:p w14:paraId="59E24918" w14:textId="77777777" w:rsidR="00D52168" w:rsidRPr="00D52168" w:rsidRDefault="00D52168" w:rsidP="00D52168">
      <w:pPr>
        <w:pStyle w:val="BodyText"/>
      </w:pPr>
      <w:r w:rsidRPr="00D52168">
        <w:t xml:space="preserve">Material obtained from this annual report is to be attributed to Services Australia as </w:t>
      </w:r>
      <w:r w:rsidRPr="00D52168">
        <w:rPr>
          <w:b/>
          <w:bCs/>
        </w:rPr>
        <w:t>© Commonwealth of Australia 2025</w:t>
      </w:r>
      <w:r w:rsidRPr="00D52168">
        <w:t>.</w:t>
      </w:r>
    </w:p>
    <w:p w14:paraId="591AF682" w14:textId="77777777" w:rsidR="00D52168" w:rsidRPr="00D52168" w:rsidRDefault="00D52168" w:rsidP="00D52168">
      <w:pPr>
        <w:pStyle w:val="BodyText"/>
      </w:pPr>
      <w:r w:rsidRPr="00D52168">
        <w:t xml:space="preserve">Whenever a third party holds copyright in material presented in this publication, the copyright remains with that party. </w:t>
      </w:r>
    </w:p>
    <w:p w14:paraId="7A6FBC6E" w14:textId="77777777" w:rsidR="00D52168" w:rsidRPr="00D52168" w:rsidRDefault="00D52168" w:rsidP="00D52168">
      <w:pPr>
        <w:pStyle w:val="BodyText"/>
      </w:pPr>
      <w:r w:rsidRPr="00D52168">
        <w:t>Their permission may be required to use the material. We have made all reasonable efforts to:</w:t>
      </w:r>
    </w:p>
    <w:p w14:paraId="2B9CB4AF" w14:textId="77777777" w:rsidR="00D52168" w:rsidRPr="00D52168" w:rsidRDefault="00D52168" w:rsidP="00D52168">
      <w:pPr>
        <w:pStyle w:val="ListBullet"/>
      </w:pPr>
      <w:r w:rsidRPr="00D52168">
        <w:t xml:space="preserve">clearly label and attribute material where the copyright is owned by a third party </w:t>
      </w:r>
    </w:p>
    <w:p w14:paraId="35CC66A1" w14:textId="77777777" w:rsidR="00D52168" w:rsidRPr="00D52168" w:rsidRDefault="00D52168" w:rsidP="00D52168">
      <w:pPr>
        <w:pStyle w:val="ListBullet"/>
      </w:pPr>
      <w:r w:rsidRPr="00D52168">
        <w:t>make sure the copyright owner has consented to this material being presented in this publication.</w:t>
      </w:r>
    </w:p>
    <w:p w14:paraId="7D8A0C25" w14:textId="77777777" w:rsidR="00D52168" w:rsidRPr="00D52168" w:rsidRDefault="00D52168" w:rsidP="00D52168">
      <w:pPr>
        <w:pStyle w:val="BodyText"/>
        <w:rPr>
          <w:b/>
          <w:bCs/>
        </w:rPr>
      </w:pPr>
      <w:r w:rsidRPr="00D52168">
        <w:rPr>
          <w:b/>
          <w:bCs/>
        </w:rPr>
        <w:t>Contact information</w:t>
      </w:r>
    </w:p>
    <w:p w14:paraId="3400E998" w14:textId="77777777" w:rsidR="00D52168" w:rsidRPr="00D52168" w:rsidRDefault="00D52168" w:rsidP="00D52168">
      <w:pPr>
        <w:pStyle w:val="BodyText"/>
      </w:pPr>
      <w:r w:rsidRPr="00D52168">
        <w:t>If you have any feedback or queries regarding this annual report, or you would like a copy of the report, please contact:</w:t>
      </w:r>
    </w:p>
    <w:p w14:paraId="220E3354" w14:textId="77777777" w:rsidR="00D52168" w:rsidRPr="00D52168" w:rsidRDefault="00D52168" w:rsidP="00D52168">
      <w:pPr>
        <w:pStyle w:val="ListBullet"/>
        <w:numPr>
          <w:ilvl w:val="0"/>
          <w:numId w:val="0"/>
        </w:numPr>
        <w:ind w:left="357"/>
      </w:pPr>
      <w:r w:rsidRPr="00D52168">
        <w:t>Annual Report Coordinator</w:t>
      </w:r>
    </w:p>
    <w:p w14:paraId="15D3DF75" w14:textId="77777777" w:rsidR="00D52168" w:rsidRPr="00D52168" w:rsidRDefault="00D52168" w:rsidP="00D52168">
      <w:pPr>
        <w:pStyle w:val="ListBullet"/>
        <w:numPr>
          <w:ilvl w:val="0"/>
          <w:numId w:val="0"/>
        </w:numPr>
        <w:ind w:left="357"/>
      </w:pPr>
      <w:r w:rsidRPr="00D52168">
        <w:t>Performance, Priorities and Reporting Branch</w:t>
      </w:r>
    </w:p>
    <w:p w14:paraId="7C3038FB" w14:textId="77777777" w:rsidR="00D52168" w:rsidRPr="00D52168" w:rsidRDefault="00D52168" w:rsidP="00D52168">
      <w:pPr>
        <w:pStyle w:val="ListBullet"/>
        <w:numPr>
          <w:ilvl w:val="0"/>
          <w:numId w:val="0"/>
        </w:numPr>
        <w:ind w:left="357"/>
      </w:pPr>
      <w:r w:rsidRPr="00D52168">
        <w:lastRenderedPageBreak/>
        <w:t>Enterprise Strategy and Governance Division</w:t>
      </w:r>
    </w:p>
    <w:p w14:paraId="6106FF33" w14:textId="77777777" w:rsidR="00D52168" w:rsidRPr="00D52168" w:rsidRDefault="00D52168" w:rsidP="00D52168">
      <w:pPr>
        <w:pStyle w:val="ListBullet"/>
        <w:numPr>
          <w:ilvl w:val="0"/>
          <w:numId w:val="0"/>
        </w:numPr>
        <w:ind w:left="357"/>
      </w:pPr>
      <w:r w:rsidRPr="00D52168">
        <w:t xml:space="preserve">Services Australia </w:t>
      </w:r>
    </w:p>
    <w:p w14:paraId="647937D8" w14:textId="77777777" w:rsidR="00D52168" w:rsidRPr="00D52168" w:rsidRDefault="00D52168" w:rsidP="00D52168">
      <w:pPr>
        <w:pStyle w:val="ListBullet"/>
        <w:numPr>
          <w:ilvl w:val="0"/>
          <w:numId w:val="0"/>
        </w:numPr>
        <w:ind w:left="357"/>
      </w:pPr>
      <w:r w:rsidRPr="00D52168">
        <w:t xml:space="preserve">PO Box 7788 </w:t>
      </w:r>
    </w:p>
    <w:p w14:paraId="19603E06" w14:textId="77777777" w:rsidR="00D52168" w:rsidRPr="00D52168" w:rsidRDefault="00D52168" w:rsidP="00D52168">
      <w:pPr>
        <w:pStyle w:val="ListBullet"/>
        <w:numPr>
          <w:ilvl w:val="0"/>
          <w:numId w:val="0"/>
        </w:numPr>
        <w:ind w:left="357"/>
      </w:pPr>
      <w:r w:rsidRPr="00D52168">
        <w:t>Canberra BC ACT 2610</w:t>
      </w:r>
    </w:p>
    <w:p w14:paraId="1C383CE1" w14:textId="77777777" w:rsidR="00D52168" w:rsidRPr="00D52168" w:rsidRDefault="00D52168" w:rsidP="00D52168">
      <w:pPr>
        <w:pStyle w:val="ListBullet"/>
        <w:numPr>
          <w:ilvl w:val="0"/>
          <w:numId w:val="0"/>
        </w:numPr>
        <w:ind w:left="357"/>
        <w:rPr>
          <w:b/>
          <w:bCs/>
        </w:rPr>
      </w:pPr>
      <w:r w:rsidRPr="00D52168">
        <w:t xml:space="preserve">Email: </w:t>
      </w:r>
      <w:r w:rsidRPr="00D52168">
        <w:rPr>
          <w:b/>
          <w:bCs/>
        </w:rPr>
        <w:t>annual.report@servicesaustralia.gov.au</w:t>
      </w:r>
    </w:p>
    <w:p w14:paraId="34844F44" w14:textId="77777777" w:rsidR="00D52168" w:rsidRPr="00D52168" w:rsidRDefault="00D52168" w:rsidP="00D52168">
      <w:pPr>
        <w:pStyle w:val="BodyText"/>
      </w:pPr>
      <w:r w:rsidRPr="00D52168">
        <w:t xml:space="preserve">This annual report is available online, go to </w:t>
      </w:r>
      <w:r w:rsidRPr="00D52168">
        <w:rPr>
          <w:b/>
          <w:bCs/>
        </w:rPr>
        <w:t>transparency.gov.au</w:t>
      </w:r>
      <w:r w:rsidRPr="00D52168">
        <w:t xml:space="preserve"> or </w:t>
      </w:r>
      <w:r w:rsidRPr="00D52168">
        <w:rPr>
          <w:b/>
          <w:bCs/>
        </w:rPr>
        <w:t>servicesaustralia.gov.au</w:t>
      </w:r>
    </w:p>
    <w:p w14:paraId="52E1C123" w14:textId="77777777" w:rsidR="00D52168" w:rsidRPr="00D52168" w:rsidRDefault="00D52168" w:rsidP="00D52168">
      <w:pPr>
        <w:pStyle w:val="BodyText"/>
      </w:pPr>
      <w:r w:rsidRPr="00D52168">
        <w:t xml:space="preserve">To speak to the agency in languages other than English, please call </w:t>
      </w:r>
      <w:r w:rsidRPr="00D52168">
        <w:rPr>
          <w:b/>
          <w:bCs/>
        </w:rPr>
        <w:t>131 202</w:t>
      </w:r>
      <w:r w:rsidRPr="00D52168">
        <w:t>.</w:t>
      </w:r>
    </w:p>
    <w:p w14:paraId="39BB48F6" w14:textId="77777777" w:rsidR="00D52168" w:rsidRPr="00D52168" w:rsidRDefault="00D52168" w:rsidP="00D52168">
      <w:pPr>
        <w:pStyle w:val="BodyText"/>
      </w:pPr>
      <w:r w:rsidRPr="00D52168">
        <w:t xml:space="preserve">If you are deaf or have a hearing or speech impairment, please call </w:t>
      </w:r>
      <w:r w:rsidRPr="00D52168">
        <w:rPr>
          <w:b/>
          <w:bCs/>
        </w:rPr>
        <w:t>1800 810 586</w:t>
      </w:r>
      <w:r w:rsidRPr="00D52168">
        <w:t xml:space="preserve"> (a TTY phone is required to use this service).</w:t>
      </w:r>
    </w:p>
    <w:p w14:paraId="60EAD8C3" w14:textId="77777777" w:rsidR="00D52168" w:rsidRPr="00D52168" w:rsidRDefault="00D52168" w:rsidP="00D52168">
      <w:pPr>
        <w:pStyle w:val="BodyText"/>
      </w:pPr>
      <w:r w:rsidRPr="00D52168">
        <w:t>More information about the agency is available at servicesaustralia.gov.au and on social media at:</w:t>
      </w:r>
    </w:p>
    <w:p w14:paraId="2C8A910D" w14:textId="77777777" w:rsidR="00D52168" w:rsidRPr="00D52168" w:rsidRDefault="00D52168" w:rsidP="00D52168">
      <w:pPr>
        <w:pStyle w:val="ListBullet"/>
        <w:numPr>
          <w:ilvl w:val="0"/>
          <w:numId w:val="0"/>
        </w:numPr>
        <w:ind w:left="357"/>
      </w:pPr>
      <w:r w:rsidRPr="00D52168">
        <w:t>facebook.com/ServicesAustralia</w:t>
      </w:r>
    </w:p>
    <w:p w14:paraId="5AEB5BE4" w14:textId="77777777" w:rsidR="00D52168" w:rsidRPr="00D52168" w:rsidRDefault="00D52168" w:rsidP="00D52168">
      <w:pPr>
        <w:pStyle w:val="ListBullet"/>
        <w:numPr>
          <w:ilvl w:val="0"/>
          <w:numId w:val="0"/>
        </w:numPr>
        <w:ind w:left="357"/>
      </w:pPr>
      <w:r w:rsidRPr="00D52168">
        <w:t>instagram.com/services.australia</w:t>
      </w:r>
    </w:p>
    <w:p w14:paraId="12310E33" w14:textId="77777777" w:rsidR="00D52168" w:rsidRPr="00D52168" w:rsidRDefault="00D52168" w:rsidP="00D52168">
      <w:pPr>
        <w:pStyle w:val="ListBullet"/>
        <w:numPr>
          <w:ilvl w:val="0"/>
          <w:numId w:val="0"/>
        </w:numPr>
        <w:ind w:left="357"/>
      </w:pPr>
      <w:r w:rsidRPr="00D52168">
        <w:t>linkedin.com/company/services-australia</w:t>
      </w:r>
    </w:p>
    <w:p w14:paraId="668E0FBA" w14:textId="7EFA823B" w:rsidR="00D52168" w:rsidRPr="00D52168" w:rsidRDefault="00D52168" w:rsidP="00D52168">
      <w:pPr>
        <w:pStyle w:val="ListBullet"/>
        <w:numPr>
          <w:ilvl w:val="0"/>
          <w:numId w:val="0"/>
        </w:numPr>
        <w:ind w:left="357"/>
      </w:pPr>
      <w:r w:rsidRPr="00D52168">
        <w:t>youtube.com/@ServicesAustraliaGovAU</w:t>
      </w:r>
    </w:p>
    <w:p w14:paraId="5E186350" w14:textId="77777777" w:rsidR="00D52168" w:rsidRPr="00D52168" w:rsidRDefault="00D52168" w:rsidP="00D52168">
      <w:pPr>
        <w:pStyle w:val="Heading3"/>
        <w:rPr>
          <w:lang w:val="en-GB"/>
        </w:rPr>
      </w:pPr>
      <w:r w:rsidRPr="00D52168">
        <w:rPr>
          <w:lang w:val="en-GB"/>
        </w:rPr>
        <w:t>Agency snapshot</w:t>
      </w:r>
    </w:p>
    <w:p w14:paraId="68A6E4C1" w14:textId="77777777" w:rsidR="00D52168" w:rsidRPr="00D52168" w:rsidRDefault="00D52168" w:rsidP="00D52168">
      <w:pPr>
        <w:pStyle w:val="BodyText"/>
        <w:rPr>
          <w:lang w:val="en-US"/>
        </w:rPr>
      </w:pPr>
      <w:r w:rsidRPr="00D52168">
        <w:rPr>
          <w:lang w:val="en-US"/>
        </w:rPr>
        <w:t>1 July 2024 to 30 June 2025</w:t>
      </w:r>
    </w:p>
    <w:p w14:paraId="12BF946A" w14:textId="65A2A125" w:rsidR="00D52168" w:rsidRDefault="00D52168" w:rsidP="00D52168">
      <w:pPr>
        <w:pStyle w:val="BodyText"/>
        <w:rPr>
          <w:lang w:val="en-GB"/>
        </w:rPr>
      </w:pPr>
      <w:r w:rsidRPr="00D52168">
        <w:rPr>
          <w:lang w:val="en-GB"/>
        </w:rPr>
        <w:t>Services Australia supports millions of Australians each year by efficiently delivering high quality, accessible services and payments on behalf of government.</w:t>
      </w:r>
    </w:p>
    <w:tbl>
      <w:tblPr>
        <w:tblStyle w:val="TableGrid"/>
        <w:tblW w:w="5000" w:type="pct"/>
        <w:tblLook w:val="04A0" w:firstRow="1" w:lastRow="0" w:firstColumn="1" w:lastColumn="0" w:noHBand="0" w:noVBand="1"/>
        <w:tblCaption w:val="Our customer breakdown"/>
      </w:tblPr>
      <w:tblGrid>
        <w:gridCol w:w="2756"/>
        <w:gridCol w:w="18"/>
        <w:gridCol w:w="8322"/>
      </w:tblGrid>
      <w:tr w:rsidR="00D52168" w:rsidRPr="00D52168" w14:paraId="53DAA310" w14:textId="77777777" w:rsidTr="006A0585">
        <w:trPr>
          <w:trHeight w:val="113"/>
        </w:trPr>
        <w:tc>
          <w:tcPr>
            <w:tcW w:w="5000" w:type="pct"/>
            <w:gridSpan w:val="3"/>
          </w:tcPr>
          <w:p w14:paraId="6BA5D49E" w14:textId="77777777" w:rsidR="00D52168" w:rsidRPr="00D52168" w:rsidRDefault="00D52168" w:rsidP="00C562EA">
            <w:pPr>
              <w:pStyle w:val="BodyText"/>
              <w:rPr>
                <w:b/>
                <w:bCs/>
              </w:rPr>
            </w:pPr>
            <w:r w:rsidRPr="00D52168">
              <w:rPr>
                <w:b/>
                <w:bCs/>
              </w:rPr>
              <w:t>Our customers</w:t>
            </w:r>
          </w:p>
        </w:tc>
      </w:tr>
      <w:tr w:rsidR="00D52168" w:rsidRPr="00D52168" w14:paraId="5C92A629" w14:textId="77777777" w:rsidTr="006A0585">
        <w:trPr>
          <w:trHeight w:val="60"/>
        </w:trPr>
        <w:tc>
          <w:tcPr>
            <w:tcW w:w="1242" w:type="pct"/>
          </w:tcPr>
          <w:p w14:paraId="05AE8BC9" w14:textId="77777777" w:rsidR="00D52168" w:rsidRPr="00D52168" w:rsidRDefault="00D52168" w:rsidP="00C562EA">
            <w:pPr>
              <w:pStyle w:val="BodyText"/>
              <w:rPr>
                <w:b/>
                <w:bCs/>
              </w:rPr>
            </w:pPr>
            <w:r w:rsidRPr="00D52168">
              <w:rPr>
                <w:b/>
                <w:bCs/>
              </w:rPr>
              <w:t>27.5M</w:t>
            </w:r>
          </w:p>
        </w:tc>
        <w:tc>
          <w:tcPr>
            <w:tcW w:w="3758" w:type="pct"/>
            <w:gridSpan w:val="2"/>
          </w:tcPr>
          <w:p w14:paraId="143551DF" w14:textId="77777777" w:rsidR="00D52168" w:rsidRPr="00D52168" w:rsidRDefault="00D52168" w:rsidP="00C562EA">
            <w:pPr>
              <w:pStyle w:val="BodyText"/>
            </w:pPr>
            <w:r w:rsidRPr="00D52168">
              <w:t>Medicare</w:t>
            </w:r>
          </w:p>
        </w:tc>
      </w:tr>
      <w:tr w:rsidR="00D52168" w:rsidRPr="00D52168" w14:paraId="0C2A253B" w14:textId="77777777" w:rsidTr="006A0585">
        <w:trPr>
          <w:trHeight w:val="596"/>
        </w:trPr>
        <w:tc>
          <w:tcPr>
            <w:tcW w:w="1242" w:type="pct"/>
          </w:tcPr>
          <w:p w14:paraId="00FD5E0C" w14:textId="77777777" w:rsidR="00D52168" w:rsidRPr="00D52168" w:rsidRDefault="00D52168" w:rsidP="00C562EA">
            <w:pPr>
              <w:pStyle w:val="BodyText"/>
              <w:rPr>
                <w:b/>
                <w:bCs/>
              </w:rPr>
            </w:pPr>
            <w:r w:rsidRPr="00D52168">
              <w:rPr>
                <w:b/>
                <w:bCs/>
              </w:rPr>
              <w:t>8.9M</w:t>
            </w:r>
          </w:p>
        </w:tc>
        <w:tc>
          <w:tcPr>
            <w:tcW w:w="3758" w:type="pct"/>
            <w:gridSpan w:val="2"/>
          </w:tcPr>
          <w:p w14:paraId="130D9C19" w14:textId="77777777" w:rsidR="00D52168" w:rsidRPr="00D52168" w:rsidRDefault="00D52168" w:rsidP="00C562EA">
            <w:pPr>
              <w:pStyle w:val="BodyText"/>
            </w:pPr>
            <w:r w:rsidRPr="00D52168">
              <w:t>Centrelink*</w:t>
            </w:r>
          </w:p>
        </w:tc>
      </w:tr>
      <w:tr w:rsidR="00D52168" w:rsidRPr="00D52168" w14:paraId="237CEC9F" w14:textId="77777777" w:rsidTr="006A0585">
        <w:trPr>
          <w:trHeight w:val="596"/>
        </w:trPr>
        <w:tc>
          <w:tcPr>
            <w:tcW w:w="1242" w:type="pct"/>
          </w:tcPr>
          <w:p w14:paraId="47E3059D" w14:textId="77777777" w:rsidR="00D52168" w:rsidRPr="00D52168" w:rsidRDefault="00D52168" w:rsidP="00C562EA">
            <w:pPr>
              <w:pStyle w:val="BodyText"/>
              <w:rPr>
                <w:b/>
                <w:bCs/>
              </w:rPr>
            </w:pPr>
            <w:r w:rsidRPr="00D52168">
              <w:rPr>
                <w:b/>
                <w:bCs/>
              </w:rPr>
              <w:t>1.1M</w:t>
            </w:r>
          </w:p>
        </w:tc>
        <w:tc>
          <w:tcPr>
            <w:tcW w:w="3758" w:type="pct"/>
            <w:gridSpan w:val="2"/>
          </w:tcPr>
          <w:p w14:paraId="6B5B2A91" w14:textId="77777777" w:rsidR="00D52168" w:rsidRPr="00D52168" w:rsidRDefault="00D52168" w:rsidP="00C562EA">
            <w:pPr>
              <w:pStyle w:val="BodyText"/>
            </w:pPr>
            <w:r w:rsidRPr="00D52168">
              <w:t>Child support (children supported)</w:t>
            </w:r>
          </w:p>
        </w:tc>
      </w:tr>
      <w:tr w:rsidR="00D52168" w:rsidRPr="00D52168" w14:paraId="10DE3401" w14:textId="77777777" w:rsidTr="006A0585">
        <w:trPr>
          <w:trHeight w:val="596"/>
        </w:trPr>
        <w:tc>
          <w:tcPr>
            <w:tcW w:w="5000" w:type="pct"/>
            <w:gridSpan w:val="3"/>
          </w:tcPr>
          <w:p w14:paraId="0A8E51A1" w14:textId="69C3F349" w:rsidR="00D52168" w:rsidRPr="00D52168" w:rsidRDefault="00D52168" w:rsidP="00C562EA">
            <w:pPr>
              <w:pStyle w:val="ListBullet"/>
              <w:numPr>
                <w:ilvl w:val="0"/>
                <w:numId w:val="0"/>
              </w:numPr>
            </w:pPr>
            <w:r>
              <w:t xml:space="preserve">* </w:t>
            </w:r>
            <w:r w:rsidRPr="00D52168">
              <w:t>A unique count of our customers who received a benefit. A benefit can be a payment or a card.</w:t>
            </w:r>
          </w:p>
        </w:tc>
      </w:tr>
      <w:tr w:rsidR="00D52168" w:rsidRPr="00D52168" w14:paraId="7584B7A3" w14:textId="77777777" w:rsidTr="006A0585">
        <w:trPr>
          <w:trHeight w:val="596"/>
        </w:trPr>
        <w:tc>
          <w:tcPr>
            <w:tcW w:w="5000" w:type="pct"/>
            <w:gridSpan w:val="3"/>
          </w:tcPr>
          <w:p w14:paraId="56D2F16D" w14:textId="3C448A8D" w:rsidR="00D52168" w:rsidRPr="00D52168" w:rsidRDefault="00D52168" w:rsidP="00C562EA">
            <w:pPr>
              <w:pStyle w:val="BodyText"/>
              <w:rPr>
                <w:b/>
                <w:bCs/>
              </w:rPr>
            </w:pPr>
            <w:r w:rsidRPr="00D52168">
              <w:rPr>
                <w:b/>
                <w:bCs/>
              </w:rPr>
              <w:t>Payments</w:t>
            </w:r>
          </w:p>
        </w:tc>
      </w:tr>
      <w:tr w:rsidR="00D52168" w:rsidRPr="00D52168" w14:paraId="123E1CA1" w14:textId="77777777" w:rsidTr="006A0585">
        <w:trPr>
          <w:trHeight w:val="596"/>
        </w:trPr>
        <w:tc>
          <w:tcPr>
            <w:tcW w:w="1250" w:type="pct"/>
            <w:gridSpan w:val="2"/>
          </w:tcPr>
          <w:p w14:paraId="7F85EEA2" w14:textId="77777777" w:rsidR="00D52168" w:rsidRPr="00D52168" w:rsidRDefault="00D52168" w:rsidP="00C562EA">
            <w:pPr>
              <w:pStyle w:val="BodyText"/>
              <w:rPr>
                <w:b/>
                <w:bCs/>
              </w:rPr>
            </w:pPr>
            <w:r w:rsidRPr="00D52168">
              <w:rPr>
                <w:b/>
                <w:bCs/>
              </w:rPr>
              <w:t>$263.0B</w:t>
            </w:r>
          </w:p>
        </w:tc>
        <w:tc>
          <w:tcPr>
            <w:tcW w:w="3750" w:type="pct"/>
          </w:tcPr>
          <w:p w14:paraId="5020B7F5" w14:textId="77777777" w:rsidR="00D52168" w:rsidRPr="00D52168" w:rsidRDefault="00D52168" w:rsidP="00C562EA">
            <w:pPr>
              <w:pStyle w:val="BodyText"/>
            </w:pPr>
            <w:r w:rsidRPr="00D52168">
              <w:t>Total payments</w:t>
            </w:r>
          </w:p>
        </w:tc>
      </w:tr>
      <w:tr w:rsidR="00D52168" w:rsidRPr="00D52168" w14:paraId="70726450" w14:textId="77777777" w:rsidTr="006A0585">
        <w:trPr>
          <w:trHeight w:val="368"/>
        </w:trPr>
        <w:tc>
          <w:tcPr>
            <w:tcW w:w="1250" w:type="pct"/>
            <w:gridSpan w:val="2"/>
          </w:tcPr>
          <w:p w14:paraId="73DD122B" w14:textId="77777777" w:rsidR="00D52168" w:rsidRPr="00D52168" w:rsidRDefault="00D52168" w:rsidP="00C562EA">
            <w:pPr>
              <w:pStyle w:val="BodyText"/>
              <w:rPr>
                <w:b/>
                <w:bCs/>
              </w:rPr>
            </w:pPr>
            <w:r w:rsidRPr="00D52168">
              <w:rPr>
                <w:b/>
                <w:bCs/>
              </w:rPr>
              <w:t>$163.8B</w:t>
            </w:r>
          </w:p>
        </w:tc>
        <w:tc>
          <w:tcPr>
            <w:tcW w:w="3750" w:type="pct"/>
          </w:tcPr>
          <w:p w14:paraId="030EF8FB" w14:textId="77777777" w:rsidR="00D52168" w:rsidRPr="00D52168" w:rsidRDefault="00D52168" w:rsidP="00C562EA">
            <w:pPr>
              <w:pStyle w:val="BodyText"/>
            </w:pPr>
            <w:r w:rsidRPr="00D52168">
              <w:t>Social security</w:t>
            </w:r>
          </w:p>
        </w:tc>
      </w:tr>
      <w:tr w:rsidR="00D52168" w:rsidRPr="00D52168" w14:paraId="5DA37B62" w14:textId="77777777" w:rsidTr="006A0585">
        <w:trPr>
          <w:trHeight w:val="368"/>
        </w:trPr>
        <w:tc>
          <w:tcPr>
            <w:tcW w:w="1250" w:type="pct"/>
            <w:gridSpan w:val="2"/>
          </w:tcPr>
          <w:p w14:paraId="6F7F3491" w14:textId="77777777" w:rsidR="00D52168" w:rsidRPr="00D52168" w:rsidRDefault="00D52168" w:rsidP="00C562EA">
            <w:pPr>
              <w:pStyle w:val="BodyText"/>
              <w:rPr>
                <w:b/>
                <w:bCs/>
              </w:rPr>
            </w:pPr>
            <w:r w:rsidRPr="00D52168">
              <w:rPr>
                <w:b/>
                <w:bCs/>
              </w:rPr>
              <w:t>$97.2B</w:t>
            </w:r>
          </w:p>
        </w:tc>
        <w:tc>
          <w:tcPr>
            <w:tcW w:w="3750" w:type="pct"/>
          </w:tcPr>
          <w:p w14:paraId="7E1097FB" w14:textId="77777777" w:rsidR="00D52168" w:rsidRPr="00D52168" w:rsidRDefault="00D52168" w:rsidP="00C562EA">
            <w:pPr>
              <w:pStyle w:val="BodyText"/>
            </w:pPr>
            <w:r w:rsidRPr="00D52168">
              <w:t>Health</w:t>
            </w:r>
          </w:p>
        </w:tc>
      </w:tr>
      <w:tr w:rsidR="00D52168" w:rsidRPr="00D52168" w14:paraId="3037DF89" w14:textId="77777777" w:rsidTr="006A0585">
        <w:trPr>
          <w:trHeight w:val="368"/>
        </w:trPr>
        <w:tc>
          <w:tcPr>
            <w:tcW w:w="1250" w:type="pct"/>
            <w:gridSpan w:val="2"/>
          </w:tcPr>
          <w:p w14:paraId="63C13A89" w14:textId="77777777" w:rsidR="00D52168" w:rsidRPr="00D52168" w:rsidRDefault="00D52168" w:rsidP="00C562EA">
            <w:pPr>
              <w:pStyle w:val="BodyText"/>
              <w:rPr>
                <w:b/>
                <w:bCs/>
              </w:rPr>
            </w:pPr>
            <w:r w:rsidRPr="00D52168">
              <w:rPr>
                <w:b/>
                <w:bCs/>
              </w:rPr>
              <w:t>$2.0B</w:t>
            </w:r>
          </w:p>
        </w:tc>
        <w:tc>
          <w:tcPr>
            <w:tcW w:w="3750" w:type="pct"/>
          </w:tcPr>
          <w:p w14:paraId="06EF951B" w14:textId="77777777" w:rsidR="00D52168" w:rsidRPr="00D52168" w:rsidRDefault="00D52168" w:rsidP="00C562EA">
            <w:pPr>
              <w:pStyle w:val="BodyText"/>
            </w:pPr>
            <w:r w:rsidRPr="00D52168">
              <w:t>Child support facilitated</w:t>
            </w:r>
          </w:p>
        </w:tc>
      </w:tr>
      <w:tr w:rsidR="00D52168" w:rsidRPr="00D52168" w14:paraId="306B9786" w14:textId="77777777" w:rsidTr="006A0585">
        <w:trPr>
          <w:trHeight w:val="274"/>
        </w:trPr>
        <w:tc>
          <w:tcPr>
            <w:tcW w:w="5000" w:type="pct"/>
            <w:gridSpan w:val="3"/>
          </w:tcPr>
          <w:p w14:paraId="3C875F9B" w14:textId="61842386" w:rsidR="00D52168" w:rsidRPr="00D52168" w:rsidRDefault="00D52168" w:rsidP="00C562EA">
            <w:pPr>
              <w:pStyle w:val="BodyText"/>
            </w:pPr>
            <w:r w:rsidRPr="00D52168">
              <w:rPr>
                <w:b/>
                <w:bCs/>
              </w:rPr>
              <w:t>Emergency Payments</w:t>
            </w:r>
          </w:p>
        </w:tc>
      </w:tr>
      <w:tr w:rsidR="00D52168" w:rsidRPr="00D52168" w14:paraId="432C705B" w14:textId="77777777" w:rsidTr="006A0585">
        <w:trPr>
          <w:trHeight w:val="368"/>
        </w:trPr>
        <w:tc>
          <w:tcPr>
            <w:tcW w:w="1250" w:type="pct"/>
            <w:gridSpan w:val="2"/>
          </w:tcPr>
          <w:p w14:paraId="2AA0BDD5" w14:textId="77777777" w:rsidR="00D52168" w:rsidRPr="00D52168" w:rsidRDefault="00D52168" w:rsidP="00C562EA">
            <w:pPr>
              <w:pStyle w:val="BodyText"/>
              <w:rPr>
                <w:b/>
                <w:bCs/>
              </w:rPr>
            </w:pPr>
            <w:r w:rsidRPr="00D52168">
              <w:rPr>
                <w:b/>
                <w:bCs/>
              </w:rPr>
              <w:lastRenderedPageBreak/>
              <w:t>$774.8M</w:t>
            </w:r>
          </w:p>
        </w:tc>
        <w:tc>
          <w:tcPr>
            <w:tcW w:w="3750" w:type="pct"/>
          </w:tcPr>
          <w:p w14:paraId="739F5929" w14:textId="77777777" w:rsidR="00D52168" w:rsidRPr="00D52168" w:rsidRDefault="00D52168" w:rsidP="00C562EA">
            <w:pPr>
              <w:pStyle w:val="BodyText"/>
            </w:pPr>
            <w:r w:rsidRPr="00D52168">
              <w:t>Emergency payments</w:t>
            </w:r>
          </w:p>
        </w:tc>
      </w:tr>
      <w:tr w:rsidR="00D52168" w:rsidRPr="00D52168" w14:paraId="6F823D46" w14:textId="77777777" w:rsidTr="006A0585">
        <w:trPr>
          <w:trHeight w:val="271"/>
        </w:trPr>
        <w:tc>
          <w:tcPr>
            <w:tcW w:w="5000" w:type="pct"/>
            <w:gridSpan w:val="3"/>
          </w:tcPr>
          <w:p w14:paraId="4FE717A0" w14:textId="4E183BF6" w:rsidR="00D52168" w:rsidRPr="00D52168" w:rsidRDefault="00D52168" w:rsidP="00C562EA">
            <w:pPr>
              <w:pStyle w:val="BodyText"/>
            </w:pPr>
            <w:r w:rsidRPr="00D52168">
              <w:rPr>
                <w:b/>
                <w:bCs/>
              </w:rPr>
              <w:t>Claims</w:t>
            </w:r>
          </w:p>
        </w:tc>
      </w:tr>
      <w:tr w:rsidR="00D52168" w:rsidRPr="00D52168" w14:paraId="77F0D518" w14:textId="77777777" w:rsidTr="006A0585">
        <w:trPr>
          <w:trHeight w:val="368"/>
        </w:trPr>
        <w:tc>
          <w:tcPr>
            <w:tcW w:w="1250" w:type="pct"/>
            <w:gridSpan w:val="2"/>
          </w:tcPr>
          <w:p w14:paraId="727592B3" w14:textId="77777777" w:rsidR="00D52168" w:rsidRPr="00D52168" w:rsidRDefault="00D52168" w:rsidP="00C562EA">
            <w:pPr>
              <w:pStyle w:val="BodyText"/>
              <w:rPr>
                <w:b/>
                <w:bCs/>
              </w:rPr>
            </w:pPr>
            <w:r w:rsidRPr="00D52168">
              <w:rPr>
                <w:b/>
                <w:bCs/>
              </w:rPr>
              <w:t>736M</w:t>
            </w:r>
          </w:p>
        </w:tc>
        <w:tc>
          <w:tcPr>
            <w:tcW w:w="3750" w:type="pct"/>
          </w:tcPr>
          <w:p w14:paraId="2389C900" w14:textId="77777777" w:rsidR="00D52168" w:rsidRPr="00D52168" w:rsidRDefault="00D52168" w:rsidP="00C562EA">
            <w:pPr>
              <w:pStyle w:val="BodyText"/>
            </w:pPr>
            <w:r w:rsidRPr="00D52168">
              <w:t>Total claims</w:t>
            </w:r>
          </w:p>
        </w:tc>
      </w:tr>
      <w:tr w:rsidR="00D52168" w:rsidRPr="00D52168" w14:paraId="6E6DD383" w14:textId="77777777" w:rsidTr="006A0585">
        <w:trPr>
          <w:trHeight w:val="368"/>
        </w:trPr>
        <w:tc>
          <w:tcPr>
            <w:tcW w:w="1250" w:type="pct"/>
            <w:gridSpan w:val="2"/>
          </w:tcPr>
          <w:p w14:paraId="6D2C0096" w14:textId="77777777" w:rsidR="00D52168" w:rsidRPr="00D52168" w:rsidRDefault="00D52168" w:rsidP="00C562EA">
            <w:pPr>
              <w:pStyle w:val="BodyText"/>
              <w:rPr>
                <w:b/>
                <w:bCs/>
              </w:rPr>
            </w:pPr>
            <w:r w:rsidRPr="00D52168">
              <w:rPr>
                <w:b/>
                <w:bCs/>
              </w:rPr>
              <w:t>480.6M</w:t>
            </w:r>
          </w:p>
        </w:tc>
        <w:tc>
          <w:tcPr>
            <w:tcW w:w="3750" w:type="pct"/>
          </w:tcPr>
          <w:p w14:paraId="4C1F78E5" w14:textId="77777777" w:rsidR="00D52168" w:rsidRPr="00D52168" w:rsidRDefault="00D52168" w:rsidP="00C562EA">
            <w:pPr>
              <w:pStyle w:val="BodyText"/>
            </w:pPr>
            <w:r w:rsidRPr="00D52168">
              <w:t>Medicare (services)</w:t>
            </w:r>
          </w:p>
        </w:tc>
      </w:tr>
      <w:tr w:rsidR="00D52168" w:rsidRPr="00D52168" w14:paraId="33E2F71B" w14:textId="77777777" w:rsidTr="006A0585">
        <w:trPr>
          <w:trHeight w:val="368"/>
        </w:trPr>
        <w:tc>
          <w:tcPr>
            <w:tcW w:w="1250" w:type="pct"/>
            <w:gridSpan w:val="2"/>
          </w:tcPr>
          <w:p w14:paraId="06583F21" w14:textId="77777777" w:rsidR="00D52168" w:rsidRPr="00D52168" w:rsidRDefault="00D52168" w:rsidP="00C562EA">
            <w:pPr>
              <w:pStyle w:val="BodyText"/>
              <w:rPr>
                <w:b/>
                <w:bCs/>
              </w:rPr>
            </w:pPr>
            <w:r w:rsidRPr="00D52168">
              <w:rPr>
                <w:b/>
                <w:bCs/>
              </w:rPr>
              <w:t>250.9M</w:t>
            </w:r>
          </w:p>
        </w:tc>
        <w:tc>
          <w:tcPr>
            <w:tcW w:w="3750" w:type="pct"/>
          </w:tcPr>
          <w:p w14:paraId="027A9641" w14:textId="77777777" w:rsidR="00D52168" w:rsidRPr="00D52168" w:rsidRDefault="00D52168" w:rsidP="00C562EA">
            <w:pPr>
              <w:pStyle w:val="BodyText"/>
            </w:pPr>
            <w:r w:rsidRPr="00D52168">
              <w:t>Pharmaceutical Benefits Scheme (services)</w:t>
            </w:r>
          </w:p>
        </w:tc>
      </w:tr>
      <w:tr w:rsidR="00D52168" w:rsidRPr="00D52168" w14:paraId="2CB2DD0B" w14:textId="77777777" w:rsidTr="006A0585">
        <w:trPr>
          <w:trHeight w:val="368"/>
        </w:trPr>
        <w:tc>
          <w:tcPr>
            <w:tcW w:w="1250" w:type="pct"/>
            <w:gridSpan w:val="2"/>
          </w:tcPr>
          <w:p w14:paraId="252EA932" w14:textId="77777777" w:rsidR="00D52168" w:rsidRPr="00D52168" w:rsidRDefault="00D52168" w:rsidP="00C562EA">
            <w:pPr>
              <w:pStyle w:val="BodyText"/>
              <w:rPr>
                <w:b/>
                <w:bCs/>
              </w:rPr>
            </w:pPr>
            <w:r w:rsidRPr="00D52168">
              <w:rPr>
                <w:b/>
                <w:bCs/>
              </w:rPr>
              <w:t>3.5M</w:t>
            </w:r>
          </w:p>
        </w:tc>
        <w:tc>
          <w:tcPr>
            <w:tcW w:w="3750" w:type="pct"/>
          </w:tcPr>
          <w:p w14:paraId="0A1D9A3D" w14:textId="77777777" w:rsidR="00D52168" w:rsidRPr="00D52168" w:rsidRDefault="00D52168" w:rsidP="00C562EA">
            <w:pPr>
              <w:pStyle w:val="BodyText"/>
            </w:pPr>
            <w:r w:rsidRPr="00D52168">
              <w:t>Centrelink</w:t>
            </w:r>
          </w:p>
        </w:tc>
      </w:tr>
      <w:tr w:rsidR="00D52168" w:rsidRPr="00D52168" w14:paraId="0EC0A84E" w14:textId="77777777" w:rsidTr="006A0585">
        <w:trPr>
          <w:trHeight w:val="368"/>
        </w:trPr>
        <w:tc>
          <w:tcPr>
            <w:tcW w:w="1250" w:type="pct"/>
            <w:gridSpan w:val="2"/>
          </w:tcPr>
          <w:p w14:paraId="64D6C264" w14:textId="77777777" w:rsidR="00D52168" w:rsidRPr="00D52168" w:rsidRDefault="00D52168" w:rsidP="00C562EA">
            <w:pPr>
              <w:pStyle w:val="BodyText"/>
              <w:rPr>
                <w:b/>
                <w:bCs/>
              </w:rPr>
            </w:pPr>
            <w:r w:rsidRPr="00D52168">
              <w:rPr>
                <w:b/>
                <w:bCs/>
              </w:rPr>
              <w:t xml:space="preserve">59,400 </w:t>
            </w:r>
          </w:p>
        </w:tc>
        <w:tc>
          <w:tcPr>
            <w:tcW w:w="3750" w:type="pct"/>
          </w:tcPr>
          <w:p w14:paraId="1DEC568A" w14:textId="77777777" w:rsidR="00D52168" w:rsidRPr="00D52168" w:rsidRDefault="00D52168" w:rsidP="00C562EA">
            <w:pPr>
              <w:pStyle w:val="BodyText"/>
            </w:pPr>
            <w:r w:rsidRPr="00D52168">
              <w:t>Child support (new registrations)</w:t>
            </w:r>
          </w:p>
        </w:tc>
      </w:tr>
      <w:tr w:rsidR="00D52168" w:rsidRPr="00D52168" w14:paraId="78CA912A" w14:textId="77777777" w:rsidTr="006A0585">
        <w:trPr>
          <w:trHeight w:val="368"/>
        </w:trPr>
        <w:tc>
          <w:tcPr>
            <w:tcW w:w="1250" w:type="pct"/>
            <w:gridSpan w:val="2"/>
          </w:tcPr>
          <w:p w14:paraId="10056658" w14:textId="77777777" w:rsidR="00D52168" w:rsidRPr="00D52168" w:rsidRDefault="00D52168" w:rsidP="00C562EA">
            <w:pPr>
              <w:pStyle w:val="BodyText"/>
              <w:rPr>
                <w:b/>
                <w:bCs/>
              </w:rPr>
            </w:pPr>
            <w:r w:rsidRPr="00D52168">
              <w:rPr>
                <w:b/>
                <w:bCs/>
              </w:rPr>
              <w:t>938,000</w:t>
            </w:r>
          </w:p>
        </w:tc>
        <w:tc>
          <w:tcPr>
            <w:tcW w:w="3750" w:type="pct"/>
          </w:tcPr>
          <w:p w14:paraId="3A3405AD" w14:textId="77777777" w:rsidR="00D52168" w:rsidRPr="00D52168" w:rsidRDefault="00D52168" w:rsidP="00C562EA">
            <w:pPr>
              <w:pStyle w:val="BodyText"/>
            </w:pPr>
            <w:r w:rsidRPr="00D52168">
              <w:t>Emergency</w:t>
            </w:r>
          </w:p>
        </w:tc>
      </w:tr>
      <w:tr w:rsidR="00D52168" w14:paraId="17D1C4F9" w14:textId="77777777" w:rsidTr="006A0585">
        <w:trPr>
          <w:trHeight w:val="368"/>
        </w:trPr>
        <w:tc>
          <w:tcPr>
            <w:tcW w:w="5000" w:type="pct"/>
            <w:gridSpan w:val="3"/>
          </w:tcPr>
          <w:p w14:paraId="58DC55BB" w14:textId="42135000" w:rsidR="00D52168" w:rsidRPr="00D52168" w:rsidRDefault="00D52168" w:rsidP="00C562EA">
            <w:pPr>
              <w:pStyle w:val="BodyText"/>
            </w:pPr>
            <w:r w:rsidRPr="00D52168">
              <w:rPr>
                <w:b/>
                <w:bCs/>
              </w:rPr>
              <w:t>Digital</w:t>
            </w:r>
          </w:p>
        </w:tc>
      </w:tr>
      <w:tr w:rsidR="00D52168" w14:paraId="0FC43AD3" w14:textId="77777777" w:rsidTr="006A0585">
        <w:trPr>
          <w:trHeight w:val="368"/>
        </w:trPr>
        <w:tc>
          <w:tcPr>
            <w:tcW w:w="1250" w:type="pct"/>
            <w:gridSpan w:val="2"/>
          </w:tcPr>
          <w:p w14:paraId="657E365B" w14:textId="77777777" w:rsidR="00D52168" w:rsidRPr="00D52168" w:rsidRDefault="00D52168" w:rsidP="00C562EA">
            <w:pPr>
              <w:pStyle w:val="BodyText"/>
            </w:pPr>
            <w:r w:rsidRPr="00D52168">
              <w:rPr>
                <w:rStyle w:val="Bold"/>
                <w:color w:val="auto"/>
              </w:rPr>
              <w:t xml:space="preserve">1.1B </w:t>
            </w:r>
          </w:p>
        </w:tc>
        <w:tc>
          <w:tcPr>
            <w:tcW w:w="3750" w:type="pct"/>
          </w:tcPr>
          <w:p w14:paraId="35F84036" w14:textId="77777777" w:rsidR="00D52168" w:rsidRPr="00D52168" w:rsidRDefault="00D52168" w:rsidP="00C562EA">
            <w:pPr>
              <w:pStyle w:val="BodyText"/>
            </w:pPr>
            <w:r w:rsidRPr="00D52168">
              <w:t>Online transactions</w:t>
            </w:r>
          </w:p>
        </w:tc>
      </w:tr>
      <w:tr w:rsidR="00D52168" w14:paraId="4757C461" w14:textId="77777777" w:rsidTr="006A0585">
        <w:trPr>
          <w:trHeight w:val="368"/>
        </w:trPr>
        <w:tc>
          <w:tcPr>
            <w:tcW w:w="1250" w:type="pct"/>
            <w:gridSpan w:val="2"/>
          </w:tcPr>
          <w:p w14:paraId="76117702" w14:textId="77777777" w:rsidR="00D52168" w:rsidRPr="00D52168" w:rsidRDefault="00D52168" w:rsidP="00C562EA">
            <w:pPr>
              <w:pStyle w:val="BodyText"/>
            </w:pPr>
            <w:r w:rsidRPr="00D52168">
              <w:rPr>
                <w:rStyle w:val="Bold"/>
                <w:color w:val="auto"/>
              </w:rPr>
              <w:t>479.6M</w:t>
            </w:r>
          </w:p>
        </w:tc>
        <w:tc>
          <w:tcPr>
            <w:tcW w:w="3750" w:type="pct"/>
          </w:tcPr>
          <w:p w14:paraId="170F7713" w14:textId="77777777" w:rsidR="00D52168" w:rsidRPr="00D52168" w:rsidRDefault="00D52168" w:rsidP="00C562EA">
            <w:pPr>
              <w:pStyle w:val="BodyText"/>
            </w:pPr>
            <w:r w:rsidRPr="00D52168">
              <w:t>Medicare digital services</w:t>
            </w:r>
          </w:p>
        </w:tc>
      </w:tr>
      <w:tr w:rsidR="00D52168" w14:paraId="2BAE6063" w14:textId="77777777" w:rsidTr="006A0585">
        <w:trPr>
          <w:trHeight w:val="368"/>
        </w:trPr>
        <w:tc>
          <w:tcPr>
            <w:tcW w:w="1250" w:type="pct"/>
            <w:gridSpan w:val="2"/>
          </w:tcPr>
          <w:p w14:paraId="0D15AB16" w14:textId="77777777" w:rsidR="00D52168" w:rsidRPr="00D52168" w:rsidRDefault="00D52168" w:rsidP="00C562EA">
            <w:pPr>
              <w:pStyle w:val="BodyText"/>
            </w:pPr>
            <w:r w:rsidRPr="00D52168">
              <w:rPr>
                <w:rStyle w:val="Bold"/>
                <w:color w:val="auto"/>
              </w:rPr>
              <w:t xml:space="preserve">979,000 </w:t>
            </w:r>
          </w:p>
        </w:tc>
        <w:tc>
          <w:tcPr>
            <w:tcW w:w="3750" w:type="pct"/>
          </w:tcPr>
          <w:p w14:paraId="13512969" w14:textId="77777777" w:rsidR="00D52168" w:rsidRPr="00D52168" w:rsidRDefault="00D52168" w:rsidP="00C562EA">
            <w:pPr>
              <w:pStyle w:val="BodyText"/>
            </w:pPr>
            <w:r w:rsidRPr="00D52168">
              <w:t>myGov sign ins per day</w:t>
            </w:r>
          </w:p>
        </w:tc>
      </w:tr>
      <w:tr w:rsidR="00D52168" w14:paraId="1B8B4A8B" w14:textId="77777777" w:rsidTr="006A0585">
        <w:trPr>
          <w:trHeight w:val="368"/>
        </w:trPr>
        <w:tc>
          <w:tcPr>
            <w:tcW w:w="1250" w:type="pct"/>
            <w:gridSpan w:val="2"/>
          </w:tcPr>
          <w:p w14:paraId="5BB47521" w14:textId="77777777" w:rsidR="00D52168" w:rsidRPr="00D52168" w:rsidRDefault="00D52168" w:rsidP="00C562EA">
            <w:pPr>
              <w:pStyle w:val="BodyText"/>
            </w:pPr>
            <w:r w:rsidRPr="00D52168">
              <w:rPr>
                <w:rStyle w:val="Bold"/>
                <w:color w:val="auto"/>
              </w:rPr>
              <w:t>99M</w:t>
            </w:r>
          </w:p>
        </w:tc>
        <w:tc>
          <w:tcPr>
            <w:tcW w:w="3750" w:type="pct"/>
          </w:tcPr>
          <w:p w14:paraId="34FE518C" w14:textId="77777777" w:rsidR="00D52168" w:rsidRPr="00D52168" w:rsidRDefault="00D52168" w:rsidP="00C562EA">
            <w:pPr>
              <w:pStyle w:val="BodyText"/>
            </w:pPr>
            <w:r w:rsidRPr="00D52168">
              <w:t>Website visits with over 242 million page views</w:t>
            </w:r>
          </w:p>
        </w:tc>
      </w:tr>
      <w:tr w:rsidR="00D52168" w14:paraId="1B5412AF" w14:textId="77777777" w:rsidTr="006A0585">
        <w:trPr>
          <w:trHeight w:val="159"/>
        </w:trPr>
        <w:tc>
          <w:tcPr>
            <w:tcW w:w="5000" w:type="pct"/>
            <w:gridSpan w:val="3"/>
          </w:tcPr>
          <w:p w14:paraId="0A773C61" w14:textId="392D3C23" w:rsidR="00D52168" w:rsidRPr="00D52168" w:rsidRDefault="00D52168" w:rsidP="00C562EA">
            <w:pPr>
              <w:pStyle w:val="BodyText"/>
            </w:pPr>
            <w:r>
              <w:rPr>
                <w:b/>
                <w:bCs/>
              </w:rPr>
              <w:t>Telephone</w:t>
            </w:r>
          </w:p>
        </w:tc>
      </w:tr>
      <w:tr w:rsidR="00D52168" w14:paraId="7F1B0A24" w14:textId="77777777" w:rsidTr="006A0585">
        <w:trPr>
          <w:trHeight w:val="328"/>
        </w:trPr>
        <w:tc>
          <w:tcPr>
            <w:tcW w:w="1250" w:type="pct"/>
            <w:gridSpan w:val="2"/>
          </w:tcPr>
          <w:p w14:paraId="035D74F5" w14:textId="77777777" w:rsidR="00D52168" w:rsidRPr="00D52168" w:rsidRDefault="00D52168" w:rsidP="00C562EA">
            <w:pPr>
              <w:pStyle w:val="BodyText"/>
            </w:pPr>
            <w:r w:rsidRPr="00D52168">
              <w:rPr>
                <w:rStyle w:val="Bold"/>
                <w:color w:val="auto"/>
              </w:rPr>
              <w:t>44.3M</w:t>
            </w:r>
          </w:p>
        </w:tc>
        <w:tc>
          <w:tcPr>
            <w:tcW w:w="3750" w:type="pct"/>
          </w:tcPr>
          <w:p w14:paraId="335C8304" w14:textId="77777777" w:rsidR="00D52168" w:rsidRPr="00D52168" w:rsidRDefault="00D52168" w:rsidP="00C562EA">
            <w:pPr>
              <w:pStyle w:val="BodyText"/>
            </w:pPr>
            <w:r w:rsidRPr="00D52168">
              <w:t>Total calls handled*</w:t>
            </w:r>
          </w:p>
        </w:tc>
      </w:tr>
      <w:tr w:rsidR="00D52168" w14:paraId="6AF766A8" w14:textId="77777777" w:rsidTr="006A0585">
        <w:trPr>
          <w:trHeight w:val="328"/>
        </w:trPr>
        <w:tc>
          <w:tcPr>
            <w:tcW w:w="1250" w:type="pct"/>
            <w:gridSpan w:val="2"/>
          </w:tcPr>
          <w:p w14:paraId="4B60F12D" w14:textId="77777777" w:rsidR="00D52168" w:rsidRPr="00D52168" w:rsidRDefault="00D52168" w:rsidP="00C562EA">
            <w:pPr>
              <w:pStyle w:val="BodyText"/>
            </w:pPr>
            <w:r w:rsidRPr="00D52168">
              <w:rPr>
                <w:rStyle w:val="Bold"/>
                <w:color w:val="auto"/>
              </w:rPr>
              <w:t>30.9M</w:t>
            </w:r>
          </w:p>
        </w:tc>
        <w:tc>
          <w:tcPr>
            <w:tcW w:w="3750" w:type="pct"/>
          </w:tcPr>
          <w:p w14:paraId="61112CFA" w14:textId="77777777" w:rsidR="00D52168" w:rsidRPr="00D52168" w:rsidRDefault="00D52168" w:rsidP="00C562EA">
            <w:pPr>
              <w:pStyle w:val="BodyText"/>
            </w:pPr>
            <w:r w:rsidRPr="00D52168">
              <w:t>Centrelink</w:t>
            </w:r>
          </w:p>
        </w:tc>
      </w:tr>
      <w:tr w:rsidR="00D52168" w14:paraId="34A45922" w14:textId="77777777" w:rsidTr="006A0585">
        <w:trPr>
          <w:trHeight w:val="328"/>
        </w:trPr>
        <w:tc>
          <w:tcPr>
            <w:tcW w:w="1250" w:type="pct"/>
            <w:gridSpan w:val="2"/>
          </w:tcPr>
          <w:p w14:paraId="302A3431" w14:textId="77777777" w:rsidR="00D52168" w:rsidRPr="00D52168" w:rsidRDefault="00D52168" w:rsidP="00C562EA">
            <w:pPr>
              <w:pStyle w:val="BodyText"/>
            </w:pPr>
            <w:r w:rsidRPr="00D52168">
              <w:rPr>
                <w:rStyle w:val="Bold"/>
                <w:color w:val="auto"/>
              </w:rPr>
              <w:t>10.7M</w:t>
            </w:r>
          </w:p>
        </w:tc>
        <w:tc>
          <w:tcPr>
            <w:tcW w:w="3750" w:type="pct"/>
          </w:tcPr>
          <w:p w14:paraId="5E210AB3" w14:textId="77777777" w:rsidR="00D52168" w:rsidRPr="00D52168" w:rsidRDefault="00D52168" w:rsidP="00C562EA">
            <w:pPr>
              <w:pStyle w:val="BodyText"/>
            </w:pPr>
            <w:r w:rsidRPr="00D52168">
              <w:t>Medicare</w:t>
            </w:r>
          </w:p>
        </w:tc>
      </w:tr>
      <w:tr w:rsidR="00D52168" w14:paraId="67D121B7" w14:textId="77777777" w:rsidTr="006A0585">
        <w:trPr>
          <w:trHeight w:val="328"/>
        </w:trPr>
        <w:tc>
          <w:tcPr>
            <w:tcW w:w="1250" w:type="pct"/>
            <w:gridSpan w:val="2"/>
          </w:tcPr>
          <w:p w14:paraId="1FFC3A9B" w14:textId="77777777" w:rsidR="00D52168" w:rsidRPr="00D52168" w:rsidRDefault="00D52168" w:rsidP="00C562EA">
            <w:pPr>
              <w:pStyle w:val="BodyText"/>
            </w:pPr>
            <w:r w:rsidRPr="00D52168">
              <w:rPr>
                <w:rStyle w:val="Bold"/>
                <w:color w:val="auto"/>
              </w:rPr>
              <w:t>2.3M</w:t>
            </w:r>
          </w:p>
        </w:tc>
        <w:tc>
          <w:tcPr>
            <w:tcW w:w="3750" w:type="pct"/>
          </w:tcPr>
          <w:p w14:paraId="2A610A33" w14:textId="77777777" w:rsidR="00D52168" w:rsidRPr="00D52168" w:rsidRDefault="00D52168" w:rsidP="00C562EA">
            <w:pPr>
              <w:pStyle w:val="BodyText"/>
            </w:pPr>
            <w:r w:rsidRPr="00D52168">
              <w:t>Child support</w:t>
            </w:r>
          </w:p>
        </w:tc>
      </w:tr>
      <w:tr w:rsidR="00D52168" w14:paraId="0F63F117" w14:textId="77777777" w:rsidTr="006A0585">
        <w:trPr>
          <w:trHeight w:val="328"/>
        </w:trPr>
        <w:tc>
          <w:tcPr>
            <w:tcW w:w="1250" w:type="pct"/>
            <w:gridSpan w:val="2"/>
          </w:tcPr>
          <w:p w14:paraId="5D07457E" w14:textId="77777777" w:rsidR="00D52168" w:rsidRPr="00D52168" w:rsidRDefault="00D52168" w:rsidP="00C562EA">
            <w:pPr>
              <w:pStyle w:val="BodyText"/>
            </w:pPr>
            <w:r w:rsidRPr="00D52168">
              <w:rPr>
                <w:rStyle w:val="Bold"/>
                <w:color w:val="auto"/>
              </w:rPr>
              <w:t>350,000</w:t>
            </w:r>
          </w:p>
        </w:tc>
        <w:tc>
          <w:tcPr>
            <w:tcW w:w="3750" w:type="pct"/>
          </w:tcPr>
          <w:p w14:paraId="7B01CEB5" w14:textId="77777777" w:rsidR="00D52168" w:rsidRPr="00D52168" w:rsidRDefault="00D52168" w:rsidP="00C562EA">
            <w:pPr>
              <w:pStyle w:val="BodyText"/>
            </w:pPr>
            <w:r w:rsidRPr="00D52168">
              <w:t>Emergencies</w:t>
            </w:r>
          </w:p>
        </w:tc>
      </w:tr>
      <w:tr w:rsidR="00D52168" w14:paraId="12575DB9" w14:textId="77777777" w:rsidTr="006A0585">
        <w:trPr>
          <w:trHeight w:val="198"/>
        </w:trPr>
        <w:tc>
          <w:tcPr>
            <w:tcW w:w="5000" w:type="pct"/>
            <w:gridSpan w:val="3"/>
          </w:tcPr>
          <w:p w14:paraId="71C7A023" w14:textId="5BBD8F91" w:rsidR="00D52168" w:rsidRPr="00D52168" w:rsidRDefault="00D52168" w:rsidP="00C562EA">
            <w:pPr>
              <w:pStyle w:val="BodyText"/>
            </w:pPr>
            <w:r>
              <w:rPr>
                <w:b/>
                <w:bCs/>
              </w:rPr>
              <w:t>Face to face</w:t>
            </w:r>
          </w:p>
        </w:tc>
      </w:tr>
      <w:tr w:rsidR="00D52168" w14:paraId="6D3C14D5" w14:textId="77777777" w:rsidTr="006A0585">
        <w:trPr>
          <w:trHeight w:val="302"/>
        </w:trPr>
        <w:tc>
          <w:tcPr>
            <w:tcW w:w="1250" w:type="pct"/>
            <w:gridSpan w:val="2"/>
          </w:tcPr>
          <w:p w14:paraId="3CB33130" w14:textId="77777777" w:rsidR="00D52168" w:rsidRPr="00D52168" w:rsidRDefault="00D52168" w:rsidP="00C562EA">
            <w:pPr>
              <w:pStyle w:val="BodyText"/>
            </w:pPr>
            <w:r w:rsidRPr="00D52168">
              <w:rPr>
                <w:rStyle w:val="Bold"/>
                <w:color w:val="auto"/>
              </w:rPr>
              <w:t>10.1M</w:t>
            </w:r>
          </w:p>
        </w:tc>
        <w:tc>
          <w:tcPr>
            <w:tcW w:w="3750" w:type="pct"/>
          </w:tcPr>
          <w:p w14:paraId="4172D401" w14:textId="77777777" w:rsidR="00D52168" w:rsidRPr="00D52168" w:rsidRDefault="00D52168" w:rsidP="00C562EA">
            <w:pPr>
              <w:pStyle w:val="BodyText"/>
            </w:pPr>
            <w:r w:rsidRPr="00D52168">
              <w:t>Service centre engagements</w:t>
            </w:r>
          </w:p>
        </w:tc>
      </w:tr>
      <w:tr w:rsidR="00D52168" w14:paraId="1EAB7DA2" w14:textId="77777777" w:rsidTr="006A0585">
        <w:trPr>
          <w:trHeight w:val="311"/>
        </w:trPr>
        <w:tc>
          <w:tcPr>
            <w:tcW w:w="1250" w:type="pct"/>
            <w:gridSpan w:val="2"/>
          </w:tcPr>
          <w:p w14:paraId="34F833DA" w14:textId="77777777" w:rsidR="00D52168" w:rsidRPr="00D52168" w:rsidRDefault="00D52168" w:rsidP="00C562EA">
            <w:pPr>
              <w:pStyle w:val="BodyText"/>
            </w:pPr>
            <w:r w:rsidRPr="00D52168">
              <w:rPr>
                <w:rStyle w:val="Bold"/>
                <w:color w:val="auto"/>
              </w:rPr>
              <w:t>318</w:t>
            </w:r>
          </w:p>
        </w:tc>
        <w:tc>
          <w:tcPr>
            <w:tcW w:w="3750" w:type="pct"/>
          </w:tcPr>
          <w:p w14:paraId="30EA116E" w14:textId="77777777" w:rsidR="00D52168" w:rsidRPr="00D52168" w:rsidRDefault="00D52168" w:rsidP="00C562EA">
            <w:pPr>
              <w:pStyle w:val="BodyText"/>
            </w:pPr>
            <w:r w:rsidRPr="00D52168">
              <w:t>Service centres</w:t>
            </w:r>
          </w:p>
        </w:tc>
      </w:tr>
      <w:tr w:rsidR="00D52168" w14:paraId="751C539C" w14:textId="77777777" w:rsidTr="006A0585">
        <w:trPr>
          <w:trHeight w:val="311"/>
        </w:trPr>
        <w:tc>
          <w:tcPr>
            <w:tcW w:w="1250" w:type="pct"/>
            <w:gridSpan w:val="2"/>
          </w:tcPr>
          <w:p w14:paraId="33FF6D12" w14:textId="77777777" w:rsidR="00D52168" w:rsidRPr="00D52168" w:rsidRDefault="00D52168" w:rsidP="00C562EA">
            <w:pPr>
              <w:pStyle w:val="BodyText"/>
            </w:pPr>
            <w:r w:rsidRPr="00D52168">
              <w:rPr>
                <w:rStyle w:val="Bold"/>
                <w:color w:val="auto"/>
              </w:rPr>
              <w:t>568</w:t>
            </w:r>
          </w:p>
        </w:tc>
        <w:tc>
          <w:tcPr>
            <w:tcW w:w="3750" w:type="pct"/>
          </w:tcPr>
          <w:p w14:paraId="69080E5F" w14:textId="77777777" w:rsidR="00D52168" w:rsidRPr="00D52168" w:rsidRDefault="00D52168" w:rsidP="00C562EA">
            <w:pPr>
              <w:pStyle w:val="BodyText"/>
            </w:pPr>
            <w:r w:rsidRPr="00D52168">
              <w:t>Agents and access points</w:t>
            </w:r>
          </w:p>
        </w:tc>
      </w:tr>
      <w:tr w:rsidR="00D52168" w14:paraId="28C8535A" w14:textId="77777777" w:rsidTr="006A0585">
        <w:trPr>
          <w:trHeight w:val="302"/>
        </w:trPr>
        <w:tc>
          <w:tcPr>
            <w:tcW w:w="1250" w:type="pct"/>
            <w:gridSpan w:val="2"/>
          </w:tcPr>
          <w:p w14:paraId="5AC08699" w14:textId="77777777" w:rsidR="00D52168" w:rsidRPr="00D52168" w:rsidRDefault="00D52168" w:rsidP="00C562EA">
            <w:pPr>
              <w:pStyle w:val="BodyText"/>
            </w:pPr>
            <w:r w:rsidRPr="00D52168">
              <w:rPr>
                <w:rStyle w:val="Bold"/>
                <w:color w:val="auto"/>
              </w:rPr>
              <w:t>4</w:t>
            </w:r>
          </w:p>
        </w:tc>
        <w:tc>
          <w:tcPr>
            <w:tcW w:w="3750" w:type="pct"/>
          </w:tcPr>
          <w:p w14:paraId="26F89066" w14:textId="77777777" w:rsidR="00D52168" w:rsidRPr="00D52168" w:rsidRDefault="00D52168" w:rsidP="00C562EA">
            <w:pPr>
              <w:pStyle w:val="BodyText"/>
            </w:pPr>
            <w:r w:rsidRPr="00D52168">
              <w:t>Mobile service centres</w:t>
            </w:r>
          </w:p>
        </w:tc>
      </w:tr>
    </w:tbl>
    <w:p w14:paraId="35263CF2" w14:textId="77777777" w:rsidR="00C73408" w:rsidRDefault="00D52168" w:rsidP="00D52168">
      <w:pPr>
        <w:pStyle w:val="BodyText"/>
        <w:rPr>
          <w:lang w:val="en-GB"/>
        </w:rPr>
      </w:pPr>
      <w:r w:rsidRPr="00D52168">
        <w:rPr>
          <w:lang w:val="en-GB"/>
        </w:rPr>
        <w:lastRenderedPageBreak/>
        <w:t>* The decrease in calls handled compared to last year can be attributed to the reduced use of congestion messaging. A call that receives a congestion message is reported as a handled call as the call was successful in getting through to the IVR where the customer is presented self-service options.</w:t>
      </w:r>
    </w:p>
    <w:sdt>
      <w:sdtPr>
        <w:rPr>
          <w:rFonts w:cs="Times New Roman"/>
          <w:b w:val="0"/>
          <w:bCs w:val="0"/>
          <w:iCs w:val="0"/>
          <w:sz w:val="24"/>
          <w:szCs w:val="24"/>
        </w:rPr>
        <w:id w:val="-1300301328"/>
        <w:docPartObj>
          <w:docPartGallery w:val="Table of Contents"/>
          <w:docPartUnique/>
        </w:docPartObj>
      </w:sdtPr>
      <w:sdtEndPr>
        <w:rPr>
          <w:noProof/>
        </w:rPr>
      </w:sdtEndPr>
      <w:sdtContent>
        <w:p w14:paraId="6475FD16" w14:textId="1E2AD9FD" w:rsidR="001F484D" w:rsidRDefault="001F484D" w:rsidP="001F484D">
          <w:pPr>
            <w:pStyle w:val="Heading2"/>
          </w:pPr>
          <w:r>
            <w:t>Contents</w:t>
          </w:r>
        </w:p>
        <w:p w14:paraId="7BE93EB1" w14:textId="771179D8"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r>
            <w:fldChar w:fldCharType="begin"/>
          </w:r>
          <w:r>
            <w:instrText xml:space="preserve"> TOC \o "1-1" \h \z \u </w:instrText>
          </w:r>
          <w:r>
            <w:fldChar w:fldCharType="separate"/>
          </w:r>
          <w:hyperlink w:anchor="_Toc210815381" w:history="1">
            <w:r w:rsidRPr="00B50A64">
              <w:rPr>
                <w:rStyle w:val="Hyperlink"/>
                <w:noProof/>
              </w:rPr>
              <w:t>Letter of transmittal</w:t>
            </w:r>
            <w:r>
              <w:rPr>
                <w:noProof/>
                <w:webHidden/>
              </w:rPr>
              <w:tab/>
            </w:r>
            <w:r>
              <w:rPr>
                <w:noProof/>
                <w:webHidden/>
              </w:rPr>
              <w:fldChar w:fldCharType="begin"/>
            </w:r>
            <w:r>
              <w:rPr>
                <w:noProof/>
                <w:webHidden/>
              </w:rPr>
              <w:instrText xml:space="preserve"> PAGEREF _Toc210815381 \h </w:instrText>
            </w:r>
            <w:r>
              <w:rPr>
                <w:noProof/>
                <w:webHidden/>
              </w:rPr>
            </w:r>
            <w:r>
              <w:rPr>
                <w:noProof/>
                <w:webHidden/>
              </w:rPr>
              <w:fldChar w:fldCharType="separate"/>
            </w:r>
            <w:r>
              <w:rPr>
                <w:noProof/>
                <w:webHidden/>
              </w:rPr>
              <w:t>5</w:t>
            </w:r>
            <w:r>
              <w:rPr>
                <w:noProof/>
                <w:webHidden/>
              </w:rPr>
              <w:fldChar w:fldCharType="end"/>
            </w:r>
          </w:hyperlink>
        </w:p>
        <w:p w14:paraId="3E1707DC" w14:textId="5E60F94D"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382" w:history="1">
            <w:r w:rsidRPr="00B50A64">
              <w:rPr>
                <w:rStyle w:val="Hyperlink"/>
                <w:noProof/>
              </w:rPr>
              <w:t>Chief Executive Officer’s review</w:t>
            </w:r>
            <w:r>
              <w:rPr>
                <w:noProof/>
                <w:webHidden/>
              </w:rPr>
              <w:tab/>
            </w:r>
            <w:r>
              <w:rPr>
                <w:noProof/>
                <w:webHidden/>
              </w:rPr>
              <w:fldChar w:fldCharType="begin"/>
            </w:r>
            <w:r>
              <w:rPr>
                <w:noProof/>
                <w:webHidden/>
              </w:rPr>
              <w:instrText xml:space="preserve"> PAGEREF _Toc210815382 \h </w:instrText>
            </w:r>
            <w:r>
              <w:rPr>
                <w:noProof/>
                <w:webHidden/>
              </w:rPr>
            </w:r>
            <w:r>
              <w:rPr>
                <w:noProof/>
                <w:webHidden/>
              </w:rPr>
              <w:fldChar w:fldCharType="separate"/>
            </w:r>
            <w:r>
              <w:rPr>
                <w:noProof/>
                <w:webHidden/>
              </w:rPr>
              <w:t>6</w:t>
            </w:r>
            <w:r>
              <w:rPr>
                <w:noProof/>
                <w:webHidden/>
              </w:rPr>
              <w:fldChar w:fldCharType="end"/>
            </w:r>
          </w:hyperlink>
        </w:p>
        <w:p w14:paraId="14954AA2" w14:textId="0A61F8DC" w:rsidR="001F484D" w:rsidRPr="001F484D" w:rsidRDefault="001F484D">
          <w:pPr>
            <w:pStyle w:val="TOC1"/>
            <w:tabs>
              <w:tab w:val="right" w:leader="dot" w:pos="11096"/>
            </w:tabs>
            <w:rPr>
              <w:rFonts w:asciiTheme="minorHAnsi" w:eastAsiaTheme="minorEastAsia" w:hAnsiTheme="minorHAnsi" w:cstheme="minorBidi"/>
              <w:b/>
              <w:bCs/>
              <w:noProof/>
              <w:kern w:val="2"/>
              <w:lang w:eastAsia="en-AU"/>
              <w14:ligatures w14:val="standardContextual"/>
            </w:rPr>
          </w:pPr>
          <w:hyperlink w:anchor="_Toc210815383" w:history="1">
            <w:r w:rsidRPr="001F484D">
              <w:rPr>
                <w:rStyle w:val="Hyperlink"/>
                <w:b/>
                <w:bCs/>
                <w:noProof/>
              </w:rPr>
              <w:t>Part 1 – Agency overview: role and functions</w:t>
            </w:r>
            <w:r w:rsidRPr="001F484D">
              <w:rPr>
                <w:b/>
                <w:bCs/>
                <w:noProof/>
                <w:webHidden/>
              </w:rPr>
              <w:tab/>
            </w:r>
            <w:r w:rsidRPr="001F484D">
              <w:rPr>
                <w:b/>
                <w:bCs/>
                <w:noProof/>
                <w:webHidden/>
              </w:rPr>
              <w:fldChar w:fldCharType="begin"/>
            </w:r>
            <w:r w:rsidRPr="001F484D">
              <w:rPr>
                <w:b/>
                <w:bCs/>
                <w:noProof/>
                <w:webHidden/>
              </w:rPr>
              <w:instrText xml:space="preserve"> PAGEREF _Toc210815383 \h </w:instrText>
            </w:r>
            <w:r w:rsidRPr="001F484D">
              <w:rPr>
                <w:b/>
                <w:bCs/>
                <w:noProof/>
                <w:webHidden/>
              </w:rPr>
            </w:r>
            <w:r w:rsidRPr="001F484D">
              <w:rPr>
                <w:b/>
                <w:bCs/>
                <w:noProof/>
                <w:webHidden/>
              </w:rPr>
              <w:fldChar w:fldCharType="separate"/>
            </w:r>
            <w:r>
              <w:rPr>
                <w:b/>
                <w:bCs/>
                <w:noProof/>
                <w:webHidden/>
              </w:rPr>
              <w:t>10</w:t>
            </w:r>
            <w:r w:rsidRPr="001F484D">
              <w:rPr>
                <w:b/>
                <w:bCs/>
                <w:noProof/>
                <w:webHidden/>
              </w:rPr>
              <w:fldChar w:fldCharType="end"/>
            </w:r>
          </w:hyperlink>
        </w:p>
        <w:p w14:paraId="3E5CD5CF" w14:textId="451331FC"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384" w:history="1">
            <w:r w:rsidRPr="00B50A64">
              <w:rPr>
                <w:rStyle w:val="Hyperlink"/>
                <w:noProof/>
              </w:rPr>
              <w:t>1.1 Purpose and vision</w:t>
            </w:r>
            <w:r>
              <w:rPr>
                <w:noProof/>
                <w:webHidden/>
              </w:rPr>
              <w:tab/>
            </w:r>
            <w:r>
              <w:rPr>
                <w:noProof/>
                <w:webHidden/>
              </w:rPr>
              <w:fldChar w:fldCharType="begin"/>
            </w:r>
            <w:r>
              <w:rPr>
                <w:noProof/>
                <w:webHidden/>
              </w:rPr>
              <w:instrText xml:space="preserve"> PAGEREF _Toc210815384 \h </w:instrText>
            </w:r>
            <w:r>
              <w:rPr>
                <w:noProof/>
                <w:webHidden/>
              </w:rPr>
            </w:r>
            <w:r>
              <w:rPr>
                <w:noProof/>
                <w:webHidden/>
              </w:rPr>
              <w:fldChar w:fldCharType="separate"/>
            </w:r>
            <w:r>
              <w:rPr>
                <w:noProof/>
                <w:webHidden/>
              </w:rPr>
              <w:t>10</w:t>
            </w:r>
            <w:r>
              <w:rPr>
                <w:noProof/>
                <w:webHidden/>
              </w:rPr>
              <w:fldChar w:fldCharType="end"/>
            </w:r>
          </w:hyperlink>
        </w:p>
        <w:p w14:paraId="0A833F71" w14:textId="77361C2F"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385" w:history="1">
            <w:r w:rsidRPr="00B50A64">
              <w:rPr>
                <w:rStyle w:val="Hyperlink"/>
                <w:noProof/>
              </w:rPr>
              <w:t>1.2 Corporate governance</w:t>
            </w:r>
            <w:r>
              <w:rPr>
                <w:noProof/>
                <w:webHidden/>
              </w:rPr>
              <w:tab/>
            </w:r>
            <w:r>
              <w:rPr>
                <w:noProof/>
                <w:webHidden/>
              </w:rPr>
              <w:fldChar w:fldCharType="begin"/>
            </w:r>
            <w:r>
              <w:rPr>
                <w:noProof/>
                <w:webHidden/>
              </w:rPr>
              <w:instrText xml:space="preserve"> PAGEREF _Toc210815385 \h </w:instrText>
            </w:r>
            <w:r>
              <w:rPr>
                <w:noProof/>
                <w:webHidden/>
              </w:rPr>
            </w:r>
            <w:r>
              <w:rPr>
                <w:noProof/>
                <w:webHidden/>
              </w:rPr>
              <w:fldChar w:fldCharType="separate"/>
            </w:r>
            <w:r>
              <w:rPr>
                <w:noProof/>
                <w:webHidden/>
              </w:rPr>
              <w:t>11</w:t>
            </w:r>
            <w:r>
              <w:rPr>
                <w:noProof/>
                <w:webHidden/>
              </w:rPr>
              <w:fldChar w:fldCharType="end"/>
            </w:r>
          </w:hyperlink>
        </w:p>
        <w:p w14:paraId="68259256" w14:textId="5A1B3CB2" w:rsidR="001F484D" w:rsidRPr="001F484D" w:rsidRDefault="001F484D">
          <w:pPr>
            <w:pStyle w:val="TOC1"/>
            <w:tabs>
              <w:tab w:val="right" w:leader="dot" w:pos="11096"/>
            </w:tabs>
            <w:rPr>
              <w:rFonts w:asciiTheme="minorHAnsi" w:eastAsiaTheme="minorEastAsia" w:hAnsiTheme="minorHAnsi" w:cstheme="minorBidi"/>
              <w:b/>
              <w:bCs/>
              <w:noProof/>
              <w:kern w:val="2"/>
              <w:lang w:eastAsia="en-AU"/>
              <w14:ligatures w14:val="standardContextual"/>
            </w:rPr>
          </w:pPr>
          <w:hyperlink w:anchor="_Toc210815386" w:history="1">
            <w:r w:rsidRPr="001F484D">
              <w:rPr>
                <w:rStyle w:val="Hyperlink"/>
                <w:b/>
                <w:bCs/>
                <w:noProof/>
              </w:rPr>
              <w:t>Part 2 – Our performance</w:t>
            </w:r>
            <w:r w:rsidRPr="001F484D">
              <w:rPr>
                <w:b/>
                <w:bCs/>
                <w:noProof/>
                <w:webHidden/>
              </w:rPr>
              <w:tab/>
            </w:r>
            <w:r w:rsidRPr="001F484D">
              <w:rPr>
                <w:b/>
                <w:bCs/>
                <w:noProof/>
                <w:webHidden/>
              </w:rPr>
              <w:fldChar w:fldCharType="begin"/>
            </w:r>
            <w:r w:rsidRPr="001F484D">
              <w:rPr>
                <w:b/>
                <w:bCs/>
                <w:noProof/>
                <w:webHidden/>
              </w:rPr>
              <w:instrText xml:space="preserve"> PAGEREF _Toc210815386 \h </w:instrText>
            </w:r>
            <w:r w:rsidRPr="001F484D">
              <w:rPr>
                <w:b/>
                <w:bCs/>
                <w:noProof/>
                <w:webHidden/>
              </w:rPr>
            </w:r>
            <w:r w:rsidRPr="001F484D">
              <w:rPr>
                <w:b/>
                <w:bCs/>
                <w:noProof/>
                <w:webHidden/>
              </w:rPr>
              <w:fldChar w:fldCharType="separate"/>
            </w:r>
            <w:r>
              <w:rPr>
                <w:b/>
                <w:bCs/>
                <w:noProof/>
                <w:webHidden/>
              </w:rPr>
              <w:t>15</w:t>
            </w:r>
            <w:r w:rsidRPr="001F484D">
              <w:rPr>
                <w:b/>
                <w:bCs/>
                <w:noProof/>
                <w:webHidden/>
              </w:rPr>
              <w:fldChar w:fldCharType="end"/>
            </w:r>
          </w:hyperlink>
        </w:p>
        <w:p w14:paraId="046BE79B" w14:textId="769A9EAF"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387" w:history="1">
            <w:r w:rsidRPr="00B50A64">
              <w:rPr>
                <w:rStyle w:val="Hyperlink"/>
                <w:noProof/>
              </w:rPr>
              <w:t>2.1 Annual Performance Statements 2024–24</w:t>
            </w:r>
            <w:r>
              <w:rPr>
                <w:noProof/>
                <w:webHidden/>
              </w:rPr>
              <w:tab/>
            </w:r>
            <w:r>
              <w:rPr>
                <w:noProof/>
                <w:webHidden/>
              </w:rPr>
              <w:fldChar w:fldCharType="begin"/>
            </w:r>
            <w:r>
              <w:rPr>
                <w:noProof/>
                <w:webHidden/>
              </w:rPr>
              <w:instrText xml:space="preserve"> PAGEREF _Toc210815387 \h </w:instrText>
            </w:r>
            <w:r>
              <w:rPr>
                <w:noProof/>
                <w:webHidden/>
              </w:rPr>
            </w:r>
            <w:r>
              <w:rPr>
                <w:noProof/>
                <w:webHidden/>
              </w:rPr>
              <w:fldChar w:fldCharType="separate"/>
            </w:r>
            <w:r>
              <w:rPr>
                <w:noProof/>
                <w:webHidden/>
              </w:rPr>
              <w:t>15</w:t>
            </w:r>
            <w:r>
              <w:rPr>
                <w:noProof/>
                <w:webHidden/>
              </w:rPr>
              <w:fldChar w:fldCharType="end"/>
            </w:r>
          </w:hyperlink>
        </w:p>
        <w:p w14:paraId="3AA0CA2D" w14:textId="73DDDC2C" w:rsidR="001F484D" w:rsidRPr="001F484D" w:rsidRDefault="001F484D">
          <w:pPr>
            <w:pStyle w:val="TOC1"/>
            <w:tabs>
              <w:tab w:val="right" w:leader="dot" w:pos="11096"/>
            </w:tabs>
            <w:rPr>
              <w:rFonts w:asciiTheme="minorHAnsi" w:eastAsiaTheme="minorEastAsia" w:hAnsiTheme="minorHAnsi" w:cstheme="minorBidi"/>
              <w:b/>
              <w:bCs/>
              <w:noProof/>
              <w:kern w:val="2"/>
              <w:lang w:eastAsia="en-AU"/>
              <w14:ligatures w14:val="standardContextual"/>
            </w:rPr>
          </w:pPr>
          <w:hyperlink w:anchor="_Toc210815388" w:history="1">
            <w:r w:rsidRPr="001F484D">
              <w:rPr>
                <w:rStyle w:val="Hyperlink"/>
                <w:b/>
                <w:bCs/>
                <w:noProof/>
              </w:rPr>
              <w:t>Part 3 – Service delivery</w:t>
            </w:r>
            <w:r w:rsidRPr="001F484D">
              <w:rPr>
                <w:b/>
                <w:bCs/>
                <w:noProof/>
                <w:webHidden/>
              </w:rPr>
              <w:tab/>
            </w:r>
            <w:r w:rsidRPr="001F484D">
              <w:rPr>
                <w:b/>
                <w:bCs/>
                <w:noProof/>
                <w:webHidden/>
              </w:rPr>
              <w:fldChar w:fldCharType="begin"/>
            </w:r>
            <w:r w:rsidRPr="001F484D">
              <w:rPr>
                <w:b/>
                <w:bCs/>
                <w:noProof/>
                <w:webHidden/>
              </w:rPr>
              <w:instrText xml:space="preserve"> PAGEREF _Toc210815388 \h </w:instrText>
            </w:r>
            <w:r w:rsidRPr="001F484D">
              <w:rPr>
                <w:b/>
                <w:bCs/>
                <w:noProof/>
                <w:webHidden/>
              </w:rPr>
            </w:r>
            <w:r w:rsidRPr="001F484D">
              <w:rPr>
                <w:b/>
                <w:bCs/>
                <w:noProof/>
                <w:webHidden/>
              </w:rPr>
              <w:fldChar w:fldCharType="separate"/>
            </w:r>
            <w:r>
              <w:rPr>
                <w:b/>
                <w:bCs/>
                <w:noProof/>
                <w:webHidden/>
              </w:rPr>
              <w:t>15</w:t>
            </w:r>
            <w:r w:rsidRPr="001F484D">
              <w:rPr>
                <w:b/>
                <w:bCs/>
                <w:noProof/>
                <w:webHidden/>
              </w:rPr>
              <w:fldChar w:fldCharType="end"/>
            </w:r>
          </w:hyperlink>
        </w:p>
        <w:p w14:paraId="4578E1E9" w14:textId="43378D8F"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389" w:history="1">
            <w:r w:rsidRPr="00B50A64">
              <w:rPr>
                <w:rStyle w:val="Hyperlink"/>
                <w:noProof/>
              </w:rPr>
              <w:t>3.1 Simplifying services</w:t>
            </w:r>
            <w:r>
              <w:rPr>
                <w:noProof/>
                <w:webHidden/>
              </w:rPr>
              <w:tab/>
            </w:r>
            <w:r>
              <w:rPr>
                <w:noProof/>
                <w:webHidden/>
              </w:rPr>
              <w:fldChar w:fldCharType="begin"/>
            </w:r>
            <w:r>
              <w:rPr>
                <w:noProof/>
                <w:webHidden/>
              </w:rPr>
              <w:instrText xml:space="preserve"> PAGEREF _Toc210815389 \h </w:instrText>
            </w:r>
            <w:r>
              <w:rPr>
                <w:noProof/>
                <w:webHidden/>
              </w:rPr>
            </w:r>
            <w:r>
              <w:rPr>
                <w:noProof/>
                <w:webHidden/>
              </w:rPr>
              <w:fldChar w:fldCharType="separate"/>
            </w:r>
            <w:r>
              <w:rPr>
                <w:noProof/>
                <w:webHidden/>
              </w:rPr>
              <w:t>15</w:t>
            </w:r>
            <w:r>
              <w:rPr>
                <w:noProof/>
                <w:webHidden/>
              </w:rPr>
              <w:fldChar w:fldCharType="end"/>
            </w:r>
          </w:hyperlink>
        </w:p>
        <w:p w14:paraId="497F7F03" w14:textId="0B91A388"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390" w:history="1">
            <w:r w:rsidRPr="00B50A64">
              <w:rPr>
                <w:rStyle w:val="Hyperlink"/>
                <w:noProof/>
              </w:rPr>
              <w:t>3.2 Simplifying employment income reporting</w:t>
            </w:r>
            <w:r>
              <w:rPr>
                <w:noProof/>
                <w:webHidden/>
              </w:rPr>
              <w:tab/>
            </w:r>
            <w:r>
              <w:rPr>
                <w:noProof/>
                <w:webHidden/>
              </w:rPr>
              <w:fldChar w:fldCharType="begin"/>
            </w:r>
            <w:r>
              <w:rPr>
                <w:noProof/>
                <w:webHidden/>
              </w:rPr>
              <w:instrText xml:space="preserve"> PAGEREF _Toc210815390 \h </w:instrText>
            </w:r>
            <w:r>
              <w:rPr>
                <w:noProof/>
                <w:webHidden/>
              </w:rPr>
            </w:r>
            <w:r>
              <w:rPr>
                <w:noProof/>
                <w:webHidden/>
              </w:rPr>
              <w:fldChar w:fldCharType="separate"/>
            </w:r>
            <w:r>
              <w:rPr>
                <w:noProof/>
                <w:webHidden/>
              </w:rPr>
              <w:t>18</w:t>
            </w:r>
            <w:r>
              <w:rPr>
                <w:noProof/>
                <w:webHidden/>
              </w:rPr>
              <w:fldChar w:fldCharType="end"/>
            </w:r>
          </w:hyperlink>
        </w:p>
        <w:p w14:paraId="3B3867FD" w14:textId="1584DE2B"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391" w:history="1">
            <w:r w:rsidRPr="00B50A64">
              <w:rPr>
                <w:rStyle w:val="Hyperlink"/>
                <w:noProof/>
              </w:rPr>
              <w:t>3.3 Health Delivery Modernisation Program</w:t>
            </w:r>
            <w:r>
              <w:rPr>
                <w:noProof/>
                <w:webHidden/>
              </w:rPr>
              <w:tab/>
            </w:r>
            <w:r>
              <w:rPr>
                <w:noProof/>
                <w:webHidden/>
              </w:rPr>
              <w:fldChar w:fldCharType="begin"/>
            </w:r>
            <w:r>
              <w:rPr>
                <w:noProof/>
                <w:webHidden/>
              </w:rPr>
              <w:instrText xml:space="preserve"> PAGEREF _Toc210815391 \h </w:instrText>
            </w:r>
            <w:r>
              <w:rPr>
                <w:noProof/>
                <w:webHidden/>
              </w:rPr>
            </w:r>
            <w:r>
              <w:rPr>
                <w:noProof/>
                <w:webHidden/>
              </w:rPr>
              <w:fldChar w:fldCharType="separate"/>
            </w:r>
            <w:r>
              <w:rPr>
                <w:noProof/>
                <w:webHidden/>
              </w:rPr>
              <w:t>19</w:t>
            </w:r>
            <w:r>
              <w:rPr>
                <w:noProof/>
                <w:webHidden/>
              </w:rPr>
              <w:fldChar w:fldCharType="end"/>
            </w:r>
          </w:hyperlink>
        </w:p>
        <w:p w14:paraId="7DFA1CD6" w14:textId="666DDEC1" w:rsidR="001F484D" w:rsidRDefault="001F484D">
          <w:pPr>
            <w:pStyle w:val="TOC1"/>
            <w:tabs>
              <w:tab w:val="left" w:pos="720"/>
              <w:tab w:val="right" w:leader="dot" w:pos="11096"/>
            </w:tabs>
            <w:rPr>
              <w:rFonts w:asciiTheme="minorHAnsi" w:eastAsiaTheme="minorEastAsia" w:hAnsiTheme="minorHAnsi" w:cstheme="minorBidi"/>
              <w:noProof/>
              <w:kern w:val="2"/>
              <w:lang w:eastAsia="en-AU"/>
              <w14:ligatures w14:val="standardContextual"/>
            </w:rPr>
          </w:pPr>
          <w:hyperlink w:anchor="_Toc210815392" w:history="1">
            <w:r w:rsidRPr="00B50A64">
              <w:rPr>
                <w:rStyle w:val="Hyperlink"/>
                <w:noProof/>
              </w:rPr>
              <w:t>3.4 Department of Veterans’ Affairs Modernisation Program</w:t>
            </w:r>
            <w:r>
              <w:rPr>
                <w:noProof/>
                <w:webHidden/>
              </w:rPr>
              <w:tab/>
            </w:r>
            <w:r>
              <w:rPr>
                <w:noProof/>
                <w:webHidden/>
              </w:rPr>
              <w:fldChar w:fldCharType="begin"/>
            </w:r>
            <w:r>
              <w:rPr>
                <w:noProof/>
                <w:webHidden/>
              </w:rPr>
              <w:instrText xml:space="preserve"> PAGEREF _Toc210815392 \h </w:instrText>
            </w:r>
            <w:r>
              <w:rPr>
                <w:noProof/>
                <w:webHidden/>
              </w:rPr>
            </w:r>
            <w:r>
              <w:rPr>
                <w:noProof/>
                <w:webHidden/>
              </w:rPr>
              <w:fldChar w:fldCharType="separate"/>
            </w:r>
            <w:r>
              <w:rPr>
                <w:noProof/>
                <w:webHidden/>
              </w:rPr>
              <w:t>19</w:t>
            </w:r>
            <w:r>
              <w:rPr>
                <w:noProof/>
                <w:webHidden/>
              </w:rPr>
              <w:fldChar w:fldCharType="end"/>
            </w:r>
          </w:hyperlink>
        </w:p>
        <w:p w14:paraId="7F314C54" w14:textId="5A5A6391"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393" w:history="1">
            <w:r w:rsidRPr="00B50A64">
              <w:rPr>
                <w:rStyle w:val="Hyperlink"/>
                <w:noProof/>
              </w:rPr>
              <w:t>3.5 Operate and maintain myGov</w:t>
            </w:r>
            <w:r>
              <w:rPr>
                <w:noProof/>
                <w:webHidden/>
              </w:rPr>
              <w:tab/>
            </w:r>
            <w:r>
              <w:rPr>
                <w:noProof/>
                <w:webHidden/>
              </w:rPr>
              <w:fldChar w:fldCharType="begin"/>
            </w:r>
            <w:r>
              <w:rPr>
                <w:noProof/>
                <w:webHidden/>
              </w:rPr>
              <w:instrText xml:space="preserve"> PAGEREF _Toc210815393 \h </w:instrText>
            </w:r>
            <w:r>
              <w:rPr>
                <w:noProof/>
                <w:webHidden/>
              </w:rPr>
            </w:r>
            <w:r>
              <w:rPr>
                <w:noProof/>
                <w:webHidden/>
              </w:rPr>
              <w:fldChar w:fldCharType="separate"/>
            </w:r>
            <w:r>
              <w:rPr>
                <w:noProof/>
                <w:webHidden/>
              </w:rPr>
              <w:t>19</w:t>
            </w:r>
            <w:r>
              <w:rPr>
                <w:noProof/>
                <w:webHidden/>
              </w:rPr>
              <w:fldChar w:fldCharType="end"/>
            </w:r>
          </w:hyperlink>
        </w:p>
        <w:p w14:paraId="214A25D5" w14:textId="23550601" w:rsidR="001F484D" w:rsidRPr="001F484D" w:rsidRDefault="001F484D">
          <w:pPr>
            <w:pStyle w:val="TOC1"/>
            <w:tabs>
              <w:tab w:val="right" w:leader="dot" w:pos="11096"/>
            </w:tabs>
            <w:rPr>
              <w:rFonts w:asciiTheme="minorHAnsi" w:eastAsiaTheme="minorEastAsia" w:hAnsiTheme="minorHAnsi" w:cstheme="minorBidi"/>
              <w:b/>
              <w:bCs/>
              <w:noProof/>
              <w:kern w:val="2"/>
              <w:lang w:eastAsia="en-AU"/>
              <w14:ligatures w14:val="standardContextual"/>
            </w:rPr>
          </w:pPr>
          <w:hyperlink w:anchor="_Toc210815394" w:history="1">
            <w:r w:rsidRPr="001F484D">
              <w:rPr>
                <w:rStyle w:val="Hyperlink"/>
                <w:b/>
                <w:bCs/>
                <w:noProof/>
              </w:rPr>
              <w:t>Part 4 – Delivering payments and services to our customers</w:t>
            </w:r>
            <w:r w:rsidRPr="001F484D">
              <w:rPr>
                <w:b/>
                <w:bCs/>
                <w:noProof/>
                <w:webHidden/>
              </w:rPr>
              <w:tab/>
            </w:r>
            <w:r w:rsidRPr="001F484D">
              <w:rPr>
                <w:b/>
                <w:bCs/>
                <w:noProof/>
                <w:webHidden/>
              </w:rPr>
              <w:fldChar w:fldCharType="begin"/>
            </w:r>
            <w:r w:rsidRPr="001F484D">
              <w:rPr>
                <w:b/>
                <w:bCs/>
                <w:noProof/>
                <w:webHidden/>
              </w:rPr>
              <w:instrText xml:space="preserve"> PAGEREF _Toc210815394 \h </w:instrText>
            </w:r>
            <w:r w:rsidRPr="001F484D">
              <w:rPr>
                <w:b/>
                <w:bCs/>
                <w:noProof/>
                <w:webHidden/>
              </w:rPr>
            </w:r>
            <w:r w:rsidRPr="001F484D">
              <w:rPr>
                <w:b/>
                <w:bCs/>
                <w:noProof/>
                <w:webHidden/>
              </w:rPr>
              <w:fldChar w:fldCharType="separate"/>
            </w:r>
            <w:r>
              <w:rPr>
                <w:b/>
                <w:bCs/>
                <w:noProof/>
                <w:webHidden/>
              </w:rPr>
              <w:t>21</w:t>
            </w:r>
            <w:r w:rsidRPr="001F484D">
              <w:rPr>
                <w:b/>
                <w:bCs/>
                <w:noProof/>
                <w:webHidden/>
              </w:rPr>
              <w:fldChar w:fldCharType="end"/>
            </w:r>
          </w:hyperlink>
        </w:p>
        <w:p w14:paraId="349A24D6" w14:textId="573A3260"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395" w:history="1">
            <w:r w:rsidRPr="00B50A64">
              <w:rPr>
                <w:rStyle w:val="Hyperlink"/>
                <w:noProof/>
              </w:rPr>
              <w:t>4.1 Social security</w:t>
            </w:r>
            <w:r>
              <w:rPr>
                <w:noProof/>
                <w:webHidden/>
              </w:rPr>
              <w:tab/>
            </w:r>
            <w:r>
              <w:rPr>
                <w:noProof/>
                <w:webHidden/>
              </w:rPr>
              <w:fldChar w:fldCharType="begin"/>
            </w:r>
            <w:r>
              <w:rPr>
                <w:noProof/>
                <w:webHidden/>
              </w:rPr>
              <w:instrText xml:space="preserve"> PAGEREF _Toc210815395 \h </w:instrText>
            </w:r>
            <w:r>
              <w:rPr>
                <w:noProof/>
                <w:webHidden/>
              </w:rPr>
            </w:r>
            <w:r>
              <w:rPr>
                <w:noProof/>
                <w:webHidden/>
              </w:rPr>
              <w:fldChar w:fldCharType="separate"/>
            </w:r>
            <w:r>
              <w:rPr>
                <w:noProof/>
                <w:webHidden/>
              </w:rPr>
              <w:t>21</w:t>
            </w:r>
            <w:r>
              <w:rPr>
                <w:noProof/>
                <w:webHidden/>
              </w:rPr>
              <w:fldChar w:fldCharType="end"/>
            </w:r>
          </w:hyperlink>
        </w:p>
        <w:p w14:paraId="1883F206" w14:textId="42F1B0BC"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396" w:history="1">
            <w:r w:rsidRPr="00B50A64">
              <w:rPr>
                <w:rStyle w:val="Hyperlink"/>
                <w:noProof/>
              </w:rPr>
              <w:t>4.2 Health</w:t>
            </w:r>
            <w:r>
              <w:rPr>
                <w:noProof/>
                <w:webHidden/>
              </w:rPr>
              <w:tab/>
            </w:r>
            <w:r>
              <w:rPr>
                <w:noProof/>
                <w:webHidden/>
              </w:rPr>
              <w:fldChar w:fldCharType="begin"/>
            </w:r>
            <w:r>
              <w:rPr>
                <w:noProof/>
                <w:webHidden/>
              </w:rPr>
              <w:instrText xml:space="preserve"> PAGEREF _Toc210815396 \h </w:instrText>
            </w:r>
            <w:r>
              <w:rPr>
                <w:noProof/>
                <w:webHidden/>
              </w:rPr>
            </w:r>
            <w:r>
              <w:rPr>
                <w:noProof/>
                <w:webHidden/>
              </w:rPr>
              <w:fldChar w:fldCharType="separate"/>
            </w:r>
            <w:r>
              <w:rPr>
                <w:noProof/>
                <w:webHidden/>
              </w:rPr>
              <w:t>29</w:t>
            </w:r>
            <w:r>
              <w:rPr>
                <w:noProof/>
                <w:webHidden/>
              </w:rPr>
              <w:fldChar w:fldCharType="end"/>
            </w:r>
          </w:hyperlink>
        </w:p>
        <w:p w14:paraId="18E88036" w14:textId="5FD25FE7"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397" w:history="1">
            <w:r w:rsidRPr="00B50A64">
              <w:rPr>
                <w:rStyle w:val="Hyperlink"/>
                <w:noProof/>
              </w:rPr>
              <w:t>4.3 Child Support</w:t>
            </w:r>
            <w:r>
              <w:rPr>
                <w:noProof/>
                <w:webHidden/>
              </w:rPr>
              <w:tab/>
            </w:r>
            <w:r>
              <w:rPr>
                <w:noProof/>
                <w:webHidden/>
              </w:rPr>
              <w:fldChar w:fldCharType="begin"/>
            </w:r>
            <w:r>
              <w:rPr>
                <w:noProof/>
                <w:webHidden/>
              </w:rPr>
              <w:instrText xml:space="preserve"> PAGEREF _Toc210815397 \h </w:instrText>
            </w:r>
            <w:r>
              <w:rPr>
                <w:noProof/>
                <w:webHidden/>
              </w:rPr>
            </w:r>
            <w:r>
              <w:rPr>
                <w:noProof/>
                <w:webHidden/>
              </w:rPr>
              <w:fldChar w:fldCharType="separate"/>
            </w:r>
            <w:r>
              <w:rPr>
                <w:noProof/>
                <w:webHidden/>
              </w:rPr>
              <w:t>48</w:t>
            </w:r>
            <w:r>
              <w:rPr>
                <w:noProof/>
                <w:webHidden/>
              </w:rPr>
              <w:fldChar w:fldCharType="end"/>
            </w:r>
          </w:hyperlink>
        </w:p>
        <w:p w14:paraId="2A8B5BA7" w14:textId="742278FE"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398" w:history="1">
            <w:r w:rsidRPr="00B50A64">
              <w:rPr>
                <w:rStyle w:val="Hyperlink"/>
                <w:noProof/>
              </w:rPr>
              <w:t xml:space="preserve">4.4 </w:t>
            </w:r>
            <w:r w:rsidRPr="00B50A64">
              <w:rPr>
                <w:rStyle w:val="Hyperlink"/>
                <w:noProof/>
                <w:spacing w:val="-10"/>
              </w:rPr>
              <w:t>Disasters and emergency events in 2024–25</w:t>
            </w:r>
            <w:r>
              <w:rPr>
                <w:noProof/>
                <w:webHidden/>
              </w:rPr>
              <w:tab/>
            </w:r>
            <w:r>
              <w:rPr>
                <w:noProof/>
                <w:webHidden/>
              </w:rPr>
              <w:fldChar w:fldCharType="begin"/>
            </w:r>
            <w:r>
              <w:rPr>
                <w:noProof/>
                <w:webHidden/>
              </w:rPr>
              <w:instrText xml:space="preserve"> PAGEREF _Toc210815398 \h </w:instrText>
            </w:r>
            <w:r>
              <w:rPr>
                <w:noProof/>
                <w:webHidden/>
              </w:rPr>
            </w:r>
            <w:r>
              <w:rPr>
                <w:noProof/>
                <w:webHidden/>
              </w:rPr>
              <w:fldChar w:fldCharType="separate"/>
            </w:r>
            <w:r>
              <w:rPr>
                <w:noProof/>
                <w:webHidden/>
              </w:rPr>
              <w:t>51</w:t>
            </w:r>
            <w:r>
              <w:rPr>
                <w:noProof/>
                <w:webHidden/>
              </w:rPr>
              <w:fldChar w:fldCharType="end"/>
            </w:r>
          </w:hyperlink>
        </w:p>
        <w:p w14:paraId="3F47ECCF" w14:textId="36F9CD01"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399" w:history="1">
            <w:r w:rsidRPr="00B50A64">
              <w:rPr>
                <w:rStyle w:val="Hyperlink"/>
                <w:noProof/>
              </w:rPr>
              <w:t>4.5 Tailored support services</w:t>
            </w:r>
            <w:r>
              <w:rPr>
                <w:noProof/>
                <w:webHidden/>
              </w:rPr>
              <w:tab/>
            </w:r>
            <w:r>
              <w:rPr>
                <w:noProof/>
                <w:webHidden/>
              </w:rPr>
              <w:fldChar w:fldCharType="begin"/>
            </w:r>
            <w:r>
              <w:rPr>
                <w:noProof/>
                <w:webHidden/>
              </w:rPr>
              <w:instrText xml:space="preserve"> PAGEREF _Toc210815399 \h </w:instrText>
            </w:r>
            <w:r>
              <w:rPr>
                <w:noProof/>
                <w:webHidden/>
              </w:rPr>
            </w:r>
            <w:r>
              <w:rPr>
                <w:noProof/>
                <w:webHidden/>
              </w:rPr>
              <w:fldChar w:fldCharType="separate"/>
            </w:r>
            <w:r>
              <w:rPr>
                <w:noProof/>
                <w:webHidden/>
              </w:rPr>
              <w:t>53</w:t>
            </w:r>
            <w:r>
              <w:rPr>
                <w:noProof/>
                <w:webHidden/>
              </w:rPr>
              <w:fldChar w:fldCharType="end"/>
            </w:r>
          </w:hyperlink>
        </w:p>
        <w:p w14:paraId="4554A48E" w14:textId="65543C8E"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00" w:history="1">
            <w:r w:rsidRPr="00B50A64">
              <w:rPr>
                <w:rStyle w:val="Hyperlink"/>
                <w:noProof/>
              </w:rPr>
              <w:t>4.6 Supporting people to manage their money</w:t>
            </w:r>
            <w:r>
              <w:rPr>
                <w:noProof/>
                <w:webHidden/>
              </w:rPr>
              <w:tab/>
            </w:r>
            <w:r>
              <w:rPr>
                <w:noProof/>
                <w:webHidden/>
              </w:rPr>
              <w:fldChar w:fldCharType="begin"/>
            </w:r>
            <w:r>
              <w:rPr>
                <w:noProof/>
                <w:webHidden/>
              </w:rPr>
              <w:instrText xml:space="preserve"> PAGEREF _Toc210815400 \h </w:instrText>
            </w:r>
            <w:r>
              <w:rPr>
                <w:noProof/>
                <w:webHidden/>
              </w:rPr>
            </w:r>
            <w:r>
              <w:rPr>
                <w:noProof/>
                <w:webHidden/>
              </w:rPr>
              <w:fldChar w:fldCharType="separate"/>
            </w:r>
            <w:r>
              <w:rPr>
                <w:noProof/>
                <w:webHidden/>
              </w:rPr>
              <w:t>64</w:t>
            </w:r>
            <w:r>
              <w:rPr>
                <w:noProof/>
                <w:webHidden/>
              </w:rPr>
              <w:fldChar w:fldCharType="end"/>
            </w:r>
          </w:hyperlink>
        </w:p>
        <w:p w14:paraId="5B39AFE1" w14:textId="0B879862" w:rsidR="001F484D" w:rsidRPr="001F484D" w:rsidRDefault="001F484D">
          <w:pPr>
            <w:pStyle w:val="TOC1"/>
            <w:tabs>
              <w:tab w:val="right" w:leader="dot" w:pos="11096"/>
            </w:tabs>
            <w:rPr>
              <w:rFonts w:asciiTheme="minorHAnsi" w:eastAsiaTheme="minorEastAsia" w:hAnsiTheme="minorHAnsi" w:cstheme="minorBidi"/>
              <w:b/>
              <w:bCs/>
              <w:noProof/>
              <w:kern w:val="2"/>
              <w:lang w:eastAsia="en-AU"/>
              <w14:ligatures w14:val="standardContextual"/>
            </w:rPr>
          </w:pPr>
          <w:hyperlink w:anchor="_Toc210815401" w:history="1">
            <w:r w:rsidRPr="001F484D">
              <w:rPr>
                <w:rStyle w:val="Hyperlink"/>
                <w:b/>
                <w:bCs/>
                <w:noProof/>
              </w:rPr>
              <w:t>Part 5 – Shared services and partnerships</w:t>
            </w:r>
            <w:r w:rsidRPr="001F484D">
              <w:rPr>
                <w:b/>
                <w:bCs/>
                <w:noProof/>
                <w:webHidden/>
              </w:rPr>
              <w:tab/>
            </w:r>
            <w:r w:rsidRPr="001F484D">
              <w:rPr>
                <w:b/>
                <w:bCs/>
                <w:noProof/>
                <w:webHidden/>
              </w:rPr>
              <w:fldChar w:fldCharType="begin"/>
            </w:r>
            <w:r w:rsidRPr="001F484D">
              <w:rPr>
                <w:b/>
                <w:bCs/>
                <w:noProof/>
                <w:webHidden/>
              </w:rPr>
              <w:instrText xml:space="preserve"> PAGEREF _Toc210815401 \h </w:instrText>
            </w:r>
            <w:r w:rsidRPr="001F484D">
              <w:rPr>
                <w:b/>
                <w:bCs/>
                <w:noProof/>
                <w:webHidden/>
              </w:rPr>
            </w:r>
            <w:r w:rsidRPr="001F484D">
              <w:rPr>
                <w:b/>
                <w:bCs/>
                <w:noProof/>
                <w:webHidden/>
              </w:rPr>
              <w:fldChar w:fldCharType="separate"/>
            </w:r>
            <w:r>
              <w:rPr>
                <w:b/>
                <w:bCs/>
                <w:noProof/>
                <w:webHidden/>
              </w:rPr>
              <w:t>68</w:t>
            </w:r>
            <w:r w:rsidRPr="001F484D">
              <w:rPr>
                <w:b/>
                <w:bCs/>
                <w:noProof/>
                <w:webHidden/>
              </w:rPr>
              <w:fldChar w:fldCharType="end"/>
            </w:r>
          </w:hyperlink>
        </w:p>
        <w:p w14:paraId="4F1D31D7" w14:textId="17E702F9"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02" w:history="1">
            <w:r w:rsidRPr="00B50A64">
              <w:rPr>
                <w:rStyle w:val="Hyperlink"/>
                <w:noProof/>
              </w:rPr>
              <w:t>5.1 Shared services</w:t>
            </w:r>
            <w:r>
              <w:rPr>
                <w:noProof/>
                <w:webHidden/>
              </w:rPr>
              <w:tab/>
            </w:r>
            <w:r>
              <w:rPr>
                <w:noProof/>
                <w:webHidden/>
              </w:rPr>
              <w:fldChar w:fldCharType="begin"/>
            </w:r>
            <w:r>
              <w:rPr>
                <w:noProof/>
                <w:webHidden/>
              </w:rPr>
              <w:instrText xml:space="preserve"> PAGEREF _Toc210815402 \h </w:instrText>
            </w:r>
            <w:r>
              <w:rPr>
                <w:noProof/>
                <w:webHidden/>
              </w:rPr>
            </w:r>
            <w:r>
              <w:rPr>
                <w:noProof/>
                <w:webHidden/>
              </w:rPr>
              <w:fldChar w:fldCharType="separate"/>
            </w:r>
            <w:r>
              <w:rPr>
                <w:noProof/>
                <w:webHidden/>
              </w:rPr>
              <w:t>68</w:t>
            </w:r>
            <w:r>
              <w:rPr>
                <w:noProof/>
                <w:webHidden/>
              </w:rPr>
              <w:fldChar w:fldCharType="end"/>
            </w:r>
          </w:hyperlink>
        </w:p>
        <w:p w14:paraId="2E0DDC8C" w14:textId="3740D027"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03" w:history="1">
            <w:r w:rsidRPr="00B50A64">
              <w:rPr>
                <w:rStyle w:val="Hyperlink"/>
                <w:noProof/>
              </w:rPr>
              <w:t>5.2 Partnerships</w:t>
            </w:r>
            <w:r>
              <w:rPr>
                <w:noProof/>
                <w:webHidden/>
              </w:rPr>
              <w:tab/>
            </w:r>
            <w:r>
              <w:rPr>
                <w:noProof/>
                <w:webHidden/>
              </w:rPr>
              <w:fldChar w:fldCharType="begin"/>
            </w:r>
            <w:r>
              <w:rPr>
                <w:noProof/>
                <w:webHidden/>
              </w:rPr>
              <w:instrText xml:space="preserve"> PAGEREF _Toc210815403 \h </w:instrText>
            </w:r>
            <w:r>
              <w:rPr>
                <w:noProof/>
                <w:webHidden/>
              </w:rPr>
            </w:r>
            <w:r>
              <w:rPr>
                <w:noProof/>
                <w:webHidden/>
              </w:rPr>
              <w:fldChar w:fldCharType="separate"/>
            </w:r>
            <w:r>
              <w:rPr>
                <w:noProof/>
                <w:webHidden/>
              </w:rPr>
              <w:t>68</w:t>
            </w:r>
            <w:r>
              <w:rPr>
                <w:noProof/>
                <w:webHidden/>
              </w:rPr>
              <w:fldChar w:fldCharType="end"/>
            </w:r>
          </w:hyperlink>
        </w:p>
        <w:p w14:paraId="64D2BFB9" w14:textId="21E261F8" w:rsidR="001F484D" w:rsidRPr="001F484D" w:rsidRDefault="001F484D">
          <w:pPr>
            <w:pStyle w:val="TOC1"/>
            <w:tabs>
              <w:tab w:val="right" w:leader="dot" w:pos="11096"/>
            </w:tabs>
            <w:rPr>
              <w:rFonts w:asciiTheme="minorHAnsi" w:eastAsiaTheme="minorEastAsia" w:hAnsiTheme="minorHAnsi" w:cstheme="minorBidi"/>
              <w:b/>
              <w:bCs/>
              <w:noProof/>
              <w:kern w:val="2"/>
              <w:lang w:eastAsia="en-AU"/>
              <w14:ligatures w14:val="standardContextual"/>
            </w:rPr>
          </w:pPr>
          <w:hyperlink w:anchor="_Toc210815404" w:history="1">
            <w:r w:rsidRPr="001F484D">
              <w:rPr>
                <w:rStyle w:val="Hyperlink"/>
                <w:b/>
                <w:bCs/>
                <w:noProof/>
              </w:rPr>
              <w:t>Part 6 – Compliance and business integrity</w:t>
            </w:r>
            <w:r w:rsidRPr="001F484D">
              <w:rPr>
                <w:b/>
                <w:bCs/>
                <w:noProof/>
                <w:webHidden/>
              </w:rPr>
              <w:tab/>
            </w:r>
            <w:r w:rsidRPr="001F484D">
              <w:rPr>
                <w:b/>
                <w:bCs/>
                <w:noProof/>
                <w:webHidden/>
              </w:rPr>
              <w:fldChar w:fldCharType="begin"/>
            </w:r>
            <w:r w:rsidRPr="001F484D">
              <w:rPr>
                <w:b/>
                <w:bCs/>
                <w:noProof/>
                <w:webHidden/>
              </w:rPr>
              <w:instrText xml:space="preserve"> PAGEREF _Toc210815404 \h </w:instrText>
            </w:r>
            <w:r w:rsidRPr="001F484D">
              <w:rPr>
                <w:b/>
                <w:bCs/>
                <w:noProof/>
                <w:webHidden/>
              </w:rPr>
            </w:r>
            <w:r w:rsidRPr="001F484D">
              <w:rPr>
                <w:b/>
                <w:bCs/>
                <w:noProof/>
                <w:webHidden/>
              </w:rPr>
              <w:fldChar w:fldCharType="separate"/>
            </w:r>
            <w:r>
              <w:rPr>
                <w:b/>
                <w:bCs/>
                <w:noProof/>
                <w:webHidden/>
              </w:rPr>
              <w:t>72</w:t>
            </w:r>
            <w:r w:rsidRPr="001F484D">
              <w:rPr>
                <w:b/>
                <w:bCs/>
                <w:noProof/>
                <w:webHidden/>
              </w:rPr>
              <w:fldChar w:fldCharType="end"/>
            </w:r>
          </w:hyperlink>
        </w:p>
        <w:p w14:paraId="04120662" w14:textId="03CCE6A3"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05" w:history="1">
            <w:r w:rsidRPr="00B50A64">
              <w:rPr>
                <w:rStyle w:val="Hyperlink"/>
                <w:noProof/>
              </w:rPr>
              <w:t>6.1 Fraud control and compliance</w:t>
            </w:r>
            <w:r>
              <w:rPr>
                <w:noProof/>
                <w:webHidden/>
              </w:rPr>
              <w:tab/>
            </w:r>
            <w:r>
              <w:rPr>
                <w:noProof/>
                <w:webHidden/>
              </w:rPr>
              <w:fldChar w:fldCharType="begin"/>
            </w:r>
            <w:r>
              <w:rPr>
                <w:noProof/>
                <w:webHidden/>
              </w:rPr>
              <w:instrText xml:space="preserve"> PAGEREF _Toc210815405 \h </w:instrText>
            </w:r>
            <w:r>
              <w:rPr>
                <w:noProof/>
                <w:webHidden/>
              </w:rPr>
            </w:r>
            <w:r>
              <w:rPr>
                <w:noProof/>
                <w:webHidden/>
              </w:rPr>
              <w:fldChar w:fldCharType="separate"/>
            </w:r>
            <w:r>
              <w:rPr>
                <w:noProof/>
                <w:webHidden/>
              </w:rPr>
              <w:t>72</w:t>
            </w:r>
            <w:r>
              <w:rPr>
                <w:noProof/>
                <w:webHidden/>
              </w:rPr>
              <w:fldChar w:fldCharType="end"/>
            </w:r>
          </w:hyperlink>
        </w:p>
        <w:p w14:paraId="428B9FD7" w14:textId="588531C7" w:rsidR="001F484D" w:rsidRDefault="001F484D">
          <w:pPr>
            <w:pStyle w:val="TOC1"/>
            <w:tabs>
              <w:tab w:val="left" w:pos="720"/>
              <w:tab w:val="right" w:leader="dot" w:pos="11096"/>
            </w:tabs>
            <w:rPr>
              <w:rFonts w:asciiTheme="minorHAnsi" w:eastAsiaTheme="minorEastAsia" w:hAnsiTheme="minorHAnsi" w:cstheme="minorBidi"/>
              <w:noProof/>
              <w:kern w:val="2"/>
              <w:lang w:eastAsia="en-AU"/>
              <w14:ligatures w14:val="standardContextual"/>
            </w:rPr>
          </w:pPr>
          <w:hyperlink w:anchor="_Toc210815406" w:history="1">
            <w:r w:rsidRPr="00B50A64">
              <w:rPr>
                <w:rStyle w:val="Hyperlink"/>
                <w:noProof/>
              </w:rPr>
              <w:t>6.2</w:t>
            </w:r>
            <w:r>
              <w:rPr>
                <w:rStyle w:val="Hyperlink"/>
                <w:noProof/>
              </w:rPr>
              <w:t xml:space="preserve"> </w:t>
            </w:r>
            <w:r w:rsidRPr="00B50A64">
              <w:rPr>
                <w:rStyle w:val="Hyperlink"/>
                <w:noProof/>
              </w:rPr>
              <w:t>Fraud and corruption prevention, detection and response</w:t>
            </w:r>
            <w:r>
              <w:rPr>
                <w:noProof/>
                <w:webHidden/>
              </w:rPr>
              <w:tab/>
            </w:r>
            <w:r>
              <w:rPr>
                <w:noProof/>
                <w:webHidden/>
              </w:rPr>
              <w:fldChar w:fldCharType="begin"/>
            </w:r>
            <w:r>
              <w:rPr>
                <w:noProof/>
                <w:webHidden/>
              </w:rPr>
              <w:instrText xml:space="preserve"> PAGEREF _Toc210815406 \h </w:instrText>
            </w:r>
            <w:r>
              <w:rPr>
                <w:noProof/>
                <w:webHidden/>
              </w:rPr>
            </w:r>
            <w:r>
              <w:rPr>
                <w:noProof/>
                <w:webHidden/>
              </w:rPr>
              <w:fldChar w:fldCharType="separate"/>
            </w:r>
            <w:r>
              <w:rPr>
                <w:noProof/>
                <w:webHidden/>
              </w:rPr>
              <w:t>73</w:t>
            </w:r>
            <w:r>
              <w:rPr>
                <w:noProof/>
                <w:webHidden/>
              </w:rPr>
              <w:fldChar w:fldCharType="end"/>
            </w:r>
          </w:hyperlink>
        </w:p>
        <w:p w14:paraId="017FC477" w14:textId="37223943"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07" w:history="1">
            <w:r w:rsidRPr="00B50A64">
              <w:rPr>
                <w:rStyle w:val="Hyperlink"/>
                <w:noProof/>
              </w:rPr>
              <w:t>6.3 Collaboration across government</w:t>
            </w:r>
            <w:r>
              <w:rPr>
                <w:noProof/>
                <w:webHidden/>
              </w:rPr>
              <w:tab/>
            </w:r>
            <w:r>
              <w:rPr>
                <w:noProof/>
                <w:webHidden/>
              </w:rPr>
              <w:fldChar w:fldCharType="begin"/>
            </w:r>
            <w:r>
              <w:rPr>
                <w:noProof/>
                <w:webHidden/>
              </w:rPr>
              <w:instrText xml:space="preserve"> PAGEREF _Toc210815407 \h </w:instrText>
            </w:r>
            <w:r>
              <w:rPr>
                <w:noProof/>
                <w:webHidden/>
              </w:rPr>
            </w:r>
            <w:r>
              <w:rPr>
                <w:noProof/>
                <w:webHidden/>
              </w:rPr>
              <w:fldChar w:fldCharType="separate"/>
            </w:r>
            <w:r>
              <w:rPr>
                <w:noProof/>
                <w:webHidden/>
              </w:rPr>
              <w:t>73</w:t>
            </w:r>
            <w:r>
              <w:rPr>
                <w:noProof/>
                <w:webHidden/>
              </w:rPr>
              <w:fldChar w:fldCharType="end"/>
            </w:r>
          </w:hyperlink>
        </w:p>
        <w:p w14:paraId="1DA0B60A" w14:textId="6B02A478"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08" w:history="1">
            <w:r w:rsidRPr="00B50A64">
              <w:rPr>
                <w:rStyle w:val="Hyperlink"/>
                <w:noProof/>
              </w:rPr>
              <w:t>6.4 Identity management</w:t>
            </w:r>
            <w:r>
              <w:rPr>
                <w:noProof/>
                <w:webHidden/>
              </w:rPr>
              <w:tab/>
            </w:r>
            <w:r>
              <w:rPr>
                <w:noProof/>
                <w:webHidden/>
              </w:rPr>
              <w:fldChar w:fldCharType="begin"/>
            </w:r>
            <w:r>
              <w:rPr>
                <w:noProof/>
                <w:webHidden/>
              </w:rPr>
              <w:instrText xml:space="preserve"> PAGEREF _Toc210815408 \h </w:instrText>
            </w:r>
            <w:r>
              <w:rPr>
                <w:noProof/>
                <w:webHidden/>
              </w:rPr>
            </w:r>
            <w:r>
              <w:rPr>
                <w:noProof/>
                <w:webHidden/>
              </w:rPr>
              <w:fldChar w:fldCharType="separate"/>
            </w:r>
            <w:r>
              <w:rPr>
                <w:noProof/>
                <w:webHidden/>
              </w:rPr>
              <w:t>74</w:t>
            </w:r>
            <w:r>
              <w:rPr>
                <w:noProof/>
                <w:webHidden/>
              </w:rPr>
              <w:fldChar w:fldCharType="end"/>
            </w:r>
          </w:hyperlink>
        </w:p>
        <w:p w14:paraId="397468F0" w14:textId="61D8623C"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09" w:history="1">
            <w:r w:rsidRPr="00B50A64">
              <w:rPr>
                <w:rStyle w:val="Hyperlink"/>
                <w:noProof/>
              </w:rPr>
              <w:t>6.5 Tip-offs</w:t>
            </w:r>
            <w:r>
              <w:rPr>
                <w:noProof/>
                <w:webHidden/>
              </w:rPr>
              <w:tab/>
            </w:r>
            <w:r>
              <w:rPr>
                <w:noProof/>
                <w:webHidden/>
              </w:rPr>
              <w:fldChar w:fldCharType="begin"/>
            </w:r>
            <w:r>
              <w:rPr>
                <w:noProof/>
                <w:webHidden/>
              </w:rPr>
              <w:instrText xml:space="preserve"> PAGEREF _Toc210815409 \h </w:instrText>
            </w:r>
            <w:r>
              <w:rPr>
                <w:noProof/>
                <w:webHidden/>
              </w:rPr>
            </w:r>
            <w:r>
              <w:rPr>
                <w:noProof/>
                <w:webHidden/>
              </w:rPr>
              <w:fldChar w:fldCharType="separate"/>
            </w:r>
            <w:r>
              <w:rPr>
                <w:noProof/>
                <w:webHidden/>
              </w:rPr>
              <w:t>78</w:t>
            </w:r>
            <w:r>
              <w:rPr>
                <w:noProof/>
                <w:webHidden/>
              </w:rPr>
              <w:fldChar w:fldCharType="end"/>
            </w:r>
          </w:hyperlink>
        </w:p>
        <w:p w14:paraId="41EA9338" w14:textId="64D242A1"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10" w:history="1">
            <w:r w:rsidRPr="00B50A64">
              <w:rPr>
                <w:rStyle w:val="Hyperlink"/>
                <w:noProof/>
              </w:rPr>
              <w:t>6.6 Payment accuracy and correctness</w:t>
            </w:r>
            <w:r>
              <w:rPr>
                <w:noProof/>
                <w:webHidden/>
              </w:rPr>
              <w:tab/>
            </w:r>
            <w:r>
              <w:rPr>
                <w:noProof/>
                <w:webHidden/>
              </w:rPr>
              <w:fldChar w:fldCharType="begin"/>
            </w:r>
            <w:r>
              <w:rPr>
                <w:noProof/>
                <w:webHidden/>
              </w:rPr>
              <w:instrText xml:space="preserve"> PAGEREF _Toc210815410 \h </w:instrText>
            </w:r>
            <w:r>
              <w:rPr>
                <w:noProof/>
                <w:webHidden/>
              </w:rPr>
            </w:r>
            <w:r>
              <w:rPr>
                <w:noProof/>
                <w:webHidden/>
              </w:rPr>
              <w:fldChar w:fldCharType="separate"/>
            </w:r>
            <w:r>
              <w:rPr>
                <w:noProof/>
                <w:webHidden/>
              </w:rPr>
              <w:t>78</w:t>
            </w:r>
            <w:r>
              <w:rPr>
                <w:noProof/>
                <w:webHidden/>
              </w:rPr>
              <w:fldChar w:fldCharType="end"/>
            </w:r>
          </w:hyperlink>
        </w:p>
        <w:p w14:paraId="5F1EAD33" w14:textId="1A98BC78"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11" w:history="1">
            <w:r w:rsidRPr="00B50A64">
              <w:rPr>
                <w:rStyle w:val="Hyperlink"/>
                <w:noProof/>
              </w:rPr>
              <w:t>6.7 Payment accuracy reviews</w:t>
            </w:r>
            <w:r>
              <w:rPr>
                <w:noProof/>
                <w:webHidden/>
              </w:rPr>
              <w:tab/>
            </w:r>
            <w:r>
              <w:rPr>
                <w:noProof/>
                <w:webHidden/>
              </w:rPr>
              <w:fldChar w:fldCharType="begin"/>
            </w:r>
            <w:r>
              <w:rPr>
                <w:noProof/>
                <w:webHidden/>
              </w:rPr>
              <w:instrText xml:space="preserve"> PAGEREF _Toc210815411 \h </w:instrText>
            </w:r>
            <w:r>
              <w:rPr>
                <w:noProof/>
                <w:webHidden/>
              </w:rPr>
            </w:r>
            <w:r>
              <w:rPr>
                <w:noProof/>
                <w:webHidden/>
              </w:rPr>
              <w:fldChar w:fldCharType="separate"/>
            </w:r>
            <w:r>
              <w:rPr>
                <w:noProof/>
                <w:webHidden/>
              </w:rPr>
              <w:t>79</w:t>
            </w:r>
            <w:r>
              <w:rPr>
                <w:noProof/>
                <w:webHidden/>
              </w:rPr>
              <w:fldChar w:fldCharType="end"/>
            </w:r>
          </w:hyperlink>
        </w:p>
        <w:p w14:paraId="36E75FE9" w14:textId="6DEC1BEE"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12" w:history="1">
            <w:r w:rsidRPr="00B50A64">
              <w:rPr>
                <w:rStyle w:val="Hyperlink"/>
                <w:noProof/>
              </w:rPr>
              <w:t>6.8 Payment assurance program</w:t>
            </w:r>
            <w:r>
              <w:rPr>
                <w:noProof/>
                <w:webHidden/>
              </w:rPr>
              <w:tab/>
            </w:r>
            <w:r>
              <w:rPr>
                <w:noProof/>
                <w:webHidden/>
              </w:rPr>
              <w:fldChar w:fldCharType="begin"/>
            </w:r>
            <w:r>
              <w:rPr>
                <w:noProof/>
                <w:webHidden/>
              </w:rPr>
              <w:instrText xml:space="preserve"> PAGEREF _Toc210815412 \h </w:instrText>
            </w:r>
            <w:r>
              <w:rPr>
                <w:noProof/>
                <w:webHidden/>
              </w:rPr>
            </w:r>
            <w:r>
              <w:rPr>
                <w:noProof/>
                <w:webHidden/>
              </w:rPr>
              <w:fldChar w:fldCharType="separate"/>
            </w:r>
            <w:r>
              <w:rPr>
                <w:noProof/>
                <w:webHidden/>
              </w:rPr>
              <w:t>79</w:t>
            </w:r>
            <w:r>
              <w:rPr>
                <w:noProof/>
                <w:webHidden/>
              </w:rPr>
              <w:fldChar w:fldCharType="end"/>
            </w:r>
          </w:hyperlink>
        </w:p>
        <w:p w14:paraId="65573413" w14:textId="76665743"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13" w:history="1">
            <w:r w:rsidRPr="00B50A64">
              <w:rPr>
                <w:rStyle w:val="Hyperlink"/>
                <w:noProof/>
              </w:rPr>
              <w:t>6.9 Income Compliance Program</w:t>
            </w:r>
            <w:r>
              <w:rPr>
                <w:noProof/>
                <w:webHidden/>
              </w:rPr>
              <w:tab/>
            </w:r>
            <w:r>
              <w:rPr>
                <w:noProof/>
                <w:webHidden/>
              </w:rPr>
              <w:fldChar w:fldCharType="begin"/>
            </w:r>
            <w:r>
              <w:rPr>
                <w:noProof/>
                <w:webHidden/>
              </w:rPr>
              <w:instrText xml:space="preserve"> PAGEREF _Toc210815413 \h </w:instrText>
            </w:r>
            <w:r>
              <w:rPr>
                <w:noProof/>
                <w:webHidden/>
              </w:rPr>
            </w:r>
            <w:r>
              <w:rPr>
                <w:noProof/>
                <w:webHidden/>
              </w:rPr>
              <w:fldChar w:fldCharType="separate"/>
            </w:r>
            <w:r>
              <w:rPr>
                <w:noProof/>
                <w:webHidden/>
              </w:rPr>
              <w:t>80</w:t>
            </w:r>
            <w:r>
              <w:rPr>
                <w:noProof/>
                <w:webHidden/>
              </w:rPr>
              <w:fldChar w:fldCharType="end"/>
            </w:r>
          </w:hyperlink>
        </w:p>
        <w:p w14:paraId="5D75B336" w14:textId="4C01B246"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14" w:history="1">
            <w:r w:rsidRPr="00B50A64">
              <w:rPr>
                <w:rStyle w:val="Hyperlink"/>
                <w:noProof/>
              </w:rPr>
              <w:t>6.10 Debt management</w:t>
            </w:r>
            <w:r>
              <w:rPr>
                <w:noProof/>
                <w:webHidden/>
              </w:rPr>
              <w:tab/>
            </w:r>
            <w:r>
              <w:rPr>
                <w:noProof/>
                <w:webHidden/>
              </w:rPr>
              <w:fldChar w:fldCharType="begin"/>
            </w:r>
            <w:r>
              <w:rPr>
                <w:noProof/>
                <w:webHidden/>
              </w:rPr>
              <w:instrText xml:space="preserve"> PAGEREF _Toc210815414 \h </w:instrText>
            </w:r>
            <w:r>
              <w:rPr>
                <w:noProof/>
                <w:webHidden/>
              </w:rPr>
            </w:r>
            <w:r>
              <w:rPr>
                <w:noProof/>
                <w:webHidden/>
              </w:rPr>
              <w:fldChar w:fldCharType="separate"/>
            </w:r>
            <w:r>
              <w:rPr>
                <w:noProof/>
                <w:webHidden/>
              </w:rPr>
              <w:t>80</w:t>
            </w:r>
            <w:r>
              <w:rPr>
                <w:noProof/>
                <w:webHidden/>
              </w:rPr>
              <w:fldChar w:fldCharType="end"/>
            </w:r>
          </w:hyperlink>
        </w:p>
        <w:p w14:paraId="0769178E" w14:textId="26291B02" w:rsidR="001F484D" w:rsidRPr="001F484D" w:rsidRDefault="001F484D">
          <w:pPr>
            <w:pStyle w:val="TOC1"/>
            <w:tabs>
              <w:tab w:val="right" w:leader="dot" w:pos="11096"/>
            </w:tabs>
            <w:rPr>
              <w:rFonts w:asciiTheme="minorHAnsi" w:eastAsiaTheme="minorEastAsia" w:hAnsiTheme="minorHAnsi" w:cstheme="minorBidi"/>
              <w:b/>
              <w:bCs/>
              <w:noProof/>
              <w:kern w:val="2"/>
              <w:lang w:eastAsia="en-AU"/>
              <w14:ligatures w14:val="standardContextual"/>
            </w:rPr>
          </w:pPr>
          <w:hyperlink w:anchor="_Toc210815415" w:history="1">
            <w:r w:rsidRPr="001F484D">
              <w:rPr>
                <w:rStyle w:val="Hyperlink"/>
                <w:b/>
                <w:bCs/>
                <w:noProof/>
              </w:rPr>
              <w:t>Part 7 – Management and accountability</w:t>
            </w:r>
            <w:r w:rsidRPr="001F484D">
              <w:rPr>
                <w:b/>
                <w:bCs/>
                <w:noProof/>
                <w:webHidden/>
              </w:rPr>
              <w:tab/>
            </w:r>
            <w:r w:rsidRPr="001F484D">
              <w:rPr>
                <w:b/>
                <w:bCs/>
                <w:noProof/>
                <w:webHidden/>
              </w:rPr>
              <w:fldChar w:fldCharType="begin"/>
            </w:r>
            <w:r w:rsidRPr="001F484D">
              <w:rPr>
                <w:b/>
                <w:bCs/>
                <w:noProof/>
                <w:webHidden/>
              </w:rPr>
              <w:instrText xml:space="preserve"> PAGEREF _Toc210815415 \h </w:instrText>
            </w:r>
            <w:r w:rsidRPr="001F484D">
              <w:rPr>
                <w:b/>
                <w:bCs/>
                <w:noProof/>
                <w:webHidden/>
              </w:rPr>
            </w:r>
            <w:r w:rsidRPr="001F484D">
              <w:rPr>
                <w:b/>
                <w:bCs/>
                <w:noProof/>
                <w:webHidden/>
              </w:rPr>
              <w:fldChar w:fldCharType="separate"/>
            </w:r>
            <w:r>
              <w:rPr>
                <w:b/>
                <w:bCs/>
                <w:noProof/>
                <w:webHidden/>
              </w:rPr>
              <w:t>81</w:t>
            </w:r>
            <w:r w:rsidRPr="001F484D">
              <w:rPr>
                <w:b/>
                <w:bCs/>
                <w:noProof/>
                <w:webHidden/>
              </w:rPr>
              <w:fldChar w:fldCharType="end"/>
            </w:r>
          </w:hyperlink>
        </w:p>
        <w:p w14:paraId="65B95C81" w14:textId="51700AA6"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16" w:history="1">
            <w:r w:rsidRPr="00B50A64">
              <w:rPr>
                <w:rStyle w:val="Hyperlink"/>
                <w:noProof/>
              </w:rPr>
              <w:t>7.1 Royal Commission into Robodebt Scheme</w:t>
            </w:r>
            <w:r>
              <w:rPr>
                <w:noProof/>
                <w:webHidden/>
              </w:rPr>
              <w:tab/>
            </w:r>
            <w:r>
              <w:rPr>
                <w:noProof/>
                <w:webHidden/>
              </w:rPr>
              <w:fldChar w:fldCharType="begin"/>
            </w:r>
            <w:r>
              <w:rPr>
                <w:noProof/>
                <w:webHidden/>
              </w:rPr>
              <w:instrText xml:space="preserve"> PAGEREF _Toc210815416 \h </w:instrText>
            </w:r>
            <w:r>
              <w:rPr>
                <w:noProof/>
                <w:webHidden/>
              </w:rPr>
            </w:r>
            <w:r>
              <w:rPr>
                <w:noProof/>
                <w:webHidden/>
              </w:rPr>
              <w:fldChar w:fldCharType="separate"/>
            </w:r>
            <w:r>
              <w:rPr>
                <w:noProof/>
                <w:webHidden/>
              </w:rPr>
              <w:t>81</w:t>
            </w:r>
            <w:r>
              <w:rPr>
                <w:noProof/>
                <w:webHidden/>
              </w:rPr>
              <w:fldChar w:fldCharType="end"/>
            </w:r>
          </w:hyperlink>
        </w:p>
        <w:p w14:paraId="131EAA5E" w14:textId="2F32CF52" w:rsidR="001F484D" w:rsidRDefault="001F484D">
          <w:pPr>
            <w:pStyle w:val="TOC1"/>
            <w:tabs>
              <w:tab w:val="left" w:pos="720"/>
              <w:tab w:val="right" w:leader="dot" w:pos="11096"/>
            </w:tabs>
            <w:rPr>
              <w:rFonts w:asciiTheme="minorHAnsi" w:eastAsiaTheme="minorEastAsia" w:hAnsiTheme="minorHAnsi" w:cstheme="minorBidi"/>
              <w:noProof/>
              <w:kern w:val="2"/>
              <w:lang w:eastAsia="en-AU"/>
              <w14:ligatures w14:val="standardContextual"/>
            </w:rPr>
          </w:pPr>
          <w:hyperlink w:anchor="_Toc210815417" w:history="1">
            <w:r w:rsidRPr="00B50A64">
              <w:rPr>
                <w:rStyle w:val="Hyperlink"/>
                <w:noProof/>
              </w:rPr>
              <w:t>7.2</w:t>
            </w:r>
            <w:r>
              <w:rPr>
                <w:rStyle w:val="Hyperlink"/>
                <w:noProof/>
              </w:rPr>
              <w:t xml:space="preserve"> </w:t>
            </w:r>
            <w:r w:rsidRPr="00B50A64">
              <w:rPr>
                <w:rStyle w:val="Hyperlink"/>
                <w:noProof/>
              </w:rPr>
              <w:t>Government’s response to the myGov User Audit</w:t>
            </w:r>
            <w:r>
              <w:rPr>
                <w:noProof/>
                <w:webHidden/>
              </w:rPr>
              <w:tab/>
            </w:r>
            <w:r>
              <w:rPr>
                <w:noProof/>
                <w:webHidden/>
              </w:rPr>
              <w:fldChar w:fldCharType="begin"/>
            </w:r>
            <w:r>
              <w:rPr>
                <w:noProof/>
                <w:webHidden/>
              </w:rPr>
              <w:instrText xml:space="preserve"> PAGEREF _Toc210815417 \h </w:instrText>
            </w:r>
            <w:r>
              <w:rPr>
                <w:noProof/>
                <w:webHidden/>
              </w:rPr>
            </w:r>
            <w:r>
              <w:rPr>
                <w:noProof/>
                <w:webHidden/>
              </w:rPr>
              <w:fldChar w:fldCharType="separate"/>
            </w:r>
            <w:r>
              <w:rPr>
                <w:noProof/>
                <w:webHidden/>
              </w:rPr>
              <w:t>81</w:t>
            </w:r>
            <w:r>
              <w:rPr>
                <w:noProof/>
                <w:webHidden/>
              </w:rPr>
              <w:fldChar w:fldCharType="end"/>
            </w:r>
          </w:hyperlink>
        </w:p>
        <w:p w14:paraId="1A7A8209" w14:textId="3204E697"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18" w:history="1">
            <w:r w:rsidRPr="00B50A64">
              <w:rPr>
                <w:rStyle w:val="Hyperlink"/>
                <w:noProof/>
              </w:rPr>
              <w:t>7.3 Judicial decisions</w:t>
            </w:r>
            <w:r>
              <w:rPr>
                <w:noProof/>
                <w:webHidden/>
              </w:rPr>
              <w:tab/>
            </w:r>
            <w:r>
              <w:rPr>
                <w:noProof/>
                <w:webHidden/>
              </w:rPr>
              <w:fldChar w:fldCharType="begin"/>
            </w:r>
            <w:r>
              <w:rPr>
                <w:noProof/>
                <w:webHidden/>
              </w:rPr>
              <w:instrText xml:space="preserve"> PAGEREF _Toc210815418 \h </w:instrText>
            </w:r>
            <w:r>
              <w:rPr>
                <w:noProof/>
                <w:webHidden/>
              </w:rPr>
            </w:r>
            <w:r>
              <w:rPr>
                <w:noProof/>
                <w:webHidden/>
              </w:rPr>
              <w:fldChar w:fldCharType="separate"/>
            </w:r>
            <w:r>
              <w:rPr>
                <w:noProof/>
                <w:webHidden/>
              </w:rPr>
              <w:t>82</w:t>
            </w:r>
            <w:r>
              <w:rPr>
                <w:noProof/>
                <w:webHidden/>
              </w:rPr>
              <w:fldChar w:fldCharType="end"/>
            </w:r>
          </w:hyperlink>
        </w:p>
        <w:p w14:paraId="68DB5B59" w14:textId="3906E3C0"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19" w:history="1">
            <w:r w:rsidRPr="00B50A64">
              <w:rPr>
                <w:rStyle w:val="Hyperlink"/>
                <w:noProof/>
              </w:rPr>
              <w:t>7.4 Administrative Review Tribunal</w:t>
            </w:r>
            <w:r>
              <w:rPr>
                <w:noProof/>
                <w:webHidden/>
              </w:rPr>
              <w:tab/>
            </w:r>
            <w:r>
              <w:rPr>
                <w:noProof/>
                <w:webHidden/>
              </w:rPr>
              <w:fldChar w:fldCharType="begin"/>
            </w:r>
            <w:r>
              <w:rPr>
                <w:noProof/>
                <w:webHidden/>
              </w:rPr>
              <w:instrText xml:space="preserve"> PAGEREF _Toc210815419 \h </w:instrText>
            </w:r>
            <w:r>
              <w:rPr>
                <w:noProof/>
                <w:webHidden/>
              </w:rPr>
            </w:r>
            <w:r>
              <w:rPr>
                <w:noProof/>
                <w:webHidden/>
              </w:rPr>
              <w:fldChar w:fldCharType="separate"/>
            </w:r>
            <w:r>
              <w:rPr>
                <w:noProof/>
                <w:webHidden/>
              </w:rPr>
              <w:t>82</w:t>
            </w:r>
            <w:r>
              <w:rPr>
                <w:noProof/>
                <w:webHidden/>
              </w:rPr>
              <w:fldChar w:fldCharType="end"/>
            </w:r>
          </w:hyperlink>
        </w:p>
        <w:p w14:paraId="424C5B7E" w14:textId="5EEFC698"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20" w:history="1">
            <w:r w:rsidRPr="00B50A64">
              <w:rPr>
                <w:rStyle w:val="Hyperlink"/>
                <w:noProof/>
              </w:rPr>
              <w:t>7.5 Freedom of information</w:t>
            </w:r>
            <w:r>
              <w:rPr>
                <w:noProof/>
                <w:webHidden/>
              </w:rPr>
              <w:tab/>
            </w:r>
            <w:r>
              <w:rPr>
                <w:noProof/>
                <w:webHidden/>
              </w:rPr>
              <w:fldChar w:fldCharType="begin"/>
            </w:r>
            <w:r>
              <w:rPr>
                <w:noProof/>
                <w:webHidden/>
              </w:rPr>
              <w:instrText xml:space="preserve"> PAGEREF _Toc210815420 \h </w:instrText>
            </w:r>
            <w:r>
              <w:rPr>
                <w:noProof/>
                <w:webHidden/>
              </w:rPr>
            </w:r>
            <w:r>
              <w:rPr>
                <w:noProof/>
                <w:webHidden/>
              </w:rPr>
              <w:fldChar w:fldCharType="separate"/>
            </w:r>
            <w:r>
              <w:rPr>
                <w:noProof/>
                <w:webHidden/>
              </w:rPr>
              <w:t>83</w:t>
            </w:r>
            <w:r>
              <w:rPr>
                <w:noProof/>
                <w:webHidden/>
              </w:rPr>
              <w:fldChar w:fldCharType="end"/>
            </w:r>
          </w:hyperlink>
        </w:p>
        <w:p w14:paraId="065EDBC6" w14:textId="0DB83D33"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21" w:history="1">
            <w:r w:rsidRPr="00B50A64">
              <w:rPr>
                <w:rStyle w:val="Hyperlink"/>
                <w:noProof/>
              </w:rPr>
              <w:t>7.6 Auditor-General reports</w:t>
            </w:r>
            <w:r>
              <w:rPr>
                <w:noProof/>
                <w:webHidden/>
              </w:rPr>
              <w:tab/>
            </w:r>
            <w:r>
              <w:rPr>
                <w:noProof/>
                <w:webHidden/>
              </w:rPr>
              <w:fldChar w:fldCharType="begin"/>
            </w:r>
            <w:r>
              <w:rPr>
                <w:noProof/>
                <w:webHidden/>
              </w:rPr>
              <w:instrText xml:space="preserve"> PAGEREF _Toc210815421 \h </w:instrText>
            </w:r>
            <w:r>
              <w:rPr>
                <w:noProof/>
                <w:webHidden/>
              </w:rPr>
            </w:r>
            <w:r>
              <w:rPr>
                <w:noProof/>
                <w:webHidden/>
              </w:rPr>
              <w:fldChar w:fldCharType="separate"/>
            </w:r>
            <w:r>
              <w:rPr>
                <w:noProof/>
                <w:webHidden/>
              </w:rPr>
              <w:t>84</w:t>
            </w:r>
            <w:r>
              <w:rPr>
                <w:noProof/>
                <w:webHidden/>
              </w:rPr>
              <w:fldChar w:fldCharType="end"/>
            </w:r>
          </w:hyperlink>
        </w:p>
        <w:p w14:paraId="0021FD18" w14:textId="42350BED"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22" w:history="1">
            <w:r w:rsidRPr="00B50A64">
              <w:rPr>
                <w:rStyle w:val="Hyperlink"/>
                <w:noProof/>
              </w:rPr>
              <w:t>7.7 Commonwealth Ombudsman</w:t>
            </w:r>
            <w:r>
              <w:rPr>
                <w:noProof/>
                <w:webHidden/>
              </w:rPr>
              <w:tab/>
            </w:r>
            <w:r>
              <w:rPr>
                <w:noProof/>
                <w:webHidden/>
              </w:rPr>
              <w:fldChar w:fldCharType="begin"/>
            </w:r>
            <w:r>
              <w:rPr>
                <w:noProof/>
                <w:webHidden/>
              </w:rPr>
              <w:instrText xml:space="preserve"> PAGEREF _Toc210815422 \h </w:instrText>
            </w:r>
            <w:r>
              <w:rPr>
                <w:noProof/>
                <w:webHidden/>
              </w:rPr>
            </w:r>
            <w:r>
              <w:rPr>
                <w:noProof/>
                <w:webHidden/>
              </w:rPr>
              <w:fldChar w:fldCharType="separate"/>
            </w:r>
            <w:r>
              <w:rPr>
                <w:noProof/>
                <w:webHidden/>
              </w:rPr>
              <w:t>85</w:t>
            </w:r>
            <w:r>
              <w:rPr>
                <w:noProof/>
                <w:webHidden/>
              </w:rPr>
              <w:fldChar w:fldCharType="end"/>
            </w:r>
          </w:hyperlink>
        </w:p>
        <w:p w14:paraId="32F7441B" w14:textId="035AF49B"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23" w:history="1">
            <w:r w:rsidRPr="00B50A64">
              <w:rPr>
                <w:rStyle w:val="Hyperlink"/>
                <w:noProof/>
              </w:rPr>
              <w:t>7.8 Australian Information Commissioner</w:t>
            </w:r>
            <w:r>
              <w:rPr>
                <w:noProof/>
                <w:webHidden/>
              </w:rPr>
              <w:tab/>
            </w:r>
            <w:r>
              <w:rPr>
                <w:noProof/>
                <w:webHidden/>
              </w:rPr>
              <w:fldChar w:fldCharType="begin"/>
            </w:r>
            <w:r>
              <w:rPr>
                <w:noProof/>
                <w:webHidden/>
              </w:rPr>
              <w:instrText xml:space="preserve"> PAGEREF _Toc210815423 \h </w:instrText>
            </w:r>
            <w:r>
              <w:rPr>
                <w:noProof/>
                <w:webHidden/>
              </w:rPr>
            </w:r>
            <w:r>
              <w:rPr>
                <w:noProof/>
                <w:webHidden/>
              </w:rPr>
              <w:fldChar w:fldCharType="separate"/>
            </w:r>
            <w:r>
              <w:rPr>
                <w:noProof/>
                <w:webHidden/>
              </w:rPr>
              <w:t>85</w:t>
            </w:r>
            <w:r>
              <w:rPr>
                <w:noProof/>
                <w:webHidden/>
              </w:rPr>
              <w:fldChar w:fldCharType="end"/>
            </w:r>
          </w:hyperlink>
        </w:p>
        <w:p w14:paraId="52FC971A" w14:textId="1FA62CB2"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24" w:history="1">
            <w:r w:rsidRPr="00B50A64">
              <w:rPr>
                <w:rStyle w:val="Hyperlink"/>
                <w:noProof/>
              </w:rPr>
              <w:t>7.9 Agency capability review</w:t>
            </w:r>
            <w:r>
              <w:rPr>
                <w:noProof/>
                <w:webHidden/>
              </w:rPr>
              <w:tab/>
            </w:r>
            <w:r>
              <w:rPr>
                <w:noProof/>
                <w:webHidden/>
              </w:rPr>
              <w:fldChar w:fldCharType="begin"/>
            </w:r>
            <w:r>
              <w:rPr>
                <w:noProof/>
                <w:webHidden/>
              </w:rPr>
              <w:instrText xml:space="preserve"> PAGEREF _Toc210815424 \h </w:instrText>
            </w:r>
            <w:r>
              <w:rPr>
                <w:noProof/>
                <w:webHidden/>
              </w:rPr>
            </w:r>
            <w:r>
              <w:rPr>
                <w:noProof/>
                <w:webHidden/>
              </w:rPr>
              <w:fldChar w:fldCharType="separate"/>
            </w:r>
            <w:r>
              <w:rPr>
                <w:noProof/>
                <w:webHidden/>
              </w:rPr>
              <w:t>85</w:t>
            </w:r>
            <w:r>
              <w:rPr>
                <w:noProof/>
                <w:webHidden/>
              </w:rPr>
              <w:fldChar w:fldCharType="end"/>
            </w:r>
          </w:hyperlink>
        </w:p>
        <w:p w14:paraId="3F3D99C3" w14:textId="2F29C502"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25" w:history="1">
            <w:r w:rsidRPr="00B50A64">
              <w:rPr>
                <w:rStyle w:val="Hyperlink"/>
                <w:noProof/>
              </w:rPr>
              <w:t>7.10 Parliamentary committee reports</w:t>
            </w:r>
            <w:r>
              <w:rPr>
                <w:noProof/>
                <w:webHidden/>
              </w:rPr>
              <w:tab/>
            </w:r>
            <w:r>
              <w:rPr>
                <w:noProof/>
                <w:webHidden/>
              </w:rPr>
              <w:fldChar w:fldCharType="begin"/>
            </w:r>
            <w:r>
              <w:rPr>
                <w:noProof/>
                <w:webHidden/>
              </w:rPr>
              <w:instrText xml:space="preserve"> PAGEREF _Toc210815425 \h </w:instrText>
            </w:r>
            <w:r>
              <w:rPr>
                <w:noProof/>
                <w:webHidden/>
              </w:rPr>
            </w:r>
            <w:r>
              <w:rPr>
                <w:noProof/>
                <w:webHidden/>
              </w:rPr>
              <w:fldChar w:fldCharType="separate"/>
            </w:r>
            <w:r>
              <w:rPr>
                <w:noProof/>
                <w:webHidden/>
              </w:rPr>
              <w:t>86</w:t>
            </w:r>
            <w:r>
              <w:rPr>
                <w:noProof/>
                <w:webHidden/>
              </w:rPr>
              <w:fldChar w:fldCharType="end"/>
            </w:r>
          </w:hyperlink>
        </w:p>
        <w:p w14:paraId="39409519" w14:textId="37A836F1"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26" w:history="1">
            <w:r w:rsidRPr="00B50A64">
              <w:rPr>
                <w:rStyle w:val="Hyperlink"/>
                <w:noProof/>
              </w:rPr>
              <w:t>7.11 Strategic Commissioning Framework</w:t>
            </w:r>
            <w:r>
              <w:rPr>
                <w:noProof/>
                <w:webHidden/>
              </w:rPr>
              <w:tab/>
            </w:r>
            <w:r>
              <w:rPr>
                <w:noProof/>
                <w:webHidden/>
              </w:rPr>
              <w:fldChar w:fldCharType="begin"/>
            </w:r>
            <w:r>
              <w:rPr>
                <w:noProof/>
                <w:webHidden/>
              </w:rPr>
              <w:instrText xml:space="preserve"> PAGEREF _Toc210815426 \h </w:instrText>
            </w:r>
            <w:r>
              <w:rPr>
                <w:noProof/>
                <w:webHidden/>
              </w:rPr>
            </w:r>
            <w:r>
              <w:rPr>
                <w:noProof/>
                <w:webHidden/>
              </w:rPr>
              <w:fldChar w:fldCharType="separate"/>
            </w:r>
            <w:r>
              <w:rPr>
                <w:noProof/>
                <w:webHidden/>
              </w:rPr>
              <w:t>88</w:t>
            </w:r>
            <w:r>
              <w:rPr>
                <w:noProof/>
                <w:webHidden/>
              </w:rPr>
              <w:fldChar w:fldCharType="end"/>
            </w:r>
          </w:hyperlink>
        </w:p>
        <w:p w14:paraId="7DA4AFF4" w14:textId="6AC28E8E" w:rsidR="001F484D" w:rsidRPr="001F484D" w:rsidRDefault="001F484D">
          <w:pPr>
            <w:pStyle w:val="TOC1"/>
            <w:tabs>
              <w:tab w:val="right" w:leader="dot" w:pos="11096"/>
            </w:tabs>
            <w:rPr>
              <w:rFonts w:asciiTheme="minorHAnsi" w:eastAsiaTheme="minorEastAsia" w:hAnsiTheme="minorHAnsi" w:cstheme="minorBidi"/>
              <w:b/>
              <w:bCs/>
              <w:noProof/>
              <w:kern w:val="2"/>
              <w:lang w:eastAsia="en-AU"/>
              <w14:ligatures w14:val="standardContextual"/>
            </w:rPr>
          </w:pPr>
          <w:hyperlink w:anchor="_Toc210815427" w:history="1">
            <w:r w:rsidRPr="001F484D">
              <w:rPr>
                <w:rStyle w:val="Hyperlink"/>
                <w:b/>
                <w:bCs/>
                <w:noProof/>
              </w:rPr>
              <w:t>Part 8 – Our people</w:t>
            </w:r>
            <w:r w:rsidRPr="001F484D">
              <w:rPr>
                <w:b/>
                <w:bCs/>
                <w:noProof/>
                <w:webHidden/>
              </w:rPr>
              <w:tab/>
            </w:r>
            <w:r w:rsidRPr="001F484D">
              <w:rPr>
                <w:b/>
                <w:bCs/>
                <w:noProof/>
                <w:webHidden/>
              </w:rPr>
              <w:fldChar w:fldCharType="begin"/>
            </w:r>
            <w:r w:rsidRPr="001F484D">
              <w:rPr>
                <w:b/>
                <w:bCs/>
                <w:noProof/>
                <w:webHidden/>
              </w:rPr>
              <w:instrText xml:space="preserve"> PAGEREF _Toc210815427 \h </w:instrText>
            </w:r>
            <w:r w:rsidRPr="001F484D">
              <w:rPr>
                <w:b/>
                <w:bCs/>
                <w:noProof/>
                <w:webHidden/>
              </w:rPr>
            </w:r>
            <w:r w:rsidRPr="001F484D">
              <w:rPr>
                <w:b/>
                <w:bCs/>
                <w:noProof/>
                <w:webHidden/>
              </w:rPr>
              <w:fldChar w:fldCharType="separate"/>
            </w:r>
            <w:r>
              <w:rPr>
                <w:b/>
                <w:bCs/>
                <w:noProof/>
                <w:webHidden/>
              </w:rPr>
              <w:t>89</w:t>
            </w:r>
            <w:r w:rsidRPr="001F484D">
              <w:rPr>
                <w:b/>
                <w:bCs/>
                <w:noProof/>
                <w:webHidden/>
              </w:rPr>
              <w:fldChar w:fldCharType="end"/>
            </w:r>
          </w:hyperlink>
        </w:p>
        <w:p w14:paraId="31FF159C" w14:textId="7025D513"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28" w:history="1">
            <w:r w:rsidRPr="00B50A64">
              <w:rPr>
                <w:rStyle w:val="Hyperlink"/>
                <w:noProof/>
              </w:rPr>
              <w:t>8.1 Workforce strategies and planning</w:t>
            </w:r>
            <w:r>
              <w:rPr>
                <w:noProof/>
                <w:webHidden/>
              </w:rPr>
              <w:tab/>
            </w:r>
            <w:r>
              <w:rPr>
                <w:noProof/>
                <w:webHidden/>
              </w:rPr>
              <w:fldChar w:fldCharType="begin"/>
            </w:r>
            <w:r>
              <w:rPr>
                <w:noProof/>
                <w:webHidden/>
              </w:rPr>
              <w:instrText xml:space="preserve"> PAGEREF _Toc210815428 \h </w:instrText>
            </w:r>
            <w:r>
              <w:rPr>
                <w:noProof/>
                <w:webHidden/>
              </w:rPr>
            </w:r>
            <w:r>
              <w:rPr>
                <w:noProof/>
                <w:webHidden/>
              </w:rPr>
              <w:fldChar w:fldCharType="separate"/>
            </w:r>
            <w:r>
              <w:rPr>
                <w:noProof/>
                <w:webHidden/>
              </w:rPr>
              <w:t>89</w:t>
            </w:r>
            <w:r>
              <w:rPr>
                <w:noProof/>
                <w:webHidden/>
              </w:rPr>
              <w:fldChar w:fldCharType="end"/>
            </w:r>
          </w:hyperlink>
        </w:p>
        <w:p w14:paraId="21ECBFCA" w14:textId="312BED7D"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29" w:history="1">
            <w:r w:rsidRPr="00B50A64">
              <w:rPr>
                <w:rStyle w:val="Hyperlink"/>
                <w:noProof/>
              </w:rPr>
              <w:t>8.2 Our culture</w:t>
            </w:r>
            <w:r>
              <w:rPr>
                <w:noProof/>
                <w:webHidden/>
              </w:rPr>
              <w:tab/>
            </w:r>
            <w:r>
              <w:rPr>
                <w:noProof/>
                <w:webHidden/>
              </w:rPr>
              <w:fldChar w:fldCharType="begin"/>
            </w:r>
            <w:r>
              <w:rPr>
                <w:noProof/>
                <w:webHidden/>
              </w:rPr>
              <w:instrText xml:space="preserve"> PAGEREF _Toc210815429 \h </w:instrText>
            </w:r>
            <w:r>
              <w:rPr>
                <w:noProof/>
                <w:webHidden/>
              </w:rPr>
            </w:r>
            <w:r>
              <w:rPr>
                <w:noProof/>
                <w:webHidden/>
              </w:rPr>
              <w:fldChar w:fldCharType="separate"/>
            </w:r>
            <w:r>
              <w:rPr>
                <w:noProof/>
                <w:webHidden/>
              </w:rPr>
              <w:t>90</w:t>
            </w:r>
            <w:r>
              <w:rPr>
                <w:noProof/>
                <w:webHidden/>
              </w:rPr>
              <w:fldChar w:fldCharType="end"/>
            </w:r>
          </w:hyperlink>
        </w:p>
        <w:p w14:paraId="1286721E" w14:textId="7EFEC321"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30" w:history="1">
            <w:r w:rsidRPr="00B50A64">
              <w:rPr>
                <w:rStyle w:val="Hyperlink"/>
                <w:noProof/>
              </w:rPr>
              <w:t>8.3 Work health and safety</w:t>
            </w:r>
            <w:r>
              <w:rPr>
                <w:noProof/>
                <w:webHidden/>
              </w:rPr>
              <w:tab/>
            </w:r>
            <w:r>
              <w:rPr>
                <w:noProof/>
                <w:webHidden/>
              </w:rPr>
              <w:fldChar w:fldCharType="begin"/>
            </w:r>
            <w:r>
              <w:rPr>
                <w:noProof/>
                <w:webHidden/>
              </w:rPr>
              <w:instrText xml:space="preserve"> PAGEREF _Toc210815430 \h </w:instrText>
            </w:r>
            <w:r>
              <w:rPr>
                <w:noProof/>
                <w:webHidden/>
              </w:rPr>
            </w:r>
            <w:r>
              <w:rPr>
                <w:noProof/>
                <w:webHidden/>
              </w:rPr>
              <w:fldChar w:fldCharType="separate"/>
            </w:r>
            <w:r>
              <w:rPr>
                <w:noProof/>
                <w:webHidden/>
              </w:rPr>
              <w:t>90</w:t>
            </w:r>
            <w:r>
              <w:rPr>
                <w:noProof/>
                <w:webHidden/>
              </w:rPr>
              <w:fldChar w:fldCharType="end"/>
            </w:r>
          </w:hyperlink>
        </w:p>
        <w:p w14:paraId="4AD4922F" w14:textId="63EAA9E4"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31" w:history="1">
            <w:r w:rsidRPr="00B50A64">
              <w:rPr>
                <w:rStyle w:val="Hyperlink"/>
                <w:noProof/>
              </w:rPr>
              <w:t>8.4 Recruitment</w:t>
            </w:r>
            <w:r>
              <w:rPr>
                <w:noProof/>
                <w:webHidden/>
              </w:rPr>
              <w:tab/>
            </w:r>
            <w:r>
              <w:rPr>
                <w:noProof/>
                <w:webHidden/>
              </w:rPr>
              <w:fldChar w:fldCharType="begin"/>
            </w:r>
            <w:r>
              <w:rPr>
                <w:noProof/>
                <w:webHidden/>
              </w:rPr>
              <w:instrText xml:space="preserve"> PAGEREF _Toc210815431 \h </w:instrText>
            </w:r>
            <w:r>
              <w:rPr>
                <w:noProof/>
                <w:webHidden/>
              </w:rPr>
            </w:r>
            <w:r>
              <w:rPr>
                <w:noProof/>
                <w:webHidden/>
              </w:rPr>
              <w:fldChar w:fldCharType="separate"/>
            </w:r>
            <w:r>
              <w:rPr>
                <w:noProof/>
                <w:webHidden/>
              </w:rPr>
              <w:t>93</w:t>
            </w:r>
            <w:r>
              <w:rPr>
                <w:noProof/>
                <w:webHidden/>
              </w:rPr>
              <w:fldChar w:fldCharType="end"/>
            </w:r>
          </w:hyperlink>
        </w:p>
        <w:p w14:paraId="57F8F222" w14:textId="409422BF"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32" w:history="1">
            <w:r w:rsidRPr="00B50A64">
              <w:rPr>
                <w:rStyle w:val="Hyperlink"/>
                <w:noProof/>
              </w:rPr>
              <w:t>8.5 Inclusion and diversity</w:t>
            </w:r>
            <w:r>
              <w:rPr>
                <w:noProof/>
                <w:webHidden/>
              </w:rPr>
              <w:tab/>
            </w:r>
            <w:r>
              <w:rPr>
                <w:noProof/>
                <w:webHidden/>
              </w:rPr>
              <w:fldChar w:fldCharType="begin"/>
            </w:r>
            <w:r>
              <w:rPr>
                <w:noProof/>
                <w:webHidden/>
              </w:rPr>
              <w:instrText xml:space="preserve"> PAGEREF _Toc210815432 \h </w:instrText>
            </w:r>
            <w:r>
              <w:rPr>
                <w:noProof/>
                <w:webHidden/>
              </w:rPr>
            </w:r>
            <w:r>
              <w:rPr>
                <w:noProof/>
                <w:webHidden/>
              </w:rPr>
              <w:fldChar w:fldCharType="separate"/>
            </w:r>
            <w:r>
              <w:rPr>
                <w:noProof/>
                <w:webHidden/>
              </w:rPr>
              <w:t>93</w:t>
            </w:r>
            <w:r>
              <w:rPr>
                <w:noProof/>
                <w:webHidden/>
              </w:rPr>
              <w:fldChar w:fldCharType="end"/>
            </w:r>
          </w:hyperlink>
        </w:p>
        <w:p w14:paraId="046DF31F" w14:textId="1276735F"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33" w:history="1">
            <w:r w:rsidRPr="00B50A64">
              <w:rPr>
                <w:rStyle w:val="Hyperlink"/>
                <w:noProof/>
              </w:rPr>
              <w:t>8.6 Reconciliation</w:t>
            </w:r>
            <w:r>
              <w:rPr>
                <w:noProof/>
                <w:webHidden/>
              </w:rPr>
              <w:tab/>
            </w:r>
            <w:r>
              <w:rPr>
                <w:noProof/>
                <w:webHidden/>
              </w:rPr>
              <w:fldChar w:fldCharType="begin"/>
            </w:r>
            <w:r>
              <w:rPr>
                <w:noProof/>
                <w:webHidden/>
              </w:rPr>
              <w:instrText xml:space="preserve"> PAGEREF _Toc210815433 \h </w:instrText>
            </w:r>
            <w:r>
              <w:rPr>
                <w:noProof/>
                <w:webHidden/>
              </w:rPr>
            </w:r>
            <w:r>
              <w:rPr>
                <w:noProof/>
                <w:webHidden/>
              </w:rPr>
              <w:fldChar w:fldCharType="separate"/>
            </w:r>
            <w:r>
              <w:rPr>
                <w:noProof/>
                <w:webHidden/>
              </w:rPr>
              <w:t>97</w:t>
            </w:r>
            <w:r>
              <w:rPr>
                <w:noProof/>
                <w:webHidden/>
              </w:rPr>
              <w:fldChar w:fldCharType="end"/>
            </w:r>
          </w:hyperlink>
        </w:p>
        <w:p w14:paraId="0914ADE7" w14:textId="34AFDED0"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34" w:history="1">
            <w:r w:rsidRPr="00B50A64">
              <w:rPr>
                <w:rStyle w:val="Hyperlink"/>
                <w:noProof/>
              </w:rPr>
              <w:t>8.7 Learning and development</w:t>
            </w:r>
            <w:r>
              <w:rPr>
                <w:noProof/>
                <w:webHidden/>
              </w:rPr>
              <w:tab/>
            </w:r>
            <w:r>
              <w:rPr>
                <w:noProof/>
                <w:webHidden/>
              </w:rPr>
              <w:fldChar w:fldCharType="begin"/>
            </w:r>
            <w:r>
              <w:rPr>
                <w:noProof/>
                <w:webHidden/>
              </w:rPr>
              <w:instrText xml:space="preserve"> PAGEREF _Toc210815434 \h </w:instrText>
            </w:r>
            <w:r>
              <w:rPr>
                <w:noProof/>
                <w:webHidden/>
              </w:rPr>
            </w:r>
            <w:r>
              <w:rPr>
                <w:noProof/>
                <w:webHidden/>
              </w:rPr>
              <w:fldChar w:fldCharType="separate"/>
            </w:r>
            <w:r>
              <w:rPr>
                <w:noProof/>
                <w:webHidden/>
              </w:rPr>
              <w:t>97</w:t>
            </w:r>
            <w:r>
              <w:rPr>
                <w:noProof/>
                <w:webHidden/>
              </w:rPr>
              <w:fldChar w:fldCharType="end"/>
            </w:r>
          </w:hyperlink>
        </w:p>
        <w:p w14:paraId="79602EE3" w14:textId="58665083"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35" w:history="1">
            <w:r w:rsidRPr="00B50A64">
              <w:rPr>
                <w:rStyle w:val="Hyperlink"/>
                <w:noProof/>
              </w:rPr>
              <w:t>8.8 Performance management</w:t>
            </w:r>
            <w:r>
              <w:rPr>
                <w:noProof/>
                <w:webHidden/>
              </w:rPr>
              <w:tab/>
            </w:r>
            <w:r>
              <w:rPr>
                <w:noProof/>
                <w:webHidden/>
              </w:rPr>
              <w:fldChar w:fldCharType="begin"/>
            </w:r>
            <w:r>
              <w:rPr>
                <w:noProof/>
                <w:webHidden/>
              </w:rPr>
              <w:instrText xml:space="preserve"> PAGEREF _Toc210815435 \h </w:instrText>
            </w:r>
            <w:r>
              <w:rPr>
                <w:noProof/>
                <w:webHidden/>
              </w:rPr>
            </w:r>
            <w:r>
              <w:rPr>
                <w:noProof/>
                <w:webHidden/>
              </w:rPr>
              <w:fldChar w:fldCharType="separate"/>
            </w:r>
            <w:r>
              <w:rPr>
                <w:noProof/>
                <w:webHidden/>
              </w:rPr>
              <w:t>98</w:t>
            </w:r>
            <w:r>
              <w:rPr>
                <w:noProof/>
                <w:webHidden/>
              </w:rPr>
              <w:fldChar w:fldCharType="end"/>
            </w:r>
          </w:hyperlink>
        </w:p>
        <w:p w14:paraId="79F3AE9A" w14:textId="6D3142DC"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36" w:history="1">
            <w:r w:rsidRPr="00B50A64">
              <w:rPr>
                <w:rStyle w:val="Hyperlink"/>
                <w:noProof/>
              </w:rPr>
              <w:t>8.9 Employment arrangements</w:t>
            </w:r>
            <w:r>
              <w:rPr>
                <w:noProof/>
                <w:webHidden/>
              </w:rPr>
              <w:tab/>
            </w:r>
            <w:r>
              <w:rPr>
                <w:noProof/>
                <w:webHidden/>
              </w:rPr>
              <w:fldChar w:fldCharType="begin"/>
            </w:r>
            <w:r>
              <w:rPr>
                <w:noProof/>
                <w:webHidden/>
              </w:rPr>
              <w:instrText xml:space="preserve"> PAGEREF _Toc210815436 \h </w:instrText>
            </w:r>
            <w:r>
              <w:rPr>
                <w:noProof/>
                <w:webHidden/>
              </w:rPr>
            </w:r>
            <w:r>
              <w:rPr>
                <w:noProof/>
                <w:webHidden/>
              </w:rPr>
              <w:fldChar w:fldCharType="separate"/>
            </w:r>
            <w:r>
              <w:rPr>
                <w:noProof/>
                <w:webHidden/>
              </w:rPr>
              <w:t>99</w:t>
            </w:r>
            <w:r>
              <w:rPr>
                <w:noProof/>
                <w:webHidden/>
              </w:rPr>
              <w:fldChar w:fldCharType="end"/>
            </w:r>
          </w:hyperlink>
        </w:p>
        <w:p w14:paraId="147E38C4" w14:textId="20E8163F" w:rsidR="001F484D" w:rsidRPr="001F484D" w:rsidRDefault="001F484D">
          <w:pPr>
            <w:pStyle w:val="TOC1"/>
            <w:tabs>
              <w:tab w:val="right" w:leader="dot" w:pos="11096"/>
            </w:tabs>
            <w:rPr>
              <w:rFonts w:asciiTheme="minorHAnsi" w:eastAsiaTheme="minorEastAsia" w:hAnsiTheme="minorHAnsi" w:cstheme="minorBidi"/>
              <w:b/>
              <w:bCs/>
              <w:noProof/>
              <w:kern w:val="2"/>
              <w:lang w:eastAsia="en-AU"/>
              <w14:ligatures w14:val="standardContextual"/>
            </w:rPr>
          </w:pPr>
          <w:hyperlink w:anchor="_Toc210815437" w:history="1">
            <w:r w:rsidRPr="001F484D">
              <w:rPr>
                <w:rStyle w:val="Hyperlink"/>
                <w:b/>
                <w:bCs/>
                <w:noProof/>
              </w:rPr>
              <w:t>Part 9 – Financial reporting</w:t>
            </w:r>
            <w:r w:rsidRPr="001F484D">
              <w:rPr>
                <w:b/>
                <w:bCs/>
                <w:noProof/>
                <w:webHidden/>
              </w:rPr>
              <w:tab/>
            </w:r>
            <w:r w:rsidRPr="001F484D">
              <w:rPr>
                <w:b/>
                <w:bCs/>
                <w:noProof/>
                <w:webHidden/>
              </w:rPr>
              <w:fldChar w:fldCharType="begin"/>
            </w:r>
            <w:r w:rsidRPr="001F484D">
              <w:rPr>
                <w:b/>
                <w:bCs/>
                <w:noProof/>
                <w:webHidden/>
              </w:rPr>
              <w:instrText xml:space="preserve"> PAGEREF _Toc210815437 \h </w:instrText>
            </w:r>
            <w:r w:rsidRPr="001F484D">
              <w:rPr>
                <w:b/>
                <w:bCs/>
                <w:noProof/>
                <w:webHidden/>
              </w:rPr>
            </w:r>
            <w:r w:rsidRPr="001F484D">
              <w:rPr>
                <w:b/>
                <w:bCs/>
                <w:noProof/>
                <w:webHidden/>
              </w:rPr>
              <w:fldChar w:fldCharType="separate"/>
            </w:r>
            <w:r>
              <w:rPr>
                <w:b/>
                <w:bCs/>
                <w:noProof/>
                <w:webHidden/>
              </w:rPr>
              <w:t>100</w:t>
            </w:r>
            <w:r w:rsidRPr="001F484D">
              <w:rPr>
                <w:b/>
                <w:bCs/>
                <w:noProof/>
                <w:webHidden/>
              </w:rPr>
              <w:fldChar w:fldCharType="end"/>
            </w:r>
          </w:hyperlink>
        </w:p>
        <w:p w14:paraId="4954838E" w14:textId="53DB3C9F"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38" w:history="1">
            <w:r w:rsidRPr="00B50A64">
              <w:rPr>
                <w:rStyle w:val="Hyperlink"/>
                <w:noProof/>
              </w:rPr>
              <w:t>9.1 Report on financial performance</w:t>
            </w:r>
            <w:r>
              <w:rPr>
                <w:noProof/>
                <w:webHidden/>
              </w:rPr>
              <w:tab/>
            </w:r>
            <w:r>
              <w:rPr>
                <w:noProof/>
                <w:webHidden/>
              </w:rPr>
              <w:fldChar w:fldCharType="begin"/>
            </w:r>
            <w:r>
              <w:rPr>
                <w:noProof/>
                <w:webHidden/>
              </w:rPr>
              <w:instrText xml:space="preserve"> PAGEREF _Toc210815438 \h </w:instrText>
            </w:r>
            <w:r>
              <w:rPr>
                <w:noProof/>
                <w:webHidden/>
              </w:rPr>
            </w:r>
            <w:r>
              <w:rPr>
                <w:noProof/>
                <w:webHidden/>
              </w:rPr>
              <w:fldChar w:fldCharType="separate"/>
            </w:r>
            <w:r>
              <w:rPr>
                <w:noProof/>
                <w:webHidden/>
              </w:rPr>
              <w:t>100</w:t>
            </w:r>
            <w:r>
              <w:rPr>
                <w:noProof/>
                <w:webHidden/>
              </w:rPr>
              <w:fldChar w:fldCharType="end"/>
            </w:r>
          </w:hyperlink>
        </w:p>
        <w:p w14:paraId="4A47BBF2" w14:textId="5F50D498"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39" w:history="1">
            <w:r w:rsidRPr="00B50A64">
              <w:rPr>
                <w:rStyle w:val="Hyperlink"/>
                <w:noProof/>
              </w:rPr>
              <w:t>9.2 Independent auditor’s report</w:t>
            </w:r>
            <w:r>
              <w:rPr>
                <w:noProof/>
                <w:webHidden/>
              </w:rPr>
              <w:tab/>
            </w:r>
            <w:r>
              <w:rPr>
                <w:noProof/>
                <w:webHidden/>
              </w:rPr>
              <w:fldChar w:fldCharType="begin"/>
            </w:r>
            <w:r>
              <w:rPr>
                <w:noProof/>
                <w:webHidden/>
              </w:rPr>
              <w:instrText xml:space="preserve"> PAGEREF _Toc210815439 \h </w:instrText>
            </w:r>
            <w:r>
              <w:rPr>
                <w:noProof/>
                <w:webHidden/>
              </w:rPr>
            </w:r>
            <w:r>
              <w:rPr>
                <w:noProof/>
                <w:webHidden/>
              </w:rPr>
              <w:fldChar w:fldCharType="separate"/>
            </w:r>
            <w:r>
              <w:rPr>
                <w:noProof/>
                <w:webHidden/>
              </w:rPr>
              <w:t>102</w:t>
            </w:r>
            <w:r>
              <w:rPr>
                <w:noProof/>
                <w:webHidden/>
              </w:rPr>
              <w:fldChar w:fldCharType="end"/>
            </w:r>
          </w:hyperlink>
        </w:p>
        <w:p w14:paraId="3D021931" w14:textId="7128B360"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40" w:history="1">
            <w:r w:rsidRPr="00B50A64">
              <w:rPr>
                <w:rStyle w:val="Hyperlink"/>
                <w:noProof/>
              </w:rPr>
              <w:t>9.3 Financial statements</w:t>
            </w:r>
            <w:r>
              <w:rPr>
                <w:noProof/>
                <w:webHidden/>
              </w:rPr>
              <w:tab/>
            </w:r>
            <w:r>
              <w:rPr>
                <w:noProof/>
                <w:webHidden/>
              </w:rPr>
              <w:fldChar w:fldCharType="begin"/>
            </w:r>
            <w:r>
              <w:rPr>
                <w:noProof/>
                <w:webHidden/>
              </w:rPr>
              <w:instrText xml:space="preserve"> PAGEREF _Toc210815440 \h </w:instrText>
            </w:r>
            <w:r>
              <w:rPr>
                <w:noProof/>
                <w:webHidden/>
              </w:rPr>
            </w:r>
            <w:r>
              <w:rPr>
                <w:noProof/>
                <w:webHidden/>
              </w:rPr>
              <w:fldChar w:fldCharType="separate"/>
            </w:r>
            <w:r>
              <w:rPr>
                <w:noProof/>
                <w:webHidden/>
              </w:rPr>
              <w:t>102</w:t>
            </w:r>
            <w:r>
              <w:rPr>
                <w:noProof/>
                <w:webHidden/>
              </w:rPr>
              <w:fldChar w:fldCharType="end"/>
            </w:r>
          </w:hyperlink>
        </w:p>
        <w:p w14:paraId="148D4452" w14:textId="7554E415"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41" w:history="1">
            <w:r w:rsidRPr="00B50A64">
              <w:rPr>
                <w:rStyle w:val="Hyperlink"/>
                <w:noProof/>
              </w:rPr>
              <w:t>9.4 Procurement and consultancy</w:t>
            </w:r>
            <w:r>
              <w:rPr>
                <w:noProof/>
                <w:webHidden/>
              </w:rPr>
              <w:tab/>
            </w:r>
            <w:r>
              <w:rPr>
                <w:noProof/>
                <w:webHidden/>
              </w:rPr>
              <w:fldChar w:fldCharType="begin"/>
            </w:r>
            <w:r>
              <w:rPr>
                <w:noProof/>
                <w:webHidden/>
              </w:rPr>
              <w:instrText xml:space="preserve"> PAGEREF _Toc210815441 \h </w:instrText>
            </w:r>
            <w:r>
              <w:rPr>
                <w:noProof/>
                <w:webHidden/>
              </w:rPr>
            </w:r>
            <w:r>
              <w:rPr>
                <w:noProof/>
                <w:webHidden/>
              </w:rPr>
              <w:fldChar w:fldCharType="separate"/>
            </w:r>
            <w:r>
              <w:rPr>
                <w:noProof/>
                <w:webHidden/>
              </w:rPr>
              <w:t>107</w:t>
            </w:r>
            <w:r>
              <w:rPr>
                <w:noProof/>
                <w:webHidden/>
              </w:rPr>
              <w:fldChar w:fldCharType="end"/>
            </w:r>
          </w:hyperlink>
        </w:p>
        <w:p w14:paraId="0A82B743" w14:textId="39C5FD44" w:rsidR="001F484D" w:rsidRPr="001F484D" w:rsidRDefault="001F484D">
          <w:pPr>
            <w:pStyle w:val="TOC1"/>
            <w:tabs>
              <w:tab w:val="right" w:leader="dot" w:pos="11096"/>
            </w:tabs>
            <w:rPr>
              <w:rFonts w:asciiTheme="minorHAnsi" w:eastAsiaTheme="minorEastAsia" w:hAnsiTheme="minorHAnsi" w:cstheme="minorBidi"/>
              <w:b/>
              <w:bCs/>
              <w:noProof/>
              <w:kern w:val="2"/>
              <w:lang w:eastAsia="en-AU"/>
              <w14:ligatures w14:val="standardContextual"/>
            </w:rPr>
          </w:pPr>
          <w:hyperlink w:anchor="_Toc210815442" w:history="1">
            <w:r w:rsidRPr="001F484D">
              <w:rPr>
                <w:rStyle w:val="Hyperlink"/>
                <w:b/>
                <w:bCs/>
                <w:noProof/>
              </w:rPr>
              <w:t>Part 10 – Appendices</w:t>
            </w:r>
            <w:r w:rsidRPr="001F484D">
              <w:rPr>
                <w:b/>
                <w:bCs/>
                <w:noProof/>
                <w:webHidden/>
              </w:rPr>
              <w:tab/>
            </w:r>
            <w:r w:rsidRPr="001F484D">
              <w:rPr>
                <w:b/>
                <w:bCs/>
                <w:noProof/>
                <w:webHidden/>
              </w:rPr>
              <w:fldChar w:fldCharType="begin"/>
            </w:r>
            <w:r w:rsidRPr="001F484D">
              <w:rPr>
                <w:b/>
                <w:bCs/>
                <w:noProof/>
                <w:webHidden/>
              </w:rPr>
              <w:instrText xml:space="preserve"> PAGEREF _Toc210815442 \h </w:instrText>
            </w:r>
            <w:r w:rsidRPr="001F484D">
              <w:rPr>
                <w:b/>
                <w:bCs/>
                <w:noProof/>
                <w:webHidden/>
              </w:rPr>
            </w:r>
            <w:r w:rsidRPr="001F484D">
              <w:rPr>
                <w:b/>
                <w:bCs/>
                <w:noProof/>
                <w:webHidden/>
              </w:rPr>
              <w:fldChar w:fldCharType="separate"/>
            </w:r>
            <w:r>
              <w:rPr>
                <w:b/>
                <w:bCs/>
                <w:noProof/>
                <w:webHidden/>
              </w:rPr>
              <w:t>112</w:t>
            </w:r>
            <w:r w:rsidRPr="001F484D">
              <w:rPr>
                <w:b/>
                <w:bCs/>
                <w:noProof/>
                <w:webHidden/>
              </w:rPr>
              <w:fldChar w:fldCharType="end"/>
            </w:r>
          </w:hyperlink>
        </w:p>
        <w:p w14:paraId="53BD4507" w14:textId="29EE0506"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43" w:history="1">
            <w:r w:rsidRPr="00B50A64">
              <w:rPr>
                <w:rStyle w:val="Hyperlink"/>
                <w:noProof/>
              </w:rPr>
              <w:t>Appendix A — Staffing statistics</w:t>
            </w:r>
            <w:r>
              <w:rPr>
                <w:noProof/>
                <w:webHidden/>
              </w:rPr>
              <w:tab/>
            </w:r>
            <w:r>
              <w:rPr>
                <w:noProof/>
                <w:webHidden/>
              </w:rPr>
              <w:fldChar w:fldCharType="begin"/>
            </w:r>
            <w:r>
              <w:rPr>
                <w:noProof/>
                <w:webHidden/>
              </w:rPr>
              <w:instrText xml:space="preserve"> PAGEREF _Toc210815443 \h </w:instrText>
            </w:r>
            <w:r>
              <w:rPr>
                <w:noProof/>
                <w:webHidden/>
              </w:rPr>
            </w:r>
            <w:r>
              <w:rPr>
                <w:noProof/>
                <w:webHidden/>
              </w:rPr>
              <w:fldChar w:fldCharType="separate"/>
            </w:r>
            <w:r>
              <w:rPr>
                <w:noProof/>
                <w:webHidden/>
              </w:rPr>
              <w:t>112</w:t>
            </w:r>
            <w:r>
              <w:rPr>
                <w:noProof/>
                <w:webHidden/>
              </w:rPr>
              <w:fldChar w:fldCharType="end"/>
            </w:r>
          </w:hyperlink>
        </w:p>
        <w:p w14:paraId="1F0E0685" w14:textId="55A731F5"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44" w:history="1">
            <w:r w:rsidRPr="00B50A64">
              <w:rPr>
                <w:rStyle w:val="Hyperlink"/>
                <w:noProof/>
              </w:rPr>
              <w:t>Appendix B — Satisfaction Research Program</w:t>
            </w:r>
            <w:r>
              <w:rPr>
                <w:noProof/>
                <w:webHidden/>
              </w:rPr>
              <w:tab/>
            </w:r>
            <w:r>
              <w:rPr>
                <w:noProof/>
                <w:webHidden/>
              </w:rPr>
              <w:fldChar w:fldCharType="begin"/>
            </w:r>
            <w:r>
              <w:rPr>
                <w:noProof/>
                <w:webHidden/>
              </w:rPr>
              <w:instrText xml:space="preserve"> PAGEREF _Toc210815444 \h </w:instrText>
            </w:r>
            <w:r>
              <w:rPr>
                <w:noProof/>
                <w:webHidden/>
              </w:rPr>
            </w:r>
            <w:r>
              <w:rPr>
                <w:noProof/>
                <w:webHidden/>
              </w:rPr>
              <w:fldChar w:fldCharType="separate"/>
            </w:r>
            <w:r>
              <w:rPr>
                <w:noProof/>
                <w:webHidden/>
              </w:rPr>
              <w:t>128</w:t>
            </w:r>
            <w:r>
              <w:rPr>
                <w:noProof/>
                <w:webHidden/>
              </w:rPr>
              <w:fldChar w:fldCharType="end"/>
            </w:r>
          </w:hyperlink>
        </w:p>
        <w:p w14:paraId="781CE225" w14:textId="1A454800"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45" w:history="1">
            <w:r w:rsidRPr="00B50A64">
              <w:rPr>
                <w:rStyle w:val="Hyperlink"/>
                <w:noProof/>
              </w:rPr>
              <w:t>Appendix C — Other legislative requirements</w:t>
            </w:r>
            <w:r>
              <w:rPr>
                <w:noProof/>
                <w:webHidden/>
              </w:rPr>
              <w:tab/>
            </w:r>
            <w:r>
              <w:rPr>
                <w:noProof/>
                <w:webHidden/>
              </w:rPr>
              <w:fldChar w:fldCharType="begin"/>
            </w:r>
            <w:r>
              <w:rPr>
                <w:noProof/>
                <w:webHidden/>
              </w:rPr>
              <w:instrText xml:space="preserve"> PAGEREF _Toc210815445 \h </w:instrText>
            </w:r>
            <w:r>
              <w:rPr>
                <w:noProof/>
                <w:webHidden/>
              </w:rPr>
            </w:r>
            <w:r>
              <w:rPr>
                <w:noProof/>
                <w:webHidden/>
              </w:rPr>
              <w:fldChar w:fldCharType="separate"/>
            </w:r>
            <w:r>
              <w:rPr>
                <w:noProof/>
                <w:webHidden/>
              </w:rPr>
              <w:t>130</w:t>
            </w:r>
            <w:r>
              <w:rPr>
                <w:noProof/>
                <w:webHidden/>
              </w:rPr>
              <w:fldChar w:fldCharType="end"/>
            </w:r>
          </w:hyperlink>
        </w:p>
        <w:p w14:paraId="071CB0BD" w14:textId="50D2DDDF"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46" w:history="1">
            <w:r w:rsidRPr="00B50A64">
              <w:rPr>
                <w:rStyle w:val="Hyperlink"/>
                <w:noProof/>
              </w:rPr>
              <w:t>Appendix D — List of requirements</w:t>
            </w:r>
            <w:r>
              <w:rPr>
                <w:noProof/>
                <w:webHidden/>
              </w:rPr>
              <w:tab/>
            </w:r>
            <w:r>
              <w:rPr>
                <w:noProof/>
                <w:webHidden/>
              </w:rPr>
              <w:fldChar w:fldCharType="begin"/>
            </w:r>
            <w:r>
              <w:rPr>
                <w:noProof/>
                <w:webHidden/>
              </w:rPr>
              <w:instrText xml:space="preserve"> PAGEREF _Toc210815446 \h </w:instrText>
            </w:r>
            <w:r>
              <w:rPr>
                <w:noProof/>
                <w:webHidden/>
              </w:rPr>
            </w:r>
            <w:r>
              <w:rPr>
                <w:noProof/>
                <w:webHidden/>
              </w:rPr>
              <w:fldChar w:fldCharType="separate"/>
            </w:r>
            <w:r>
              <w:rPr>
                <w:noProof/>
                <w:webHidden/>
              </w:rPr>
              <w:t>141</w:t>
            </w:r>
            <w:r>
              <w:rPr>
                <w:noProof/>
                <w:webHidden/>
              </w:rPr>
              <w:fldChar w:fldCharType="end"/>
            </w:r>
          </w:hyperlink>
        </w:p>
        <w:p w14:paraId="72B4E98C" w14:textId="5D5CC66B"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47" w:history="1">
            <w:r w:rsidRPr="00B50A64">
              <w:rPr>
                <w:rStyle w:val="Hyperlink"/>
                <w:noProof/>
              </w:rPr>
              <w:t>Appendix E — Glossary of abbreviations and acronyms</w:t>
            </w:r>
            <w:r>
              <w:rPr>
                <w:noProof/>
                <w:webHidden/>
              </w:rPr>
              <w:tab/>
            </w:r>
            <w:r>
              <w:rPr>
                <w:noProof/>
                <w:webHidden/>
              </w:rPr>
              <w:fldChar w:fldCharType="begin"/>
            </w:r>
            <w:r>
              <w:rPr>
                <w:noProof/>
                <w:webHidden/>
              </w:rPr>
              <w:instrText xml:space="preserve"> PAGEREF _Toc210815447 \h </w:instrText>
            </w:r>
            <w:r>
              <w:rPr>
                <w:noProof/>
                <w:webHidden/>
              </w:rPr>
            </w:r>
            <w:r>
              <w:rPr>
                <w:noProof/>
                <w:webHidden/>
              </w:rPr>
              <w:fldChar w:fldCharType="separate"/>
            </w:r>
            <w:r>
              <w:rPr>
                <w:noProof/>
                <w:webHidden/>
              </w:rPr>
              <w:t>150</w:t>
            </w:r>
            <w:r>
              <w:rPr>
                <w:noProof/>
                <w:webHidden/>
              </w:rPr>
              <w:fldChar w:fldCharType="end"/>
            </w:r>
          </w:hyperlink>
        </w:p>
        <w:p w14:paraId="2170841E" w14:textId="487636E7"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48" w:history="1">
            <w:r w:rsidRPr="00B50A64">
              <w:rPr>
                <w:rStyle w:val="Hyperlink"/>
                <w:noProof/>
              </w:rPr>
              <w:t>Appendix F — Index</w:t>
            </w:r>
            <w:r>
              <w:rPr>
                <w:noProof/>
                <w:webHidden/>
              </w:rPr>
              <w:tab/>
            </w:r>
            <w:r>
              <w:rPr>
                <w:noProof/>
                <w:webHidden/>
              </w:rPr>
              <w:fldChar w:fldCharType="begin"/>
            </w:r>
            <w:r>
              <w:rPr>
                <w:noProof/>
                <w:webHidden/>
              </w:rPr>
              <w:instrText xml:space="preserve"> PAGEREF _Toc210815448 \h </w:instrText>
            </w:r>
            <w:r>
              <w:rPr>
                <w:noProof/>
                <w:webHidden/>
              </w:rPr>
            </w:r>
            <w:r>
              <w:rPr>
                <w:noProof/>
                <w:webHidden/>
              </w:rPr>
              <w:fldChar w:fldCharType="separate"/>
            </w:r>
            <w:r>
              <w:rPr>
                <w:noProof/>
                <w:webHidden/>
              </w:rPr>
              <w:t>153</w:t>
            </w:r>
            <w:r>
              <w:rPr>
                <w:noProof/>
                <w:webHidden/>
              </w:rPr>
              <w:fldChar w:fldCharType="end"/>
            </w:r>
          </w:hyperlink>
        </w:p>
        <w:p w14:paraId="748927DF" w14:textId="7DF3EBCC" w:rsidR="001F484D" w:rsidRDefault="001F484D">
          <w:pPr>
            <w:pStyle w:val="TOC1"/>
            <w:tabs>
              <w:tab w:val="right" w:leader="dot" w:pos="11096"/>
            </w:tabs>
            <w:rPr>
              <w:rFonts w:asciiTheme="minorHAnsi" w:eastAsiaTheme="minorEastAsia" w:hAnsiTheme="minorHAnsi" w:cstheme="minorBidi"/>
              <w:noProof/>
              <w:kern w:val="2"/>
              <w:lang w:eastAsia="en-AU"/>
              <w14:ligatures w14:val="standardContextual"/>
            </w:rPr>
          </w:pPr>
          <w:hyperlink w:anchor="_Toc210815449" w:history="1">
            <w:r w:rsidRPr="00B50A64">
              <w:rPr>
                <w:rStyle w:val="Hyperlink"/>
                <w:noProof/>
              </w:rPr>
              <w:t>Appendix G — Omissions and errors</w:t>
            </w:r>
            <w:r>
              <w:rPr>
                <w:noProof/>
                <w:webHidden/>
              </w:rPr>
              <w:tab/>
            </w:r>
            <w:r>
              <w:rPr>
                <w:noProof/>
                <w:webHidden/>
              </w:rPr>
              <w:fldChar w:fldCharType="begin"/>
            </w:r>
            <w:r>
              <w:rPr>
                <w:noProof/>
                <w:webHidden/>
              </w:rPr>
              <w:instrText xml:space="preserve"> PAGEREF _Toc210815449 \h </w:instrText>
            </w:r>
            <w:r>
              <w:rPr>
                <w:noProof/>
                <w:webHidden/>
              </w:rPr>
            </w:r>
            <w:r>
              <w:rPr>
                <w:noProof/>
                <w:webHidden/>
              </w:rPr>
              <w:fldChar w:fldCharType="separate"/>
            </w:r>
            <w:r>
              <w:rPr>
                <w:noProof/>
                <w:webHidden/>
              </w:rPr>
              <w:t>172</w:t>
            </w:r>
            <w:r>
              <w:rPr>
                <w:noProof/>
                <w:webHidden/>
              </w:rPr>
              <w:fldChar w:fldCharType="end"/>
            </w:r>
          </w:hyperlink>
        </w:p>
        <w:p w14:paraId="1D7B2D08" w14:textId="4CCB7FF6" w:rsidR="001F484D" w:rsidRDefault="001F484D">
          <w:r>
            <w:fldChar w:fldCharType="end"/>
          </w:r>
        </w:p>
      </w:sdtContent>
    </w:sdt>
    <w:p w14:paraId="02707F1C" w14:textId="24D17699" w:rsidR="00824ED3" w:rsidRDefault="00824ED3" w:rsidP="00824ED3">
      <w:pPr>
        <w:pStyle w:val="Heading1"/>
      </w:pPr>
      <w:bookmarkStart w:id="2" w:name="_Toc210815381"/>
      <w:r>
        <w:t>Letter of transmittal</w:t>
      </w:r>
      <w:bookmarkEnd w:id="2"/>
    </w:p>
    <w:p w14:paraId="35265EEE" w14:textId="77777777" w:rsidR="00BE62B9" w:rsidRPr="00BE62B9" w:rsidRDefault="00BE62B9" w:rsidP="00BE62B9">
      <w:pPr>
        <w:pStyle w:val="BodyText"/>
        <w:rPr>
          <w:lang w:val="en-GB"/>
        </w:rPr>
      </w:pPr>
      <w:r w:rsidRPr="00BE62B9">
        <w:rPr>
          <w:lang w:val="en-GB"/>
        </w:rPr>
        <w:t>Dear Minister</w:t>
      </w:r>
    </w:p>
    <w:p w14:paraId="1C149F37" w14:textId="77777777" w:rsidR="00BE62B9" w:rsidRPr="00BE62B9" w:rsidRDefault="00BE62B9" w:rsidP="00BE62B9">
      <w:pPr>
        <w:pStyle w:val="BodyText"/>
        <w:rPr>
          <w:lang w:val="en-GB"/>
        </w:rPr>
      </w:pPr>
      <w:r w:rsidRPr="00BE62B9">
        <w:rPr>
          <w:lang w:val="en-GB"/>
        </w:rPr>
        <w:t>I am pleased to present Services Australia’s annual report for the financial year 2024–25.</w:t>
      </w:r>
    </w:p>
    <w:p w14:paraId="5E2CB0C9" w14:textId="77777777" w:rsidR="00BE62B9" w:rsidRPr="00BE62B9" w:rsidRDefault="00BE62B9" w:rsidP="00BE62B9">
      <w:pPr>
        <w:pStyle w:val="BodyText"/>
        <w:rPr>
          <w:lang w:val="en-GB"/>
        </w:rPr>
      </w:pPr>
      <w:r w:rsidRPr="00BE62B9">
        <w:rPr>
          <w:lang w:val="en-GB"/>
        </w:rPr>
        <w:t xml:space="preserve">The report has been prepared in accordance with all applicable obligations of the </w:t>
      </w:r>
      <w:r w:rsidRPr="00BE62B9">
        <w:rPr>
          <w:i/>
          <w:iCs/>
          <w:lang w:val="en-GB"/>
        </w:rPr>
        <w:t>Public Governance, Performance and Accountability Act 2013</w:t>
      </w:r>
      <w:r w:rsidRPr="00BE62B9">
        <w:rPr>
          <w:lang w:val="en-GB"/>
        </w:rPr>
        <w:t xml:space="preserve"> including section 46, which requires you to table the report in parliament. It also meets the reporting requirements under section 42 of the </w:t>
      </w:r>
      <w:r w:rsidRPr="00BE62B9">
        <w:rPr>
          <w:i/>
          <w:iCs/>
          <w:lang w:val="en-GB"/>
        </w:rPr>
        <w:t>Human Services (Medicare) Act 1973</w:t>
      </w:r>
      <w:r w:rsidRPr="00BE62B9">
        <w:rPr>
          <w:lang w:val="en-GB"/>
        </w:rPr>
        <w:t xml:space="preserve">. </w:t>
      </w:r>
    </w:p>
    <w:p w14:paraId="7386E483" w14:textId="77777777" w:rsidR="00BE62B9" w:rsidRPr="00BE62B9" w:rsidRDefault="00BE62B9" w:rsidP="00BE62B9">
      <w:pPr>
        <w:pStyle w:val="BodyText"/>
        <w:rPr>
          <w:lang w:val="en-GB"/>
        </w:rPr>
      </w:pPr>
      <w:r w:rsidRPr="00BE62B9">
        <w:rPr>
          <w:lang w:val="en-GB"/>
        </w:rPr>
        <w:t>As required by sections 10 and 17AG(2)(b) of the Public Governance, Performance and Accountability Rule 2014, I certify that all reasonable measures have been taken to deal appropriately with fraud and corruption relating to the agency, including that:</w:t>
      </w:r>
    </w:p>
    <w:p w14:paraId="18F95919" w14:textId="77777777" w:rsidR="00BE62B9" w:rsidRPr="00BE62B9" w:rsidRDefault="00BE62B9" w:rsidP="00BE62B9">
      <w:pPr>
        <w:pStyle w:val="ListBullet"/>
        <w:rPr>
          <w:lang w:val="en-GB"/>
        </w:rPr>
      </w:pPr>
      <w:r w:rsidRPr="00BE62B9">
        <w:rPr>
          <w:lang w:val="en-GB"/>
        </w:rPr>
        <w:t>fraud and corruption risk assessments and control plans have been prepared; and</w:t>
      </w:r>
    </w:p>
    <w:p w14:paraId="30DBCFF3" w14:textId="77777777" w:rsidR="00BE62B9" w:rsidRPr="00BE62B9" w:rsidRDefault="00BE62B9" w:rsidP="00BE62B9">
      <w:pPr>
        <w:pStyle w:val="ListBullet"/>
        <w:rPr>
          <w:lang w:val="en-GB"/>
        </w:rPr>
      </w:pPr>
      <w:r w:rsidRPr="00BE62B9">
        <w:rPr>
          <w:lang w:val="en-GB"/>
        </w:rPr>
        <w:t>appropriate mechanisms for preventing, detecting incidents of, investigating, or otherwise dealing with, and recording or reporting fraud and corruption are in place.</w:t>
      </w:r>
    </w:p>
    <w:p w14:paraId="623822E7" w14:textId="77777777" w:rsidR="00BE62B9" w:rsidRPr="00BE62B9" w:rsidRDefault="00BE62B9" w:rsidP="00BE62B9">
      <w:pPr>
        <w:pStyle w:val="BodyText"/>
        <w:rPr>
          <w:lang w:val="en-GB"/>
        </w:rPr>
      </w:pPr>
      <w:r w:rsidRPr="00BE62B9">
        <w:rPr>
          <w:lang w:val="en-GB"/>
        </w:rPr>
        <w:t>Yours sincerely</w:t>
      </w:r>
    </w:p>
    <w:p w14:paraId="14701857" w14:textId="324AF319" w:rsidR="00BE62B9" w:rsidRPr="001B0D33" w:rsidRDefault="00BE62B9" w:rsidP="00BE62B9">
      <w:pPr>
        <w:pStyle w:val="BodyText"/>
        <w:rPr>
          <w:b/>
          <w:bCs/>
        </w:rPr>
      </w:pPr>
      <w:r w:rsidRPr="001B0D33">
        <w:rPr>
          <w:b/>
          <w:bCs/>
        </w:rPr>
        <w:t xml:space="preserve">David </w:t>
      </w:r>
      <w:r>
        <w:rPr>
          <w:b/>
          <w:bCs/>
        </w:rPr>
        <w:t>H</w:t>
      </w:r>
      <w:r w:rsidRPr="001B0D33">
        <w:rPr>
          <w:b/>
          <w:bCs/>
        </w:rPr>
        <w:t>azlehurst</w:t>
      </w:r>
    </w:p>
    <w:p w14:paraId="2B628724" w14:textId="5D93E3D7" w:rsidR="001F484D" w:rsidRDefault="00BE62B9" w:rsidP="00BE62B9">
      <w:pPr>
        <w:pStyle w:val="BodyText"/>
      </w:pPr>
      <w:r>
        <w:t>29</w:t>
      </w:r>
      <w:r w:rsidRPr="00473952">
        <w:t xml:space="preserve"> </w:t>
      </w:r>
      <w:r>
        <w:t>September</w:t>
      </w:r>
      <w:r w:rsidRPr="00473952">
        <w:t xml:space="preserve"> 202</w:t>
      </w:r>
      <w:r>
        <w:t>5</w:t>
      </w:r>
    </w:p>
    <w:p w14:paraId="0D9895D6" w14:textId="77777777" w:rsidR="001F484D" w:rsidRDefault="001F484D">
      <w:pPr>
        <w:tabs>
          <w:tab w:val="clear" w:pos="1066"/>
        </w:tabs>
      </w:pPr>
      <w:r>
        <w:br w:type="page"/>
      </w:r>
    </w:p>
    <w:p w14:paraId="30C9098C" w14:textId="1AE21DC4" w:rsidR="00824ED3" w:rsidRDefault="00824ED3" w:rsidP="00824ED3">
      <w:pPr>
        <w:pStyle w:val="Heading2"/>
      </w:pPr>
      <w:r>
        <w:lastRenderedPageBreak/>
        <w:t>About this report</w:t>
      </w:r>
    </w:p>
    <w:p w14:paraId="2B80186E" w14:textId="77777777" w:rsidR="00824ED3" w:rsidRDefault="00824ED3" w:rsidP="00824ED3">
      <w:pPr>
        <w:pStyle w:val="BodyText"/>
      </w:pPr>
      <w:r>
        <w:t>The annual report 2024–25 is a transparent account to the Parliament of Australia and the public of our activities throughout the financial year.</w:t>
      </w:r>
    </w:p>
    <w:p w14:paraId="6C35F2E6" w14:textId="77777777" w:rsidR="00824ED3" w:rsidRDefault="00824ED3" w:rsidP="00824ED3">
      <w:pPr>
        <w:pStyle w:val="BodyText"/>
      </w:pPr>
      <w:r>
        <w:t>We report against our planned performance expectations outlined in the Social Services Portfolio Budget Statements 2024–25.</w:t>
      </w:r>
    </w:p>
    <w:p w14:paraId="6CB45192" w14:textId="26D48121" w:rsidR="00824ED3" w:rsidRDefault="00824ED3" w:rsidP="00824ED3">
      <w:pPr>
        <w:pStyle w:val="BodyText"/>
      </w:pPr>
      <w:r>
        <w:t>The report provides financial and performance information about the work of our agency from 1</w:t>
      </w:r>
      <w:r w:rsidR="0000700B">
        <w:t> </w:t>
      </w:r>
      <w:r>
        <w:t>July</w:t>
      </w:r>
      <w:r w:rsidR="0000700B">
        <w:t> </w:t>
      </w:r>
      <w:r>
        <w:t>2024 to 30 June 2025. It was prepared in accordance with legislative and parliamentary reporting requirements.</w:t>
      </w:r>
    </w:p>
    <w:p w14:paraId="5CAA3D28" w14:textId="470463AD" w:rsidR="00824ED3" w:rsidRDefault="00BE62B9" w:rsidP="00824ED3">
      <w:pPr>
        <w:pStyle w:val="Heading3"/>
      </w:pPr>
      <w:r>
        <w:t>Guide to this report</w:t>
      </w:r>
    </w:p>
    <w:p w14:paraId="09F90FC3" w14:textId="3C8359A8" w:rsidR="00824ED3" w:rsidRDefault="00824ED3" w:rsidP="00824ED3">
      <w:pPr>
        <w:pStyle w:val="BodyText"/>
      </w:pPr>
      <w:r>
        <w:t>Part 1 Provides an overview of the agency’s role and responsibilities, our Minister and management structure, and enterprise governance.</w:t>
      </w:r>
    </w:p>
    <w:p w14:paraId="32DE525B" w14:textId="0E70BBD1" w:rsidR="00824ED3" w:rsidRDefault="00824ED3" w:rsidP="00824ED3">
      <w:pPr>
        <w:pStyle w:val="BodyText"/>
      </w:pPr>
      <w:r>
        <w:t>Part 2 Provides the agency’s Annual Performance Statements 2024–25, which report on non-financial performance against planned performance as set out in the Social Services Portfolio Budget Statements 2024–25.</w:t>
      </w:r>
    </w:p>
    <w:p w14:paraId="160A2E79" w14:textId="531A71BC" w:rsidR="00824ED3" w:rsidRDefault="00824ED3" w:rsidP="00824ED3">
      <w:pPr>
        <w:pStyle w:val="BodyText"/>
      </w:pPr>
      <w:r>
        <w:t>Part 3 Reviews key activities to simplify service delivery and improve the customer experience.</w:t>
      </w:r>
    </w:p>
    <w:p w14:paraId="1FA5A164" w14:textId="26CA57D5" w:rsidR="00824ED3" w:rsidRDefault="00824ED3" w:rsidP="00824ED3">
      <w:pPr>
        <w:pStyle w:val="BodyText"/>
      </w:pPr>
      <w:r>
        <w:t xml:space="preserve">Part 4 Details payments and services delivered to customers, and other targeted services and support we deliver on behalf of government including during disasters and emergency events. </w:t>
      </w:r>
    </w:p>
    <w:p w14:paraId="302D2D1B" w14:textId="5E6864C2" w:rsidR="00824ED3" w:rsidRDefault="00824ED3" w:rsidP="00824ED3">
      <w:pPr>
        <w:pStyle w:val="BodyText"/>
      </w:pPr>
      <w:r>
        <w:t>Part 5 Outlines our collaboration, shared services and partnerships in delivering government services.</w:t>
      </w:r>
    </w:p>
    <w:p w14:paraId="50282BFD" w14:textId="017F2595" w:rsidR="00824ED3" w:rsidRDefault="00824ED3" w:rsidP="00824ED3">
      <w:pPr>
        <w:pStyle w:val="BodyText"/>
      </w:pPr>
      <w:r>
        <w:t xml:space="preserve">Part 6 Details fraud control and compliance including prevention, detection and response, identity management, and debt management, including appeals and reviews. </w:t>
      </w:r>
    </w:p>
    <w:p w14:paraId="302C782E" w14:textId="509C5D84" w:rsidR="00824ED3" w:rsidRDefault="00824ED3" w:rsidP="00824ED3">
      <w:pPr>
        <w:pStyle w:val="BodyText"/>
      </w:pPr>
      <w:r>
        <w:t>Part 7 Details our management and accountability processes, including freedom of information and external scrutiny.</w:t>
      </w:r>
    </w:p>
    <w:p w14:paraId="350B4C70" w14:textId="6BDF66F2" w:rsidR="00824ED3" w:rsidRDefault="00824ED3" w:rsidP="00824ED3">
      <w:pPr>
        <w:pStyle w:val="BodyText"/>
      </w:pPr>
      <w:r>
        <w:t>Part 8 Provides an overview of our culture, recruitment and broad workforce strategies.</w:t>
      </w:r>
    </w:p>
    <w:p w14:paraId="0D80225B" w14:textId="01B0D51B" w:rsidR="00824ED3" w:rsidRDefault="00824ED3" w:rsidP="00824ED3">
      <w:pPr>
        <w:pStyle w:val="BodyText"/>
      </w:pPr>
      <w:r>
        <w:t>Part 9 Sets out information on our financial performance, procurement and consultancies, and communication and advertising, including the agency’s Financial Statements 2024–25.</w:t>
      </w:r>
    </w:p>
    <w:p w14:paraId="07B2C358" w14:textId="370CF44D" w:rsidR="00824ED3" w:rsidRDefault="00824ED3" w:rsidP="00824ED3">
      <w:pPr>
        <w:pStyle w:val="BodyText"/>
      </w:pPr>
      <w:r>
        <w:t>Part 10 Includes appendices and reference information, including staffing statistics, customer feedback and other information required to be reported in the annual report by legislation.</w:t>
      </w:r>
    </w:p>
    <w:p w14:paraId="3F53592C" w14:textId="77777777" w:rsidR="00824ED3" w:rsidRDefault="00824ED3" w:rsidP="00824ED3">
      <w:pPr>
        <w:pStyle w:val="Heading1"/>
      </w:pPr>
      <w:bookmarkStart w:id="3" w:name="_Toc210815382"/>
      <w:r>
        <w:t>Chief Executive Officer’s review</w:t>
      </w:r>
      <w:bookmarkEnd w:id="3"/>
    </w:p>
    <w:p w14:paraId="7B90B729" w14:textId="77777777" w:rsidR="00824ED3" w:rsidRDefault="00824ED3" w:rsidP="00824ED3">
      <w:pPr>
        <w:pStyle w:val="BodyText"/>
      </w:pPr>
      <w:r>
        <w:t>Millions of Australians turn to Services Australia every day for support during life’s most pivotal moments. After the birth of a baby, when they face unexpected unemployment, navigate illness, or transition into aged care. Our role is to be there to support with respect, efficiency and care when our fellow Australians need us most.</w:t>
      </w:r>
    </w:p>
    <w:p w14:paraId="79CF995A" w14:textId="77777777" w:rsidR="00824ED3" w:rsidRDefault="00824ED3" w:rsidP="00824ED3">
      <w:pPr>
        <w:pStyle w:val="BodyText"/>
      </w:pPr>
      <w:r>
        <w:t>Over the past 12 months, we focused on getting the basics right – answering phones, processing claims and meeting people in our service centres in a timely way – putting customers first in everything we do.</w:t>
      </w:r>
    </w:p>
    <w:p w14:paraId="2C3AFC78" w14:textId="77777777" w:rsidR="00824ED3" w:rsidRDefault="00824ED3" w:rsidP="00824ED3">
      <w:pPr>
        <w:pStyle w:val="BodyText"/>
      </w:pPr>
      <w:r>
        <w:t>We also invested in the systems and processes to build transparency, confidence and trust in our agency to meet the needs of Australians into the future.</w:t>
      </w:r>
    </w:p>
    <w:p w14:paraId="6DF45B49" w14:textId="77777777" w:rsidR="00824ED3" w:rsidRDefault="00824ED3" w:rsidP="00824ED3">
      <w:pPr>
        <w:pStyle w:val="BodyText"/>
      </w:pPr>
      <w:r>
        <w:lastRenderedPageBreak/>
        <w:t>This report highlights our continued progress and achievements in 2024–25, delivering government services so people can get on with their lives.</w:t>
      </w:r>
    </w:p>
    <w:p w14:paraId="525EFB9A" w14:textId="77777777" w:rsidR="00824ED3" w:rsidRDefault="00824ED3" w:rsidP="00BE62B9">
      <w:pPr>
        <w:pStyle w:val="Heading3"/>
      </w:pPr>
      <w:r>
        <w:t>Busy year of delivery</w:t>
      </w:r>
    </w:p>
    <w:p w14:paraId="20E714FE" w14:textId="77777777" w:rsidR="00824ED3" w:rsidRDefault="00824ED3" w:rsidP="00824ED3">
      <w:pPr>
        <w:pStyle w:val="BodyText"/>
      </w:pPr>
      <w:r>
        <w:t>It’s been a busy year of service delivery, supporting increasing numbers of customers – 27.5 million customers accessing Medicare payments and services, 8.9 million customers accessing Centrelink payments and services and 1.1 million children supported through Child Support.</w:t>
      </w:r>
    </w:p>
    <w:p w14:paraId="5C1D2A24" w14:textId="77777777" w:rsidR="00824ED3" w:rsidRDefault="00824ED3" w:rsidP="00824ED3">
      <w:pPr>
        <w:pStyle w:val="BodyText"/>
      </w:pPr>
      <w:r>
        <w:t>With additional resourcing provided by the Australian Government over the past 18 months, our staff processed claims faster, so customers could receive their benefits sooner.</w:t>
      </w:r>
    </w:p>
    <w:p w14:paraId="65E6870F" w14:textId="77777777" w:rsidR="00824ED3" w:rsidRDefault="00824ED3" w:rsidP="00824ED3">
      <w:pPr>
        <w:pStyle w:val="BodyText"/>
      </w:pPr>
      <w:r>
        <w:t>We processed 736 million Medicare, Centrelink, Child Support and Pharmaceutical Benefits Scheme (PBS) claims, paying $263 billion in benefits to customers.</w:t>
      </w:r>
    </w:p>
    <w:p w14:paraId="57D83E70" w14:textId="77777777" w:rsidR="00824ED3" w:rsidRDefault="00824ED3" w:rsidP="00824ED3">
      <w:pPr>
        <w:pStyle w:val="BodyText"/>
      </w:pPr>
      <w:r>
        <w:t>This included supporting more than 25,000 customers in disaster-affected communities, like those impacted by ex-Tropical Cyclone Alfred in Queensland and New South Wales, and the bushfires in Western Victoria.</w:t>
      </w:r>
    </w:p>
    <w:p w14:paraId="1DE02F6C" w14:textId="77777777" w:rsidR="00824ED3" w:rsidRDefault="00824ED3" w:rsidP="00824ED3">
      <w:pPr>
        <w:pStyle w:val="BodyText"/>
      </w:pPr>
      <w:r>
        <w:t>Our staff handled 44.3 million telephony calls and 10.1 million engagements at our service centres.</w:t>
      </w:r>
    </w:p>
    <w:p w14:paraId="3C8808D1" w14:textId="77777777" w:rsidR="00824ED3" w:rsidRDefault="00824ED3" w:rsidP="00824ED3">
      <w:pPr>
        <w:pStyle w:val="BodyText"/>
      </w:pPr>
      <w:r>
        <w:t>We answered calls across our programs on average 22% faster than in the previous year, while our use of congestion messaging during periods of high demand also fell by 85%, improving access to our phone lines.</w:t>
      </w:r>
    </w:p>
    <w:p w14:paraId="49C717D0" w14:textId="77777777" w:rsidR="00824ED3" w:rsidRDefault="00824ED3" w:rsidP="00BE62B9">
      <w:pPr>
        <w:pStyle w:val="Heading3"/>
      </w:pPr>
      <w:r>
        <w:t>Delivering today, shaping tomorrow</w:t>
      </w:r>
    </w:p>
    <w:p w14:paraId="75E950E3" w14:textId="77777777" w:rsidR="00824ED3" w:rsidRDefault="00824ED3" w:rsidP="00824ED3">
      <w:pPr>
        <w:pStyle w:val="BodyText"/>
      </w:pPr>
      <w:r>
        <w:t>As Australia’s population grows and becomes more diverse, we’re working to ensure we continue to deliver simple, helpful, respectful and transparent government services to people when and where they need them.</w:t>
      </w:r>
    </w:p>
    <w:p w14:paraId="12D11BDD" w14:textId="77777777" w:rsidR="00824ED3" w:rsidRDefault="00824ED3" w:rsidP="00824ED3">
      <w:pPr>
        <w:pStyle w:val="BodyText"/>
      </w:pPr>
      <w:r>
        <w:t>To guide us in this work, we launched our Services Australia 2030 Vision. Our 2030 Vision sets out ‘where we want to be’ in 5 years’ time. It’s complemented by our Services Australia 2030 Strategy showing ‘how we’re going to get there’.</w:t>
      </w:r>
    </w:p>
    <w:p w14:paraId="7B26A973" w14:textId="77777777" w:rsidR="00824ED3" w:rsidRDefault="00824ED3" w:rsidP="00824ED3">
      <w:pPr>
        <w:pStyle w:val="BodyText"/>
      </w:pPr>
      <w:r>
        <w:t xml:space="preserve">Our 2030 Strategy is also our response to the recommendations from the Australian Public Service Commission’s independent Capability Review, which assessed our ability to deliver government priorities and outcomes for Australians into the future. </w:t>
      </w:r>
    </w:p>
    <w:p w14:paraId="153F9B83" w14:textId="77777777" w:rsidR="00824ED3" w:rsidRDefault="00824ED3" w:rsidP="00824ED3">
      <w:pPr>
        <w:pStyle w:val="BodyText"/>
      </w:pPr>
      <w:r>
        <w:t>The strategy states how we’ll lift capability across the 6 strategic themes of: customer, people and culture, productivity and efficiency, integrity, technology and data foundations, and partnership.</w:t>
      </w:r>
    </w:p>
    <w:p w14:paraId="443DB872" w14:textId="77777777" w:rsidR="00824ED3" w:rsidRDefault="00824ED3" w:rsidP="00824ED3">
      <w:pPr>
        <w:pStyle w:val="BodyText"/>
      </w:pPr>
      <w:r>
        <w:t>At the heart of our Vision and our Strategy is our Customer 360 model. It’s our commitment to put the needs of customers first, regardless of which program, channel or service through which they interact with us.</w:t>
      </w:r>
    </w:p>
    <w:p w14:paraId="0ED9CEAD" w14:textId="77777777" w:rsidR="00824ED3" w:rsidRDefault="00824ED3" w:rsidP="00824ED3">
      <w:pPr>
        <w:pStyle w:val="BodyText"/>
      </w:pPr>
      <w:r>
        <w:t>Whether it’s the 1.6 million place in queue call-backs we offered to save people waiting on hold, offering Auslan On-Demand for video calls, or ensuring customers get an outcome the first time they interact with us (first contact resolution), we’re designing services that put the person before the process.</w:t>
      </w:r>
    </w:p>
    <w:p w14:paraId="54DA6D7B" w14:textId="77777777" w:rsidR="00824ED3" w:rsidRDefault="00824ED3" w:rsidP="00824ED3">
      <w:pPr>
        <w:pStyle w:val="BodyText"/>
      </w:pPr>
      <w:r>
        <w:t>This extends to our 318 service centres. We’re more than half-way through our program of work transforming our sites so they’re welcoming and offer a more streamlined experience for customers.</w:t>
      </w:r>
    </w:p>
    <w:p w14:paraId="5AA6EF15" w14:textId="77777777" w:rsidR="00824ED3" w:rsidRDefault="00824ED3" w:rsidP="00824ED3">
      <w:pPr>
        <w:pStyle w:val="BodyText"/>
      </w:pPr>
      <w:r>
        <w:t>And more importantly, they’re more secure and safer for customers and staff.</w:t>
      </w:r>
    </w:p>
    <w:p w14:paraId="512EEBF1" w14:textId="77777777" w:rsidR="00824ED3" w:rsidRDefault="00824ED3" w:rsidP="00824ED3">
      <w:pPr>
        <w:pStyle w:val="BodyText"/>
      </w:pPr>
      <w:r>
        <w:lastRenderedPageBreak/>
        <w:t xml:space="preserve">We’ve implemented 20 of 44 recommendations from the Security Risk Management Review, including deploying more security guards to our sites and upgrading closed-circuit television systems. </w:t>
      </w:r>
    </w:p>
    <w:p w14:paraId="101E6B4C" w14:textId="77777777" w:rsidR="00824ED3" w:rsidRDefault="00824ED3" w:rsidP="00BE62B9">
      <w:pPr>
        <w:pStyle w:val="Heading3"/>
      </w:pPr>
      <w:r>
        <w:t>Putting people first in our digital transformation</w:t>
      </w:r>
    </w:p>
    <w:p w14:paraId="7A0707EA" w14:textId="77777777" w:rsidR="00824ED3" w:rsidRDefault="00824ED3" w:rsidP="00824ED3">
      <w:pPr>
        <w:pStyle w:val="BodyText"/>
      </w:pPr>
      <w:r>
        <w:t>Uplifting physical safety has been a priority this year, as has uplifting security measures to keep customer information safe.</w:t>
      </w:r>
    </w:p>
    <w:p w14:paraId="7AC79CE2" w14:textId="77777777" w:rsidR="00824ED3" w:rsidRDefault="00824ED3" w:rsidP="00824ED3">
      <w:pPr>
        <w:pStyle w:val="BodyText"/>
      </w:pPr>
      <w:r>
        <w:t xml:space="preserve">myGov became one of the first digital government services platforms to introduce passkeys as a sign in option, helping people avoid accidentally sharing their sign in details with scammers. </w:t>
      </w:r>
    </w:p>
    <w:p w14:paraId="56DA7420" w14:textId="77777777" w:rsidR="00824ED3" w:rsidRDefault="00824ED3" w:rsidP="00824ED3">
      <w:pPr>
        <w:pStyle w:val="BodyText"/>
      </w:pPr>
      <w:r>
        <w:t>So far, more than 1.3 million passkeys have been created to sign in to myGov.</w:t>
      </w:r>
    </w:p>
    <w:p w14:paraId="15A5CA5E" w14:textId="77777777" w:rsidR="00824ED3" w:rsidRDefault="00824ED3" w:rsidP="00824ED3">
      <w:pPr>
        <w:pStyle w:val="BodyText"/>
      </w:pPr>
      <w:r>
        <w:t>We also introduced a myGov security review feature which prompts customers to make their accounts more secure.</w:t>
      </w:r>
    </w:p>
    <w:p w14:paraId="14512A5A" w14:textId="77777777" w:rsidR="00824ED3" w:rsidRDefault="00824ED3" w:rsidP="00824ED3">
      <w:pPr>
        <w:pStyle w:val="BodyText"/>
      </w:pPr>
      <w:r>
        <w:t>We explored ways to streamline identity verification and information as part of the Trust Exchange proof of concept, testing how the myGov app could securely store and share information from government-issued identification. This would remove the need to share physical forms of identification, like Medicare cards.</w:t>
      </w:r>
    </w:p>
    <w:p w14:paraId="08D28D00" w14:textId="77777777" w:rsidR="00824ED3" w:rsidRDefault="00824ED3" w:rsidP="00824ED3">
      <w:pPr>
        <w:pStyle w:val="BodyText"/>
      </w:pPr>
      <w:r>
        <w:t>About 90% of our 10 million customer interactions each week are digital.</w:t>
      </w:r>
    </w:p>
    <w:p w14:paraId="1077E55C" w14:textId="77777777" w:rsidR="00824ED3" w:rsidRDefault="00824ED3" w:rsidP="00824ED3">
      <w:pPr>
        <w:pStyle w:val="BodyText"/>
      </w:pPr>
      <w:r>
        <w:t>We recorded 1.1 billion online transactions over the past 12 months. 479.6 million were for Medicare digital services, while myGov recorded almost 980,000 sign ins per day.</w:t>
      </w:r>
    </w:p>
    <w:p w14:paraId="62A6C247" w14:textId="77777777" w:rsidR="00824ED3" w:rsidRDefault="00824ED3" w:rsidP="00824ED3">
      <w:pPr>
        <w:pStyle w:val="BodyText"/>
      </w:pPr>
      <w:r>
        <w:t>We continue to enhance our online services, like offering appointment bookings for our customers. More than 500,000 appointments were booked online this year. That’s half a million times customers haven’t had to call or visit a service centre to make a booking, giving them time back to get on with their lives.</w:t>
      </w:r>
    </w:p>
    <w:p w14:paraId="3277FF0D" w14:textId="77777777" w:rsidR="00824ED3" w:rsidRDefault="00824ED3" w:rsidP="00824ED3">
      <w:pPr>
        <w:pStyle w:val="BodyText"/>
      </w:pPr>
      <w:r>
        <w:t>We also simplified online cost of care services for aged care customers, reducing the number of touchpoints and removing the need to mail forms back to us. We complement this with support from our Aged Care Specialist Officers to help people navigate what can be a challenging life event for families.</w:t>
      </w:r>
    </w:p>
    <w:p w14:paraId="408066B8" w14:textId="77777777" w:rsidR="00824ED3" w:rsidRDefault="00824ED3" w:rsidP="00824ED3">
      <w:pPr>
        <w:pStyle w:val="BodyText"/>
      </w:pPr>
      <w:r>
        <w:t>The most efficient way to interact with us is by self-serving through our digital channels. We help customers upskill by offering digital coaching in our service centres and over the phone, so they can self-serve online.</w:t>
      </w:r>
    </w:p>
    <w:p w14:paraId="18F1883F" w14:textId="77777777" w:rsidR="00824ED3" w:rsidRDefault="00824ED3" w:rsidP="00824ED3">
      <w:pPr>
        <w:pStyle w:val="BodyText"/>
      </w:pPr>
      <w:r>
        <w:t>To ensure we can support customers in some of this country’s most remote communities, like those in Arnhem Land and Christmas Island, we rolled out a portable, high-speed internet system so our remote servicing team can access our network.</w:t>
      </w:r>
    </w:p>
    <w:p w14:paraId="0504A5D8" w14:textId="77777777" w:rsidR="00824ED3" w:rsidRDefault="00824ED3" w:rsidP="00BE62B9">
      <w:pPr>
        <w:pStyle w:val="Heading3"/>
      </w:pPr>
      <w:r>
        <w:t>Exploring artificial intelligence</w:t>
      </w:r>
    </w:p>
    <w:p w14:paraId="1E5AF17D" w14:textId="77777777" w:rsidR="00824ED3" w:rsidRDefault="00824ED3" w:rsidP="00824ED3">
      <w:pPr>
        <w:pStyle w:val="BodyText"/>
      </w:pPr>
      <w:r>
        <w:t>Our Automation and Artificial Intelligence (AI) Strategy and Transparency Statement were both publicly released on our website. These will guide any use of emerging technologies in our operations to ensure it’s human-centered, safe, transparent, ethical, legal and fair.</w:t>
      </w:r>
    </w:p>
    <w:p w14:paraId="21EF0DB9" w14:textId="77777777" w:rsidR="00824ED3" w:rsidRDefault="00824ED3" w:rsidP="00824ED3">
      <w:pPr>
        <w:pStyle w:val="BodyText"/>
      </w:pPr>
      <w:r>
        <w:t>Services Australia is always going to need people. People who ensure the systems and technology we put in place do what they’re designed to do. AI provides an opportunity to simplify processes, to make us more efficient – freeing up time so we can focus on more intensive customer support for complex claims and connecting with people who need us the most.</w:t>
      </w:r>
    </w:p>
    <w:p w14:paraId="6AEE265B" w14:textId="77777777" w:rsidR="00824ED3" w:rsidRDefault="00824ED3" w:rsidP="00BE62B9">
      <w:pPr>
        <w:pStyle w:val="Heading3"/>
      </w:pPr>
      <w:r>
        <w:lastRenderedPageBreak/>
        <w:t>Partnering with community</w:t>
      </w:r>
    </w:p>
    <w:p w14:paraId="4D425B15" w14:textId="77777777" w:rsidR="00824ED3" w:rsidRDefault="00824ED3" w:rsidP="00824ED3">
      <w:pPr>
        <w:pStyle w:val="BodyText"/>
      </w:pPr>
      <w:r>
        <w:t>While we’ve almost completed the formal implementation of the Royal Commission recommendations into Robodebt, we also spent time deeply listening to and engaging with our stakeholders and customers to hear how we can better meet their needs.</w:t>
      </w:r>
    </w:p>
    <w:p w14:paraId="05AD0F5F" w14:textId="77777777" w:rsidR="00824ED3" w:rsidRDefault="00824ED3" w:rsidP="00824ED3">
      <w:pPr>
        <w:pStyle w:val="BodyText"/>
      </w:pPr>
      <w:r>
        <w:t>It’s our approach of ‘bringing the outside in’ to help us deliver improved services and co-design a future ‘community servicing pathway’.</w:t>
      </w:r>
    </w:p>
    <w:p w14:paraId="5B3361B6" w14:textId="77777777" w:rsidR="00824ED3" w:rsidRDefault="00824ED3" w:rsidP="00824ED3">
      <w:pPr>
        <w:pStyle w:val="BodyText"/>
      </w:pPr>
      <w:r>
        <w:t>Feedback helps ensure services are inclusive and tailored to people’s diverse cultural, individual, geographic and accessibility needs.</w:t>
      </w:r>
    </w:p>
    <w:p w14:paraId="5D3877C7" w14:textId="77777777" w:rsidR="00824ED3" w:rsidRDefault="00824ED3" w:rsidP="00824ED3">
      <w:pPr>
        <w:pStyle w:val="BodyText"/>
      </w:pPr>
      <w:r>
        <w:t>It’s an important step to demonstrate transparency and accountability, and to build trust.</w:t>
      </w:r>
    </w:p>
    <w:p w14:paraId="5A580660" w14:textId="77777777" w:rsidR="00824ED3" w:rsidRDefault="00824ED3" w:rsidP="00824ED3">
      <w:pPr>
        <w:pStyle w:val="BodyText"/>
      </w:pPr>
      <w:r>
        <w:t xml:space="preserve">We consulted extensively on our Centrepay reforms to make it easier for people to manage their bills, introduced the legal Advocates Channel to provide direct and timely support for vulnerable or at-risk clients, and we learnt from the insights of customers in our Lived Experience Group. </w:t>
      </w:r>
    </w:p>
    <w:p w14:paraId="7DF97F17" w14:textId="77777777" w:rsidR="00824ED3" w:rsidRDefault="00824ED3" w:rsidP="00824ED3">
      <w:pPr>
        <w:pStyle w:val="BodyText"/>
      </w:pPr>
      <w:r>
        <w:t>We engaged with Aboriginal and Torres Strait Islander communities to design bespoke service centres to meet the cultural needs of their people, like the one we opened in Western Cape (Weipa) in June 2025.</w:t>
      </w:r>
    </w:p>
    <w:p w14:paraId="678D9CF9" w14:textId="77777777" w:rsidR="00824ED3" w:rsidRDefault="00824ED3" w:rsidP="00824ED3">
      <w:pPr>
        <w:pStyle w:val="BodyText"/>
      </w:pPr>
      <w:r>
        <w:t>Many people with complex needs – and particularly vulnerable circumstances – can’t engage online, ring us, or visit a service centre. So, we’re also ‘bringing the inside out’, meeting customers where they are.</w:t>
      </w:r>
    </w:p>
    <w:p w14:paraId="3ECBF3F8" w14:textId="77777777" w:rsidR="00824ED3" w:rsidRDefault="00824ED3" w:rsidP="00824ED3">
      <w:pPr>
        <w:pStyle w:val="BodyText"/>
      </w:pPr>
      <w:r>
        <w:t xml:space="preserve">Our 95 Community Engagement Officers go to community organisations to help customers access information, payments and services, while our more than 1,400 social workers and specialist officers connect with customers who require extra care and support from us to resolve complex issues. </w:t>
      </w:r>
    </w:p>
    <w:p w14:paraId="14B5B740" w14:textId="77777777" w:rsidR="00824ED3" w:rsidRDefault="00824ED3" w:rsidP="00BE62B9">
      <w:pPr>
        <w:pStyle w:val="Heading3"/>
      </w:pPr>
      <w:r>
        <w:t>Celebrating our people and services</w:t>
      </w:r>
    </w:p>
    <w:p w14:paraId="1A43DB62" w14:textId="77777777" w:rsidR="00824ED3" w:rsidRDefault="00824ED3" w:rsidP="00824ED3">
      <w:pPr>
        <w:pStyle w:val="BodyText"/>
      </w:pPr>
      <w:r>
        <w:t>Our agency marked several milestones this year, including 25 years since the Family Tax Benefit was introduced to help eligible families meet the cost of covering the basics; and 35 years of educating Australians through our Financial Information Service.</w:t>
      </w:r>
    </w:p>
    <w:p w14:paraId="3843FCDE" w14:textId="77777777" w:rsidR="00824ED3" w:rsidRDefault="00824ED3" w:rsidP="00824ED3">
      <w:pPr>
        <w:pStyle w:val="BodyText"/>
      </w:pPr>
      <w:r>
        <w:t>In what was a first for our agency, 60 staff represented Services Australia in the 2025 Sydney Gay and Lesbian Mardi Gras Parade.</w:t>
      </w:r>
    </w:p>
    <w:p w14:paraId="2348A851" w14:textId="77777777" w:rsidR="00824ED3" w:rsidRDefault="00824ED3" w:rsidP="00824ED3">
      <w:pPr>
        <w:pStyle w:val="BodyText"/>
      </w:pPr>
      <w:r>
        <w:t>Participating in events like Mardi Gras is one way we demonstrate our commitment to supporting the needs of everyone in our community with dignity and respect.</w:t>
      </w:r>
    </w:p>
    <w:p w14:paraId="356DF2D5" w14:textId="77777777" w:rsidR="00824ED3" w:rsidRDefault="00824ED3" w:rsidP="00824ED3">
      <w:pPr>
        <w:pStyle w:val="BodyText"/>
      </w:pPr>
      <w:r>
        <w:t>Services Australia is proudly an inclusive workplace. Our diversity is reflective of the community we serve and means we’re better equipped to understand the unique needs of our customers.</w:t>
      </w:r>
    </w:p>
    <w:p w14:paraId="5609B330" w14:textId="2FF34BB2" w:rsidR="00824ED3" w:rsidRDefault="00824ED3" w:rsidP="00824ED3">
      <w:pPr>
        <w:pStyle w:val="BodyText"/>
      </w:pPr>
      <w:r>
        <w:t>Our passionate Indigenous Service Officers (ISOs) celebrated their 50th anniversary this year. That’s five decades of supporting Aboriginal and Torres Strait Islander communities across the country. Our 72</w:t>
      </w:r>
      <w:r w:rsidR="0000700B">
        <w:t> </w:t>
      </w:r>
      <w:r>
        <w:t>ISOs lead our commitment to support their community members to engage with Services Australia in ways that are culturally safe, supportive and empowering.</w:t>
      </w:r>
    </w:p>
    <w:p w14:paraId="4D2C2229" w14:textId="77777777" w:rsidR="00824ED3" w:rsidRDefault="00824ED3" w:rsidP="00824ED3">
      <w:pPr>
        <w:pStyle w:val="BodyText"/>
      </w:pPr>
      <w:r>
        <w:t>And our Multicultural Service Officers (MSOs) celebrated 35 years of working with culturally and linguistically diverse (CALD) customers and multicultural communities across the country. Our 70 MSOs conducted 35,951 outreach activities this year, including helping refugees settle in Australia.</w:t>
      </w:r>
    </w:p>
    <w:p w14:paraId="3127640D" w14:textId="77777777" w:rsidR="00824ED3" w:rsidRDefault="00824ED3" w:rsidP="00BE62B9">
      <w:pPr>
        <w:pStyle w:val="Heading3"/>
      </w:pPr>
      <w:r>
        <w:lastRenderedPageBreak/>
        <w:t>Looking ahead together</w:t>
      </w:r>
    </w:p>
    <w:p w14:paraId="4F360271" w14:textId="77777777" w:rsidR="00824ED3" w:rsidRDefault="00824ED3" w:rsidP="00824ED3">
      <w:pPr>
        <w:pStyle w:val="BodyText"/>
      </w:pPr>
      <w:r>
        <w:t xml:space="preserve">Our achievements this year reflect the passion and commitment of Services Australia’s staff to deliver the best possible outcomes for all Australians. </w:t>
      </w:r>
    </w:p>
    <w:p w14:paraId="660879F9" w14:textId="77777777" w:rsidR="00824ED3" w:rsidRDefault="00824ED3" w:rsidP="00824ED3">
      <w:pPr>
        <w:pStyle w:val="BodyText"/>
      </w:pPr>
      <w:r>
        <w:t>Whether customers connect with us in our service centres, on the phone, online or with our outreach teams in the community – it’s our people who make a direct and invaluable impact on the lives of our customers, and I thank them for their contribution.</w:t>
      </w:r>
    </w:p>
    <w:p w14:paraId="040CA214" w14:textId="54CC334A" w:rsidR="00824ED3" w:rsidRDefault="00824ED3" w:rsidP="00824ED3">
      <w:pPr>
        <w:pStyle w:val="BodyText"/>
      </w:pPr>
      <w:r>
        <w:t>As we look to the year ahead, Services Australia remains steadfast in our goal to be a world leader in the delivery of government services – an agency that people trust; an agency that cares.</w:t>
      </w:r>
    </w:p>
    <w:p w14:paraId="73B289AB" w14:textId="77777777" w:rsidR="00824ED3" w:rsidRPr="00BE62B9" w:rsidRDefault="00824ED3" w:rsidP="00BE62B9">
      <w:pPr>
        <w:pStyle w:val="BodyText"/>
        <w:spacing w:before="0" w:after="0"/>
        <w:rPr>
          <w:b/>
          <w:bCs/>
        </w:rPr>
      </w:pPr>
      <w:r w:rsidRPr="00BE62B9">
        <w:rPr>
          <w:b/>
          <w:bCs/>
        </w:rPr>
        <w:t>David Hazlehurst</w:t>
      </w:r>
    </w:p>
    <w:p w14:paraId="23584C00" w14:textId="77777777" w:rsidR="00824ED3" w:rsidRDefault="00824ED3" w:rsidP="00BE62B9">
      <w:pPr>
        <w:pStyle w:val="BodyText"/>
        <w:spacing w:before="0" w:after="0"/>
      </w:pPr>
      <w:r>
        <w:t>Chief Executive Officer</w:t>
      </w:r>
    </w:p>
    <w:p w14:paraId="6FA36857" w14:textId="0D685E9D" w:rsidR="00E018DC" w:rsidRDefault="00824ED3" w:rsidP="00BE62B9">
      <w:pPr>
        <w:pStyle w:val="BodyText"/>
        <w:spacing w:before="0"/>
      </w:pPr>
      <w:r>
        <w:t>Services Australia</w:t>
      </w:r>
    </w:p>
    <w:p w14:paraId="29D5FC90" w14:textId="77777777" w:rsidR="00BE62B9" w:rsidRDefault="00BE62B9" w:rsidP="00077439">
      <w:pPr>
        <w:pStyle w:val="Heading1"/>
      </w:pPr>
      <w:bookmarkStart w:id="4" w:name="_Toc210815383"/>
      <w:r>
        <w:t>Part 1 – Agency overview: role and functions</w:t>
      </w:r>
      <w:bookmarkEnd w:id="4"/>
    </w:p>
    <w:p w14:paraId="1B416A4A" w14:textId="75005BFD" w:rsidR="00077439" w:rsidRDefault="00077439" w:rsidP="00077439">
      <w:pPr>
        <w:pStyle w:val="Heading1"/>
      </w:pPr>
      <w:bookmarkStart w:id="5" w:name="_Toc210815384"/>
      <w:r>
        <w:t>1.1 Purpose and vision</w:t>
      </w:r>
      <w:bookmarkEnd w:id="5"/>
    </w:p>
    <w:p w14:paraId="37974AA3" w14:textId="77777777" w:rsidR="00077439" w:rsidRDefault="00077439" w:rsidP="00BE62B9">
      <w:pPr>
        <w:pStyle w:val="BodyText"/>
      </w:pPr>
      <w:r>
        <w:t>Services Australia’s purpose is ‘to support Australians by efficiently delivering high-quality, accessible services and payments on behalf of government’.</w:t>
      </w:r>
    </w:p>
    <w:p w14:paraId="42171A12" w14:textId="77777777" w:rsidR="00077439" w:rsidRDefault="00077439" w:rsidP="00077439">
      <w:pPr>
        <w:pStyle w:val="BodyText"/>
        <w:rPr>
          <w:spacing w:val="-1"/>
        </w:rPr>
      </w:pPr>
      <w:r>
        <w:rPr>
          <w:spacing w:val="-1"/>
        </w:rPr>
        <w:t xml:space="preserve">Our vision is ‘to make government services simple so people can get on with their lives’. </w:t>
      </w:r>
    </w:p>
    <w:p w14:paraId="0B4FE9A0" w14:textId="77777777" w:rsidR="00077439" w:rsidRDefault="00077439" w:rsidP="00077439">
      <w:pPr>
        <w:pStyle w:val="BodyText"/>
        <w:rPr>
          <w:spacing w:val="-1"/>
        </w:rPr>
      </w:pPr>
      <w:r>
        <w:t>To achieve this purpose and vision, the agency is focused on driving continuous improvement across its services and systems, building on the capabilities, structures and workforce that underpin our ability to provide timely, accessible and efficient support to all Australians.</w:t>
      </w:r>
    </w:p>
    <w:p w14:paraId="13C264BD" w14:textId="77777777" w:rsidR="00077439" w:rsidRDefault="00077439" w:rsidP="00077439">
      <w:pPr>
        <w:pStyle w:val="Heading2"/>
      </w:pPr>
      <w:r>
        <w:t>Ministers</w:t>
      </w:r>
    </w:p>
    <w:p w14:paraId="239F5053" w14:textId="77777777" w:rsidR="00077439" w:rsidRDefault="00077439" w:rsidP="00077439">
      <w:pPr>
        <w:pStyle w:val="BodyText"/>
      </w:pPr>
      <w:r>
        <w:t>Senator the Hon Katy Gallagher was appointed as Minister for Government Services on 20 January 2025 and reappointed on 13 May 2025. Previously, the Hon Bill Shorten was the Minister for Government Services from 1 June 2022 to 20 January 2025.</w:t>
      </w:r>
    </w:p>
    <w:p w14:paraId="31D93354" w14:textId="77777777" w:rsidR="00077439" w:rsidRDefault="00077439" w:rsidP="00077439">
      <w:pPr>
        <w:pStyle w:val="Heading2"/>
      </w:pPr>
      <w:r>
        <w:t>Role and function</w:t>
      </w:r>
    </w:p>
    <w:p w14:paraId="7492F9AD" w14:textId="77777777" w:rsidR="00077439" w:rsidRDefault="00077439" w:rsidP="00077439">
      <w:pPr>
        <w:pStyle w:val="BodyText"/>
      </w:pPr>
      <w:r>
        <w:t xml:space="preserve">We develop, deliver, coordinate and monitor services and payments related to social security, child support, students, families, aged care and health programs (excluding health provider compliance). We collaborate with partners to deliver convenient, accessible and efficient services and payments to individuals, families, and communities. Our partners include other Commonwealth and state agencies, service providers and businesses. We design services and advise government on the delivery of services and payments. </w:t>
      </w:r>
    </w:p>
    <w:p w14:paraId="45814BB9" w14:textId="77777777" w:rsidR="00077439" w:rsidRDefault="00077439" w:rsidP="00077439">
      <w:pPr>
        <w:pStyle w:val="BodyText"/>
      </w:pPr>
      <w:r>
        <w:t xml:space="preserve">In addition, we perform a number of regulatory roles on behalf of policy partners to administer, monitor, enforce and encourage compliance with regulations, administer payments and recover debts. We also protect the integrity of government outlays through fraud and corruption prevention, detection, response (including investigations) and reporting mechanisms. </w:t>
      </w:r>
    </w:p>
    <w:p w14:paraId="0C42C503" w14:textId="77777777" w:rsidR="00077439" w:rsidRDefault="00077439" w:rsidP="00077439">
      <w:pPr>
        <w:pStyle w:val="Heading2"/>
      </w:pPr>
      <w:r>
        <w:lastRenderedPageBreak/>
        <w:t>Portfolio structure</w:t>
      </w:r>
    </w:p>
    <w:p w14:paraId="788CBE88" w14:textId="77777777" w:rsidR="00077439" w:rsidRDefault="00077439" w:rsidP="00077439">
      <w:pPr>
        <w:pStyle w:val="BodyText"/>
      </w:pPr>
      <w:r>
        <w:t xml:space="preserve">Services Australia is an executive agency with responsibility for supporting individuals, families, businesses and communities by efficiently delivering high-quality, accessible services on behalf of government. </w:t>
      </w:r>
    </w:p>
    <w:p w14:paraId="4A765B52" w14:textId="77777777" w:rsidR="00077439" w:rsidRDefault="00077439" w:rsidP="00077439">
      <w:pPr>
        <w:pStyle w:val="BodyText"/>
      </w:pPr>
      <w:r>
        <w:t>As at 1 July 2025, the agency is part of the Finance portfolio established under the Administrative Arrangements Order. In 2024–25 the agency was part of the Social Services portfolio.</w:t>
      </w:r>
    </w:p>
    <w:p w14:paraId="399A32A1" w14:textId="77777777" w:rsidR="00077439" w:rsidRDefault="00077439" w:rsidP="00077439">
      <w:pPr>
        <w:pStyle w:val="Heading1"/>
      </w:pPr>
      <w:bookmarkStart w:id="6" w:name="_Toc210815385"/>
      <w:r>
        <w:t>1.2 Corporate governance</w:t>
      </w:r>
      <w:bookmarkEnd w:id="6"/>
      <w:r>
        <w:t xml:space="preserve"> </w:t>
      </w:r>
    </w:p>
    <w:p w14:paraId="6B951C28" w14:textId="77777777" w:rsidR="00077439" w:rsidRDefault="00077439" w:rsidP="00077439">
      <w:pPr>
        <w:pStyle w:val="Heading2"/>
      </w:pPr>
      <w:r>
        <w:t>Agency executive and management structure</w:t>
      </w:r>
    </w:p>
    <w:p w14:paraId="52662A48" w14:textId="77777777" w:rsidR="00077439" w:rsidRDefault="00077439" w:rsidP="00077439">
      <w:pPr>
        <w:pStyle w:val="BodyText"/>
      </w:pPr>
      <w:r>
        <w:t>Figure 1 outlines the agency’s organisational structure as at 30 June 2025.</w:t>
      </w:r>
    </w:p>
    <w:p w14:paraId="347100D2" w14:textId="77777777" w:rsidR="00077439" w:rsidRDefault="00077439" w:rsidP="00077439">
      <w:pPr>
        <w:pStyle w:val="BodyText"/>
      </w:pPr>
      <w:r>
        <w:t>It shows the reporting lines from General Managers (GMs) to Deputy Chief Executive Officers (DCEOs), and from DCEOs to the Chief Executive Officer (CEO).</w:t>
      </w:r>
    </w:p>
    <w:p w14:paraId="31F61A3F" w14:textId="77777777" w:rsidR="00077439" w:rsidRPr="00BE62B9" w:rsidRDefault="00077439" w:rsidP="00BE62B9">
      <w:pPr>
        <w:pStyle w:val="BodyText"/>
        <w:rPr>
          <w:b/>
          <w:bCs/>
        </w:rPr>
      </w:pPr>
      <w:r w:rsidRPr="00BE62B9">
        <w:rPr>
          <w:b/>
          <w:bCs/>
        </w:rPr>
        <w:t>Figure 1: Organisational structure at 30 June 2025</w:t>
      </w:r>
    </w:p>
    <w:p w14:paraId="4959BADA" w14:textId="77777777" w:rsidR="00077439" w:rsidRDefault="00077439" w:rsidP="00077439">
      <w:pPr>
        <w:pStyle w:val="Heading2"/>
      </w:pPr>
      <w:r>
        <w:t xml:space="preserve">Executive responsibilities </w:t>
      </w:r>
    </w:p>
    <w:p w14:paraId="1262207A" w14:textId="77777777" w:rsidR="00077439" w:rsidRDefault="00077439" w:rsidP="00077439">
      <w:pPr>
        <w:pStyle w:val="BodyText"/>
      </w:pPr>
      <w:r>
        <w:rPr>
          <w:rStyle w:val="Bold"/>
        </w:rPr>
        <w:t>CEO</w:t>
      </w:r>
      <w:r>
        <w:t xml:space="preserve"> – responsible for supporting the Minister for Government Services in the delivery of portfolio responsibilities and provision of strategic policy advice. The CEO gives strategic oversight, leadership and management of the agency, ensuring there is collaborative implementation and delivery of government policy and programs and a whole-of-government approach to service delivery. The CEO also manages key stakeholder relationships and contributes to the stewardship of the Australian Public Service (APS). The CEO has statutory functions that arise from his roles as Chief Executive Centrelink, Chief Executive Medicare and Child Support Registrar.</w:t>
      </w:r>
    </w:p>
    <w:p w14:paraId="5984B5A5" w14:textId="77777777" w:rsidR="00077439" w:rsidRDefault="00077439" w:rsidP="00077439">
      <w:pPr>
        <w:pStyle w:val="BodyText"/>
      </w:pPr>
      <w:r>
        <w:rPr>
          <w:rStyle w:val="Bold"/>
        </w:rPr>
        <w:t>DCEO, Strategy and Performance</w:t>
      </w:r>
      <w:r>
        <w:t xml:space="preserve"> – responsible for setting the strategic direction for the agency and monitoring and reporting on performance and risks. The DCEO is also responsible for enterprise portfolio management, developing data capability and driving innovation through expert communication advice and support.</w:t>
      </w:r>
    </w:p>
    <w:p w14:paraId="5339662A" w14:textId="77777777" w:rsidR="00077439" w:rsidRDefault="00077439" w:rsidP="00077439">
      <w:pPr>
        <w:pStyle w:val="BodyText"/>
      </w:pPr>
      <w:r>
        <w:rPr>
          <w:rStyle w:val="Bold"/>
        </w:rPr>
        <w:t>Chief Customer Officer (CCO), Service Delivery Excellence</w:t>
      </w:r>
      <w:r>
        <w:t xml:space="preserve"> – responsible for service delivery optimisation, modernisation and transformation initiatives. The CCO leads design and delivery of a customer-focused approach to designing end-to-end customer experiences and connecting multiple major projects, improving service delivery and enhancing the staff and customer experience.</w:t>
      </w:r>
    </w:p>
    <w:p w14:paraId="5C113053" w14:textId="77777777" w:rsidR="00077439" w:rsidRDefault="00077439" w:rsidP="00077439">
      <w:pPr>
        <w:pStyle w:val="BodyText"/>
      </w:pPr>
      <w:r>
        <w:rPr>
          <w:rStyle w:val="Bold"/>
        </w:rPr>
        <w:t>DCEO, Program Design</w:t>
      </w:r>
      <w:r>
        <w:t xml:space="preserve"> – responsible for program management and service design of payments and services across the health, veterans and older Australians sectors, working age and pension programs, families, older Australians and tailored services. </w:t>
      </w:r>
    </w:p>
    <w:p w14:paraId="1A77BC8B" w14:textId="77777777" w:rsidR="00077439" w:rsidRDefault="00077439" w:rsidP="00077439">
      <w:pPr>
        <w:pStyle w:val="BodyText"/>
      </w:pPr>
      <w:r>
        <w:rPr>
          <w:rStyle w:val="Bold"/>
        </w:rPr>
        <w:t xml:space="preserve">DCEO, Customer Service Delivery </w:t>
      </w:r>
      <w:r>
        <w:t>– responsible for the agency’s face to face, telephony, processing and digital services. The DCEO is responsible for delivering Medicare, Centrelink and Child Support payments and services, and cross-government and surge capacity services on behalf of other government entities. The DCEO is also responsible for 24/7 monitoring of operations, maintaining partnerships across government, non-government and private sector stakeholders, coordinating the agency’s responses to emergencies and delivering the agency’s remote, Indigenous and multicultural services.</w:t>
      </w:r>
    </w:p>
    <w:p w14:paraId="7E88D28B" w14:textId="77777777" w:rsidR="00077439" w:rsidRDefault="00077439" w:rsidP="00077439">
      <w:pPr>
        <w:pStyle w:val="BodyText"/>
      </w:pPr>
      <w:r>
        <w:rPr>
          <w:rStyle w:val="Bold"/>
        </w:rPr>
        <w:lastRenderedPageBreak/>
        <w:t xml:space="preserve">DCEO, Payments and Integrity </w:t>
      </w:r>
      <w:r>
        <w:t>– responsible for administering fraud, payment assurance and payment integrity programs, including management of debt recovery and appeals processes. These measures aim to protect the integrity of government outlays for health and social services.</w:t>
      </w:r>
    </w:p>
    <w:p w14:paraId="084EF489" w14:textId="1DF16DAC" w:rsidR="00077439" w:rsidRPr="00077439" w:rsidRDefault="00077439" w:rsidP="00077439">
      <w:pPr>
        <w:pStyle w:val="BodyText"/>
        <w:rPr>
          <w:rStyle w:val="Bold"/>
          <w:b w:val="0"/>
          <w:bCs w:val="0"/>
          <w:color w:val="auto"/>
        </w:rPr>
      </w:pPr>
      <w:r>
        <w:rPr>
          <w:rStyle w:val="Bold"/>
        </w:rPr>
        <w:t>Chief Operating Officer (COO), Corporate Enabling</w:t>
      </w:r>
      <w:r>
        <w:t xml:space="preserve"> – responsible for corporate functions including finance, human resources, audit, legal, property and procurement and services delivered to other agencies and departments through shared services. The COO is also the Chief Security Officer and is accountable to the CEO for overseeing the agency’s protective security arrangements. The COO performs this role with support from the Chief Information Security Officer on cybersecurity matters.</w:t>
      </w:r>
    </w:p>
    <w:p w14:paraId="5807D37B" w14:textId="767A618E" w:rsidR="00077439" w:rsidRDefault="00077439" w:rsidP="00077439">
      <w:pPr>
        <w:pStyle w:val="BodyText"/>
      </w:pPr>
      <w:r>
        <w:rPr>
          <w:rStyle w:val="Bold"/>
        </w:rPr>
        <w:t xml:space="preserve">Chief Information and Digital Officer (CIDO), Technology and Digital Programs </w:t>
      </w:r>
      <w:r>
        <w:t>– responsible for developing and delivering the agency’s information and communications technology (ICT) digital capability. This includes managing and delivering the digital product suite and connecting with whole</w:t>
      </w:r>
      <w:r w:rsidR="0000700B">
        <w:noBreakHyphen/>
      </w:r>
      <w:r>
        <w:t>of</w:t>
      </w:r>
      <w:r w:rsidR="0000700B">
        <w:noBreakHyphen/>
      </w:r>
      <w:r>
        <w:t xml:space="preserve">government digital and technology strategies. The CIDO has responsibility for the reliability of the agency’s ICT systems, cybersecurity, partnering with technology providers, and shared services to develop fit for purpose technology to support the agency’s future direction and contributing to the Australian Government’s broader digital agenda. </w:t>
      </w:r>
    </w:p>
    <w:p w14:paraId="3F48F9DD" w14:textId="77777777" w:rsidR="00077439" w:rsidRDefault="00077439" w:rsidP="00077439">
      <w:pPr>
        <w:pStyle w:val="Heading2"/>
      </w:pPr>
      <w:r>
        <w:t xml:space="preserve">Enterprise governance </w:t>
      </w:r>
    </w:p>
    <w:p w14:paraId="6DA66781" w14:textId="77777777" w:rsidR="00077439" w:rsidRDefault="00077439" w:rsidP="00077439">
      <w:pPr>
        <w:pStyle w:val="BodyText"/>
      </w:pPr>
      <w:r>
        <w:t xml:space="preserve">The work of the agency is supported by clear and accountable governance </w:t>
      </w:r>
      <w:r>
        <w:rPr>
          <w:spacing w:val="-2"/>
        </w:rPr>
        <w:t xml:space="preserve">arrangements. This supports decision-making that is considered, transparent and based </w:t>
      </w:r>
      <w:r>
        <w:t xml:space="preserve">on accurate information and data. In 2024–25 changes were made to our governance committees’ structure to ensure it remains fit for purpose, with well-defined lines of responsibility and accountability. </w:t>
      </w:r>
    </w:p>
    <w:p w14:paraId="23DDA000" w14:textId="77777777" w:rsidR="00077439" w:rsidRDefault="00077439" w:rsidP="00077439">
      <w:pPr>
        <w:pStyle w:val="Heading3"/>
      </w:pPr>
      <w:r>
        <w:t>Executive Committee</w:t>
      </w:r>
    </w:p>
    <w:p w14:paraId="084FD547" w14:textId="77777777" w:rsidR="00077439" w:rsidRDefault="00077439" w:rsidP="00077439">
      <w:pPr>
        <w:pStyle w:val="BodyText"/>
      </w:pPr>
      <w:r>
        <w:t xml:space="preserve">The Executive Committee is the agency’s most senior governance committee. It supports the CEO to discharge his duties under the </w:t>
      </w:r>
      <w:r>
        <w:rPr>
          <w:rStyle w:val="Italic"/>
        </w:rPr>
        <w:t>Public Governance, Performance and Accountability Act 2013</w:t>
      </w:r>
      <w:r>
        <w:t xml:space="preserve"> (PGPA Act) and section 57 of the </w:t>
      </w:r>
      <w:r>
        <w:rPr>
          <w:rStyle w:val="Italic"/>
        </w:rPr>
        <w:t>Public Service Act 1999</w:t>
      </w:r>
      <w:r>
        <w:t>.</w:t>
      </w:r>
    </w:p>
    <w:p w14:paraId="79B5BDE3" w14:textId="77777777" w:rsidR="00077439" w:rsidRDefault="00077439" w:rsidP="00077439">
      <w:pPr>
        <w:pStyle w:val="BodyText"/>
      </w:pPr>
      <w:r>
        <w:t>The committee’s focus is on the strategic direction and priorities of the agency and oversight of the agency’s financial and operational performance. It oversees the management of enterprise risks to ensure the agency meets its accountability and regulatory requirements.</w:t>
      </w:r>
    </w:p>
    <w:p w14:paraId="4C42970A" w14:textId="606A2226" w:rsidR="00077439" w:rsidRDefault="00077439" w:rsidP="00077439">
      <w:pPr>
        <w:pStyle w:val="Heading3"/>
      </w:pPr>
      <w:r>
        <w:t>Customer Committee</w:t>
      </w:r>
    </w:p>
    <w:p w14:paraId="31A931ED" w14:textId="77777777" w:rsidR="00077439" w:rsidRDefault="00077439" w:rsidP="00077439">
      <w:pPr>
        <w:pStyle w:val="BodyText"/>
      </w:pPr>
      <w:r>
        <w:t>The Customer Committee oversees policies and strategies that enable the agency to embed a culture that puts customer and staff needs at the forefront of the way we design and deliver services. The agency formed the committee in July 2024 and it focuses on customer and staff experience outcomes.</w:t>
      </w:r>
    </w:p>
    <w:p w14:paraId="42ED1C07" w14:textId="77777777" w:rsidR="00077439" w:rsidRDefault="00077439" w:rsidP="00077439">
      <w:pPr>
        <w:pStyle w:val="Heading3"/>
      </w:pPr>
      <w:r>
        <w:t>Portfolio Management and Investments Committee</w:t>
      </w:r>
    </w:p>
    <w:p w14:paraId="1D590499" w14:textId="77777777" w:rsidR="00077439" w:rsidRDefault="00077439" w:rsidP="00077439">
      <w:pPr>
        <w:pStyle w:val="BodyText"/>
      </w:pPr>
      <w:r>
        <w:rPr>
          <w:spacing w:val="-2"/>
        </w:rPr>
        <w:t xml:space="preserve">The Portfolio Management and Investments Committee oversees the agency’s enterprise </w:t>
      </w:r>
      <w:r>
        <w:t xml:space="preserve">portfolio of investments in line with our strategic priorities and budget. The committee provides governance oversight and prioritisation of major investment programs, projects and assets, ensuring accountability and transparency in decision-making. </w:t>
      </w:r>
    </w:p>
    <w:p w14:paraId="7B122311" w14:textId="77777777" w:rsidR="00077439" w:rsidRDefault="00077439" w:rsidP="00077439">
      <w:pPr>
        <w:pStyle w:val="Heading3"/>
      </w:pPr>
      <w:r>
        <w:t>Audit and Risk Committee</w:t>
      </w:r>
    </w:p>
    <w:p w14:paraId="01D839F1" w14:textId="77777777" w:rsidR="00077439" w:rsidRDefault="00077439" w:rsidP="00077439">
      <w:pPr>
        <w:pStyle w:val="BodyText"/>
        <w:rPr>
          <w:spacing w:val="-4"/>
        </w:rPr>
      </w:pPr>
      <w:r>
        <w:t xml:space="preserve">The Audit and Risk Committee (ARC) gives independent advice to the CEO, as the Accountable Authority, on the appropriateness of the agency’s financial and performance reporting, system of risk oversight and management, and system of internal control, consistent with subsection 17(2) of the </w:t>
      </w:r>
      <w:r>
        <w:lastRenderedPageBreak/>
        <w:t xml:space="preserve">Public Governance, Performance and Accountability Rule 2014 (PGPA Rule). The ARC Charter outlines its functions, in accordance with section 17 of the PGPA Rule. To view the charter, go to </w:t>
      </w:r>
      <w:r>
        <w:rPr>
          <w:rStyle w:val="Bold"/>
        </w:rPr>
        <w:t>servicesaustralia.gov.au/audit-and-risk-committee-charter</w:t>
      </w:r>
    </w:p>
    <w:p w14:paraId="5F338247" w14:textId="77777777" w:rsidR="00077439" w:rsidRDefault="00077439" w:rsidP="00077439">
      <w:pPr>
        <w:pStyle w:val="BodyText"/>
      </w:pPr>
      <w:r>
        <w:rPr>
          <w:spacing w:val="-4"/>
        </w:rPr>
        <w:t xml:space="preserve">As at 30 June 2025 the ARC comprises 3 independent members – Ms Jennifer Clark (Chair), </w:t>
      </w:r>
      <w:r>
        <w:t>Mr Greg Divall (member) and Mr Mark Sercombe (member). The committee is supported by our seniors advisers. The Chief Audit Executive, Chief Financial Officer, General Manager Technology Strategy, Business and Architecture and General Manager Enterprise Strategy and Governance are advisers to the committee. Australian National Audit Office (ANAO) representatives also attend meetings as observers.</w:t>
      </w:r>
    </w:p>
    <w:p w14:paraId="5619D2AF" w14:textId="77777777" w:rsidR="00077439" w:rsidRDefault="00077439" w:rsidP="00077439">
      <w:pPr>
        <w:pStyle w:val="Heading3"/>
      </w:pPr>
      <w:r>
        <w:t xml:space="preserve">Reporting Sub-Committee </w:t>
      </w:r>
    </w:p>
    <w:p w14:paraId="37B45BD7" w14:textId="77777777" w:rsidR="00077439" w:rsidRDefault="00077439" w:rsidP="00077439">
      <w:pPr>
        <w:pStyle w:val="BodyText"/>
      </w:pPr>
      <w:r>
        <w:t>The ARC is supported by the Reporting Sub-Committee (RSC), which gives independent oversight of the agency’s financial and performance reporting and related matters.</w:t>
      </w:r>
    </w:p>
    <w:p w14:paraId="1D341FE6" w14:textId="77777777" w:rsidR="00077439" w:rsidRDefault="00077439" w:rsidP="00077439">
      <w:pPr>
        <w:pStyle w:val="BodyText"/>
      </w:pPr>
      <w:r>
        <w:t>In 2024–25 the ARC met 8 times, and the RSC met 4 times. Table 1 details the qualifications, knowledge, skills, experience and remuneration of committee members.</w:t>
      </w:r>
    </w:p>
    <w:p w14:paraId="73B87765" w14:textId="26C9E5A5" w:rsidR="00077439" w:rsidRPr="00077439" w:rsidRDefault="00160CDF" w:rsidP="00077439">
      <w:pPr>
        <w:pStyle w:val="BodyText"/>
        <w:rPr>
          <w:b/>
          <w:bCs/>
        </w:rPr>
      </w:pPr>
      <w:r>
        <w:rPr>
          <w:b/>
          <w:bCs/>
        </w:rPr>
        <w:t>Table 1:</w:t>
      </w:r>
      <w:r w:rsidR="00077439" w:rsidRPr="00077439">
        <w:rPr>
          <w:b/>
          <w:bCs/>
        </w:rPr>
        <w:t xml:space="preserve"> Members’ qualifications, knowledge and experience</w:t>
      </w:r>
    </w:p>
    <w:tbl>
      <w:tblPr>
        <w:tblStyle w:val="TableGrid"/>
        <w:tblW w:w="5000" w:type="pct"/>
        <w:tblLook w:val="04A0" w:firstRow="1" w:lastRow="0" w:firstColumn="1" w:lastColumn="0" w:noHBand="0" w:noVBand="1"/>
        <w:tblCaption w:val="Members’ qualifications, knowledge and experience"/>
      </w:tblPr>
      <w:tblGrid>
        <w:gridCol w:w="6691"/>
        <w:gridCol w:w="1864"/>
        <w:gridCol w:w="2541"/>
      </w:tblGrid>
      <w:tr w:rsidR="00077439" w14:paraId="7DFAEE64" w14:textId="77777777" w:rsidTr="005875A4">
        <w:trPr>
          <w:trHeight w:val="396"/>
          <w:tblHeader/>
        </w:trPr>
        <w:tc>
          <w:tcPr>
            <w:tcW w:w="3015" w:type="pct"/>
          </w:tcPr>
          <w:p w14:paraId="06C94A6B" w14:textId="77777777" w:rsidR="00077439" w:rsidRDefault="00077439" w:rsidP="00874D7C">
            <w:pPr>
              <w:pStyle w:val="BodyText"/>
              <w:spacing w:after="120"/>
            </w:pPr>
            <w:r>
              <w:rPr>
                <w:rFonts w:ascii="Roboto-Bold" w:hAnsi="Roboto-Bold" w:cs="Roboto-Bold"/>
                <w:b/>
                <w:bCs/>
              </w:rPr>
              <w:t>Member name, qualifications, knowledge, skills and experience</w:t>
            </w:r>
          </w:p>
        </w:tc>
        <w:tc>
          <w:tcPr>
            <w:tcW w:w="840" w:type="pct"/>
          </w:tcPr>
          <w:p w14:paraId="73388D8F" w14:textId="77777777" w:rsidR="00077439" w:rsidRDefault="00077439" w:rsidP="00874D7C">
            <w:pPr>
              <w:pStyle w:val="BodyText"/>
              <w:spacing w:after="120"/>
            </w:pPr>
            <w:r>
              <w:rPr>
                <w:rFonts w:ascii="Roboto-Bold" w:hAnsi="Roboto-Bold" w:cs="Roboto-Bold"/>
                <w:b/>
                <w:bCs/>
              </w:rPr>
              <w:t xml:space="preserve">Number of meetings attended </w:t>
            </w:r>
          </w:p>
        </w:tc>
        <w:tc>
          <w:tcPr>
            <w:tcW w:w="1145" w:type="pct"/>
          </w:tcPr>
          <w:p w14:paraId="5B9BAAF9" w14:textId="77777777" w:rsidR="00077439" w:rsidRDefault="00077439" w:rsidP="00874D7C">
            <w:pPr>
              <w:pStyle w:val="BodyText"/>
              <w:spacing w:after="0"/>
              <w:jc w:val="right"/>
            </w:pPr>
            <w:r>
              <w:rPr>
                <w:rFonts w:ascii="Roboto-Bold" w:hAnsi="Roboto-Bold" w:cs="Roboto-Bold"/>
                <w:b/>
                <w:bCs/>
              </w:rPr>
              <w:t>Total annual remuneration $</w:t>
            </w:r>
            <w:r>
              <w:rPr>
                <w:rFonts w:ascii="Roboto-Bold" w:hAnsi="Roboto-Bold" w:cs="Roboto-Bold"/>
                <w:b/>
                <w:bCs/>
              </w:rPr>
              <w:br/>
              <w:t xml:space="preserve"> (including GST)</w:t>
            </w:r>
          </w:p>
        </w:tc>
      </w:tr>
      <w:tr w:rsidR="00077439" w14:paraId="5AF822DE" w14:textId="77777777" w:rsidTr="006A0585">
        <w:trPr>
          <w:trHeight w:val="396"/>
        </w:trPr>
        <w:tc>
          <w:tcPr>
            <w:tcW w:w="3015" w:type="pct"/>
          </w:tcPr>
          <w:p w14:paraId="1E986DAA" w14:textId="77777777" w:rsidR="00077439" w:rsidRDefault="00077439" w:rsidP="00874D7C">
            <w:pPr>
              <w:pStyle w:val="BodyText"/>
            </w:pPr>
            <w:r>
              <w:rPr>
                <w:rStyle w:val="Bold"/>
              </w:rPr>
              <w:t>Jennifer Clark (ARC and RSC Chair)</w:t>
            </w:r>
          </w:p>
          <w:p w14:paraId="58B3C5A2" w14:textId="77777777" w:rsidR="00077439" w:rsidRDefault="00077439" w:rsidP="00874D7C">
            <w:pPr>
              <w:pStyle w:val="BodyText"/>
              <w:spacing w:after="120"/>
              <w:rPr>
                <w:spacing w:val="-2"/>
              </w:rPr>
            </w:pPr>
            <w:r>
              <w:rPr>
                <w:spacing w:val="-2"/>
              </w:rPr>
              <w:t xml:space="preserve">Ms Clark is an independent board director and has been a chair or member of over 20 audit, risk and finance committees in the Australian Government and private sector over the past 30 years. </w:t>
            </w:r>
          </w:p>
          <w:p w14:paraId="03B1BE82" w14:textId="77777777" w:rsidR="00077439" w:rsidRDefault="00077439" w:rsidP="00874D7C">
            <w:pPr>
              <w:pStyle w:val="BodyText"/>
              <w:spacing w:after="120"/>
              <w:rPr>
                <w:spacing w:val="-2"/>
              </w:rPr>
            </w:pPr>
            <w:r>
              <w:rPr>
                <w:spacing w:val="-2"/>
              </w:rPr>
              <w:t>Ms Clark has an extensive background in business, finance and governance through a career as an investment banker and non-executive director.</w:t>
            </w:r>
          </w:p>
          <w:p w14:paraId="54E62EDB" w14:textId="77777777" w:rsidR="00077439" w:rsidRDefault="00077439" w:rsidP="00874D7C">
            <w:pPr>
              <w:pStyle w:val="BodyText"/>
              <w:spacing w:after="120"/>
            </w:pPr>
            <w:r>
              <w:rPr>
                <w:spacing w:val="-2"/>
              </w:rPr>
              <w:t>Ms Clark is a Fellow of the Australian Institute of Company Directors and has substantial experience in financial and performance reporting, audit and risk management.</w:t>
            </w:r>
          </w:p>
        </w:tc>
        <w:tc>
          <w:tcPr>
            <w:tcW w:w="840" w:type="pct"/>
          </w:tcPr>
          <w:p w14:paraId="1DA07927" w14:textId="77777777" w:rsidR="00077439" w:rsidRDefault="00077439" w:rsidP="00874D7C">
            <w:pPr>
              <w:pStyle w:val="BodyText"/>
            </w:pPr>
            <w:r>
              <w:t>8 — ARC</w:t>
            </w:r>
          </w:p>
          <w:p w14:paraId="30548EBB" w14:textId="77777777" w:rsidR="00077439" w:rsidRDefault="00077439" w:rsidP="00874D7C">
            <w:pPr>
              <w:pStyle w:val="BodyText"/>
            </w:pPr>
            <w:r>
              <w:t>4 — RSC</w:t>
            </w:r>
          </w:p>
        </w:tc>
        <w:tc>
          <w:tcPr>
            <w:tcW w:w="1145" w:type="pct"/>
          </w:tcPr>
          <w:p w14:paraId="36F4734D" w14:textId="77777777" w:rsidR="00077439" w:rsidRDefault="00077439" w:rsidP="00874D7C">
            <w:pPr>
              <w:pStyle w:val="BodyText"/>
              <w:jc w:val="right"/>
            </w:pPr>
            <w:r>
              <w:t>120,846.86</w:t>
            </w:r>
          </w:p>
        </w:tc>
      </w:tr>
      <w:tr w:rsidR="00077439" w14:paraId="0FA51DFE" w14:textId="77777777" w:rsidTr="006A0585">
        <w:trPr>
          <w:trHeight w:val="396"/>
        </w:trPr>
        <w:tc>
          <w:tcPr>
            <w:tcW w:w="3015" w:type="pct"/>
          </w:tcPr>
          <w:p w14:paraId="7C5E8CF1" w14:textId="77777777" w:rsidR="00077439" w:rsidRDefault="00077439" w:rsidP="00874D7C">
            <w:pPr>
              <w:pStyle w:val="BodyText"/>
            </w:pPr>
            <w:r>
              <w:rPr>
                <w:rStyle w:val="Bold"/>
              </w:rPr>
              <w:t>Greg Divall (member)</w:t>
            </w:r>
          </w:p>
          <w:p w14:paraId="5251E1C6" w14:textId="77777777" w:rsidR="00077439" w:rsidRDefault="00077439" w:rsidP="00874D7C">
            <w:pPr>
              <w:pStyle w:val="BodyText"/>
              <w:spacing w:after="120"/>
              <w:rPr>
                <w:spacing w:val="-2"/>
              </w:rPr>
            </w:pPr>
            <w:r>
              <w:t xml:space="preserve">Mr Divall has over 20 years’ experience in Commonwealth Senior Executive Service (SES) leadership roles, with over 35 years’ experience in the public sector. Mr Divall was the group business manager of the Capability Acquisition and Sustainment Group and led the group’s </w:t>
            </w:r>
            <w:r>
              <w:rPr>
                <w:spacing w:val="-2"/>
              </w:rPr>
              <w:t xml:space="preserve">reintegration into the Department of Defence. He is </w:t>
            </w:r>
            <w:r>
              <w:t>an independent audit and risk committee member on several other Commonwealth entities and a Defence Independent Assurance Board member.</w:t>
            </w:r>
          </w:p>
          <w:p w14:paraId="2A4F5C3F" w14:textId="77777777" w:rsidR="00077439" w:rsidRDefault="00077439" w:rsidP="00874D7C">
            <w:pPr>
              <w:pStyle w:val="BodyText"/>
              <w:spacing w:after="120"/>
            </w:pPr>
            <w:r>
              <w:t xml:space="preserve">Mr Divall holds a Bachelor of Applied Science and a Master of Business Administration. He is a member of the Australian Institute of Company Directors and a Vincent Fairfax Fellow. He completed The Australia and New Zealand School of Government (ANZSOG) Executive Fellows Program, the Harvard Kennedy School’s National and International </w:t>
            </w:r>
            <w:r>
              <w:lastRenderedPageBreak/>
              <w:t>Security program for senior executives and the Advanced Management and Leadership Programme at Oxford Saïd Business School.</w:t>
            </w:r>
          </w:p>
        </w:tc>
        <w:tc>
          <w:tcPr>
            <w:tcW w:w="840" w:type="pct"/>
          </w:tcPr>
          <w:p w14:paraId="4192A545" w14:textId="77777777" w:rsidR="00077439" w:rsidRDefault="00077439" w:rsidP="00874D7C">
            <w:pPr>
              <w:pStyle w:val="BodyText"/>
            </w:pPr>
            <w:r>
              <w:lastRenderedPageBreak/>
              <w:t>8 — ARC</w:t>
            </w:r>
          </w:p>
          <w:p w14:paraId="31DB0D60" w14:textId="77777777" w:rsidR="00077439" w:rsidRDefault="00077439" w:rsidP="00874D7C">
            <w:pPr>
              <w:pStyle w:val="BodyText"/>
            </w:pPr>
            <w:r>
              <w:t>4 — RSC</w:t>
            </w:r>
          </w:p>
        </w:tc>
        <w:tc>
          <w:tcPr>
            <w:tcW w:w="1145" w:type="pct"/>
          </w:tcPr>
          <w:p w14:paraId="3B9CF664" w14:textId="77777777" w:rsidR="00077439" w:rsidRDefault="00077439" w:rsidP="00874D7C">
            <w:pPr>
              <w:pStyle w:val="BodyText"/>
              <w:jc w:val="right"/>
            </w:pPr>
            <w:r>
              <w:t>57,612.75</w:t>
            </w:r>
          </w:p>
        </w:tc>
      </w:tr>
      <w:tr w:rsidR="00077439" w14:paraId="4BF6C8B2" w14:textId="77777777" w:rsidTr="006A0585">
        <w:trPr>
          <w:trHeight w:val="396"/>
        </w:trPr>
        <w:tc>
          <w:tcPr>
            <w:tcW w:w="3015" w:type="pct"/>
          </w:tcPr>
          <w:p w14:paraId="4C7C4D93" w14:textId="77777777" w:rsidR="00077439" w:rsidRDefault="00077439" w:rsidP="00874D7C">
            <w:pPr>
              <w:pStyle w:val="BodyText"/>
              <w:rPr>
                <w:rStyle w:val="Bold"/>
                <w:vertAlign w:val="superscript"/>
              </w:rPr>
            </w:pPr>
            <w:r>
              <w:rPr>
                <w:rStyle w:val="Bold"/>
              </w:rPr>
              <w:t>Mark Sercombe (member)</w:t>
            </w:r>
            <w:r>
              <w:rPr>
                <w:rStyle w:val="Bold"/>
                <w:vertAlign w:val="superscript"/>
              </w:rPr>
              <w:t>(a)</w:t>
            </w:r>
          </w:p>
          <w:p w14:paraId="57B8D200" w14:textId="77777777" w:rsidR="00077439" w:rsidRDefault="00077439" w:rsidP="00874D7C">
            <w:pPr>
              <w:pStyle w:val="BodyText"/>
              <w:spacing w:after="120"/>
            </w:pPr>
            <w:r>
              <w:t>Mr Sercombe has extensive experience in corporate governance, business management, financial management systems, public administration and corruption prevention in the public sector. He leads a risk and controls advisory firm serving private and public sector organisations and specialises in internal controls and information technology risk including projects, cybersecurity, business systems and privacy. He has been a member or chair of audit and risk committees in Commonwealth, state and local governments since 2017.</w:t>
            </w:r>
          </w:p>
          <w:p w14:paraId="685D1C6B" w14:textId="77777777" w:rsidR="00077439" w:rsidRDefault="00077439" w:rsidP="00874D7C">
            <w:pPr>
              <w:pStyle w:val="BodyText"/>
              <w:spacing w:after="120"/>
            </w:pPr>
            <w:r>
              <w:rPr>
                <w:spacing w:val="-2"/>
              </w:rPr>
              <w:t>Mr Sercombe is a Fellow of Chartered Accountants</w:t>
            </w:r>
            <w:r>
              <w:t xml:space="preserve"> Australia and New Zealand, Professional Fellow of the Institute of Internal Auditors, certified internal auditor and Information Security Management Systems Lead Auditor ISO 27001 and holds a Bachelor of Economics.</w:t>
            </w:r>
          </w:p>
        </w:tc>
        <w:tc>
          <w:tcPr>
            <w:tcW w:w="840" w:type="pct"/>
          </w:tcPr>
          <w:p w14:paraId="57182D94" w14:textId="77777777" w:rsidR="00077439" w:rsidRDefault="00077439" w:rsidP="00874D7C">
            <w:pPr>
              <w:pStyle w:val="BodyText"/>
            </w:pPr>
            <w:r>
              <w:t>3 — ARC</w:t>
            </w:r>
          </w:p>
          <w:p w14:paraId="55997881" w14:textId="77777777" w:rsidR="00077439" w:rsidRDefault="00077439" w:rsidP="00874D7C">
            <w:pPr>
              <w:pStyle w:val="BodyText"/>
            </w:pPr>
            <w:r>
              <w:t>3 — RSC</w:t>
            </w:r>
          </w:p>
        </w:tc>
        <w:tc>
          <w:tcPr>
            <w:tcW w:w="1145" w:type="pct"/>
          </w:tcPr>
          <w:p w14:paraId="7BB0E2B9" w14:textId="77777777" w:rsidR="00077439" w:rsidRDefault="00077439" w:rsidP="00874D7C">
            <w:pPr>
              <w:pStyle w:val="BodyText"/>
              <w:jc w:val="right"/>
            </w:pPr>
            <w:r>
              <w:t>16,051.31</w:t>
            </w:r>
          </w:p>
        </w:tc>
      </w:tr>
      <w:tr w:rsidR="00077439" w14:paraId="1142F460" w14:textId="77777777" w:rsidTr="006A0585">
        <w:trPr>
          <w:trHeight w:val="396"/>
        </w:trPr>
        <w:tc>
          <w:tcPr>
            <w:tcW w:w="3015" w:type="pct"/>
          </w:tcPr>
          <w:p w14:paraId="557E274F" w14:textId="77777777" w:rsidR="00077439" w:rsidRDefault="00077439" w:rsidP="00874D7C">
            <w:pPr>
              <w:pStyle w:val="BodyText"/>
              <w:rPr>
                <w:rStyle w:val="Bold"/>
              </w:rPr>
            </w:pPr>
            <w:r>
              <w:rPr>
                <w:rStyle w:val="Bold"/>
              </w:rPr>
              <w:t>Carol Lilley (member)</w:t>
            </w:r>
            <w:r>
              <w:rPr>
                <w:rStyle w:val="Bold"/>
                <w:vertAlign w:val="superscript"/>
              </w:rPr>
              <w:t>(a)</w:t>
            </w:r>
          </w:p>
          <w:p w14:paraId="63B6E8F3" w14:textId="77777777" w:rsidR="00077439" w:rsidRDefault="00077439" w:rsidP="00874D7C">
            <w:pPr>
              <w:pStyle w:val="BodyText"/>
              <w:spacing w:after="120"/>
            </w:pPr>
            <w:r>
              <w:t xml:space="preserve">Ms Lilley is an independent board director, chair and member of several Australian Government audit committees. </w:t>
            </w:r>
          </w:p>
          <w:p w14:paraId="7B1397A7" w14:textId="77777777" w:rsidR="00077439" w:rsidRDefault="00077439" w:rsidP="00874D7C">
            <w:pPr>
              <w:pStyle w:val="BodyText"/>
              <w:spacing w:after="120"/>
            </w:pPr>
            <w:r>
              <w:rPr>
                <w:spacing w:val="-2"/>
              </w:rPr>
              <w:t>Ms Lilley was a partner at PricewaterhouseCoopers</w:t>
            </w:r>
            <w:r>
              <w:t xml:space="preserve"> and has over 20 years’ experience in financial statement audit, internal audit, project and risk management, with a particular focus on government.</w:t>
            </w:r>
          </w:p>
          <w:p w14:paraId="39ADD8A8" w14:textId="77777777" w:rsidR="00077439" w:rsidRDefault="00077439" w:rsidP="00874D7C">
            <w:pPr>
              <w:pStyle w:val="BodyText"/>
              <w:spacing w:after="120"/>
            </w:pPr>
            <w:r>
              <w:t>Ms Lilley holds a Bachelor of Commerce from the University of Western Australia, is a graduate of the Australian Institute of Company Directors, a Fellow of Chartered Accountants Australia and New Zealand, a certified internal auditor and was a registered company auditor.</w:t>
            </w:r>
          </w:p>
        </w:tc>
        <w:tc>
          <w:tcPr>
            <w:tcW w:w="840" w:type="pct"/>
          </w:tcPr>
          <w:p w14:paraId="5D5D6997" w14:textId="77777777" w:rsidR="00077439" w:rsidRDefault="00077439" w:rsidP="00874D7C">
            <w:pPr>
              <w:pStyle w:val="BodyText"/>
            </w:pPr>
            <w:r>
              <w:t>5 — ARC</w:t>
            </w:r>
          </w:p>
          <w:p w14:paraId="63A8A769" w14:textId="77777777" w:rsidR="00077439" w:rsidRDefault="00077439" w:rsidP="00874D7C">
            <w:pPr>
              <w:pStyle w:val="BodyText"/>
            </w:pPr>
            <w:r>
              <w:t>1 — RSC</w:t>
            </w:r>
          </w:p>
        </w:tc>
        <w:tc>
          <w:tcPr>
            <w:tcW w:w="1145" w:type="pct"/>
          </w:tcPr>
          <w:p w14:paraId="582B5404" w14:textId="77777777" w:rsidR="00077439" w:rsidRDefault="00077439" w:rsidP="00874D7C">
            <w:pPr>
              <w:pStyle w:val="BodyText"/>
              <w:jc w:val="right"/>
            </w:pPr>
            <w:r>
              <w:t>36,384.02</w:t>
            </w:r>
          </w:p>
        </w:tc>
      </w:tr>
    </w:tbl>
    <w:p w14:paraId="7F35F405" w14:textId="32CD38EE" w:rsidR="00077439" w:rsidRDefault="00BE62B9" w:rsidP="00BE62B9">
      <w:pPr>
        <w:pStyle w:val="ProductCode"/>
      </w:pPr>
      <w:r w:rsidRPr="00BE62B9">
        <w:t>(a</w:t>
      </w:r>
      <w:r>
        <w:t xml:space="preserve">) </w:t>
      </w:r>
      <w:r w:rsidR="00077439">
        <w:t>Ms Lilley was a member of the ARC until December 2024 and Mr Sercombe joined as a new member from 1 January 2025 as a replacement.</w:t>
      </w:r>
    </w:p>
    <w:p w14:paraId="53DF7028" w14:textId="77777777" w:rsidR="00077439" w:rsidRDefault="00077439" w:rsidP="00077439">
      <w:pPr>
        <w:pStyle w:val="Heading2"/>
      </w:pPr>
      <w:r>
        <w:t>Enterprise risk management</w:t>
      </w:r>
    </w:p>
    <w:p w14:paraId="3DDE909D" w14:textId="77777777" w:rsidR="00077439" w:rsidRDefault="00077439" w:rsidP="00077439">
      <w:pPr>
        <w:pStyle w:val="BodyText"/>
      </w:pPr>
      <w:r>
        <w:t xml:space="preserve">Effective risk management is key to delivering on our vision of making government services simple so people can get on with their lives. It is integral to the agency’s strategic and operational environment and embedded throughout our governance, decision-making and business processes. </w:t>
      </w:r>
    </w:p>
    <w:p w14:paraId="1E5EA7F6" w14:textId="77777777" w:rsidR="00077439" w:rsidRDefault="00077439" w:rsidP="00077439">
      <w:pPr>
        <w:pStyle w:val="BodyText"/>
      </w:pPr>
      <w:r>
        <w:t xml:space="preserve">Our Risk Management Policy and Framework is prepared in accordance with the agency’s Accountable Authority Instructions, the Commonwealth Risk Management Policy 2023, and the PGPA Act. It outlines the agency’s overall approach to managing risks, including the roles and responsibilities of staff and </w:t>
      </w:r>
      <w:r>
        <w:lastRenderedPageBreak/>
        <w:t xml:space="preserve">senior leaders. The CEO, as the Accountable Authority, and Executive Committee have overarching responsibility for establishing and maintaining systems of risk management. </w:t>
      </w:r>
    </w:p>
    <w:p w14:paraId="305E4270" w14:textId="77777777" w:rsidR="00077439" w:rsidRDefault="00077439" w:rsidP="00077439">
      <w:pPr>
        <w:pStyle w:val="BodyText"/>
      </w:pPr>
      <w:r>
        <w:t xml:space="preserve">The Executive Committee sets the risk appetite for the agency and oversees how risks are managed. The Chief Risk Officer supports the CEO and advises the executive on risk management strategy and planning. Together they promote positive risk behaviours to continue improving risk maturity. DCEOs are responsible for managing risk, regular reporting and building risk capability. DCEOs, as risk stewards, give oversight and guidance for each of the 10 enterprise risks. </w:t>
      </w:r>
    </w:p>
    <w:p w14:paraId="2B2793C3" w14:textId="77777777" w:rsidR="00077439" w:rsidRDefault="00077439" w:rsidP="00077439">
      <w:pPr>
        <w:pStyle w:val="BodyText"/>
      </w:pPr>
      <w:r>
        <w:t xml:space="preserve">All staff actively contribute to risk management by identifying, assessing, controlling, communicating, monitoring and reporting risks. </w:t>
      </w:r>
    </w:p>
    <w:p w14:paraId="285C67D9" w14:textId="77777777" w:rsidR="00077439" w:rsidRDefault="00077439" w:rsidP="00077439">
      <w:pPr>
        <w:pStyle w:val="BodyText"/>
      </w:pPr>
      <w:r>
        <w:t>The ARC gives independent advice to the CEO on the appropriateness of our systems of risk oversight and management.</w:t>
      </w:r>
    </w:p>
    <w:p w14:paraId="5568763C" w14:textId="05AD1157" w:rsidR="00BE62B9" w:rsidRDefault="00BE62B9" w:rsidP="00077439">
      <w:pPr>
        <w:pStyle w:val="Heading1"/>
      </w:pPr>
      <w:bookmarkStart w:id="7" w:name="_Toc210815386"/>
      <w:r>
        <w:t>Part 2 – Our performance</w:t>
      </w:r>
      <w:bookmarkEnd w:id="7"/>
    </w:p>
    <w:p w14:paraId="4CF606BC" w14:textId="0AA7F66E" w:rsidR="00BE62B9" w:rsidRDefault="00077439" w:rsidP="00BE62B9">
      <w:pPr>
        <w:pStyle w:val="Heading1"/>
      </w:pPr>
      <w:bookmarkStart w:id="8" w:name="_Toc210815387"/>
      <w:r>
        <w:t>2.1 Annual Performance Statements 2024–24</w:t>
      </w:r>
      <w:bookmarkEnd w:id="8"/>
    </w:p>
    <w:p w14:paraId="331B88C1" w14:textId="649C5BF9" w:rsidR="00BE62B9" w:rsidRDefault="00BE62B9" w:rsidP="00BE62B9">
      <w:pPr>
        <w:pStyle w:val="Heading1"/>
      </w:pPr>
      <w:bookmarkStart w:id="9" w:name="_Toc210815388"/>
      <w:r>
        <w:t>Part 3 – Service delivery</w:t>
      </w:r>
      <w:bookmarkEnd w:id="9"/>
    </w:p>
    <w:p w14:paraId="7892BC7A" w14:textId="77777777" w:rsidR="00BE62B9" w:rsidRPr="00BE62B9" w:rsidRDefault="00BE62B9" w:rsidP="00BE62B9"/>
    <w:p w14:paraId="05BEC54C" w14:textId="77777777" w:rsidR="00077439" w:rsidRDefault="00077439" w:rsidP="00077439">
      <w:pPr>
        <w:pStyle w:val="Heading1"/>
      </w:pPr>
      <w:bookmarkStart w:id="10" w:name="_Toc210815389"/>
      <w:r>
        <w:t>3.1 Simplifying services</w:t>
      </w:r>
      <w:bookmarkEnd w:id="10"/>
    </w:p>
    <w:p w14:paraId="02A39894" w14:textId="77777777" w:rsidR="00077439" w:rsidRDefault="00077439" w:rsidP="00077439">
      <w:pPr>
        <w:pStyle w:val="Heading2"/>
      </w:pPr>
      <w:r>
        <w:t>Improving customer experiences</w:t>
      </w:r>
    </w:p>
    <w:p w14:paraId="5921206F" w14:textId="77777777" w:rsidR="00077439" w:rsidRDefault="00077439" w:rsidP="00077439">
      <w:pPr>
        <w:pStyle w:val="BodyText"/>
      </w:pPr>
      <w:r>
        <w:t>The agency achieved its target to return claim volumes down to usual levels by mid-2024, after 3,000 additional frontline staff were onboarded and trained during 2023–24 to accelerate claims processing times and improve the customer experience.</w:t>
      </w:r>
    </w:p>
    <w:p w14:paraId="66E624C8" w14:textId="77777777" w:rsidR="00077439" w:rsidRDefault="00077439" w:rsidP="00077439">
      <w:pPr>
        <w:pStyle w:val="BodyText"/>
      </w:pPr>
      <w:r>
        <w:t>These reductions have also been accompanied by other improvements in 2024–25, including offering callers on some phone lines the option to receive a call-back when it’s their turn in the queue instead of staying on hold when demand is high. Over 835,000 call-backs have been answered using the call-back service in 2024–25.</w:t>
      </w:r>
    </w:p>
    <w:p w14:paraId="261DF110" w14:textId="77777777" w:rsidR="00077439" w:rsidRDefault="00077439" w:rsidP="00077439">
      <w:pPr>
        <w:pStyle w:val="BodyText"/>
      </w:pPr>
      <w:r>
        <w:t>The agency has also introduced the capability for customers to book and manage most appointments for Centrelink payments and services through their Centrelink online account using myGov or the Express Plus Centrelink mobile app. This is making it easier for customers to interact with Services Australia and saving them time. In 2024–25 there were over 512,400 appointments booked by customers using online services.</w:t>
      </w:r>
    </w:p>
    <w:p w14:paraId="65B5B592" w14:textId="77777777" w:rsidR="00077439" w:rsidRDefault="00077439" w:rsidP="00077439">
      <w:pPr>
        <w:pStyle w:val="BodyText"/>
      </w:pPr>
      <w:r>
        <w:t xml:space="preserve">Since its introduction in August 2024 to 30 June 2025, around 5.4 million users have accessed the Medicare claims tracker almost 8.4 million times, providing visibility of their claim progress without having to contact the agency. </w:t>
      </w:r>
    </w:p>
    <w:p w14:paraId="07039C2D" w14:textId="77777777" w:rsidR="00077439" w:rsidRDefault="00077439" w:rsidP="00077439">
      <w:pPr>
        <w:pStyle w:val="BodyText"/>
      </w:pPr>
      <w:r>
        <w:t>We continue to invest in our staff to build their skills, assure workforce capability and quality, and provide end-to-end services for customers wherever possible.</w:t>
      </w:r>
    </w:p>
    <w:p w14:paraId="308B20AC" w14:textId="77777777" w:rsidR="00077439" w:rsidRDefault="00077439" w:rsidP="00077439">
      <w:pPr>
        <w:pStyle w:val="Heading2"/>
      </w:pPr>
      <w:r>
        <w:lastRenderedPageBreak/>
        <w:t>Digital services</w:t>
      </w:r>
    </w:p>
    <w:p w14:paraId="64713468" w14:textId="77777777" w:rsidR="00077439" w:rsidRDefault="00077439" w:rsidP="00077439">
      <w:pPr>
        <w:pStyle w:val="BodyText"/>
      </w:pPr>
      <w:r>
        <w:t xml:space="preserve">We administer myGov, the government’s front door for digital services, that allows individuals to access Medicare, Centrelink, Child Support and services from other government agencies. There are nearly 26.4 million active and linked myGov accounts. </w:t>
      </w:r>
    </w:p>
    <w:p w14:paraId="65F47663" w14:textId="77777777" w:rsidR="00077439" w:rsidRDefault="00077439" w:rsidP="00077439">
      <w:pPr>
        <w:pStyle w:val="BodyText"/>
      </w:pPr>
      <w:r>
        <w:t>In 2024–25 the agency continued to focus on delivering simple, secure and inclusive digital services that meet the needs of our customers. Protecting customer information continued to be a high priority in a more complex cyber and fraud environment. In 2024–25 we strengthened account protection by improving authentication options, supporting customers to switch to more secure authentication options including passkeys in myGov and growing our digital fraud protection capabilities. To further protect personal information and minimise the risk of harm, we introduced privacy enhancements such as partially masking customer bank details and reducing the ability to view historical documents online.</w:t>
      </w:r>
    </w:p>
    <w:p w14:paraId="6E6E906D" w14:textId="77777777" w:rsidR="00077439" w:rsidRDefault="00077439" w:rsidP="00077439">
      <w:pPr>
        <w:pStyle w:val="BodyText"/>
      </w:pPr>
      <w:r>
        <w:t>Online accounts and Express Plus mobile apps handled 326.7 million digital interactions in 2024–25, enabling staff to focus on more complex enquiries and transactions with customers.</w:t>
      </w:r>
    </w:p>
    <w:p w14:paraId="22A784FC" w14:textId="77777777" w:rsidR="00077439" w:rsidRDefault="00077439" w:rsidP="00077439">
      <w:pPr>
        <w:pStyle w:val="BodyText"/>
      </w:pPr>
      <w:r>
        <w:t xml:space="preserve">Every month on average our phone self service handled 1.3 million calls. Our digital assistants also answered millions of customer questions throughout the year. These tools helped people find answers without needing to speak with a staff member. This also reduced wait times during peak periods. Telephony messages were also updated frequently to address common questions and direct customers to the correct digital channels. These enhancements helped manage high call volumes while enabling staff to focus on customers with complex or urgent needs. </w:t>
      </w:r>
    </w:p>
    <w:p w14:paraId="0FA573DE" w14:textId="77777777" w:rsidR="00077439" w:rsidRDefault="00077439" w:rsidP="00077439">
      <w:pPr>
        <w:pStyle w:val="BodyText"/>
      </w:pPr>
      <w:r>
        <w:rPr>
          <w:spacing w:val="-2"/>
        </w:rPr>
        <w:t xml:space="preserve">We improved our support for emergency events, making it easier for customers affected </w:t>
      </w:r>
      <w:r>
        <w:t xml:space="preserve">by natural disasters to access help online, and we enhanced our systems to give faster access with fewer steps for online claims. Digital enhancements were guided by customer feedback and testing. We worked closely with other agencies to ensure our platforms remained connected, consistent and easy to use across government. </w:t>
      </w:r>
    </w:p>
    <w:p w14:paraId="595AC797" w14:textId="77777777" w:rsidR="00077439" w:rsidRDefault="00077439" w:rsidP="00077439">
      <w:pPr>
        <w:pStyle w:val="BodyText"/>
      </w:pPr>
      <w:r>
        <w:rPr>
          <w:spacing w:val="-3"/>
        </w:rPr>
        <w:t xml:space="preserve">More than 1 million emergency claims were received through digital channels in 2024–25. </w:t>
      </w:r>
    </w:p>
    <w:p w14:paraId="0AA7D1B0" w14:textId="77777777" w:rsidR="00077439" w:rsidRDefault="00077439" w:rsidP="00077439">
      <w:pPr>
        <w:pStyle w:val="Heading2"/>
      </w:pPr>
      <w:r>
        <w:t>Telephony and processing</w:t>
      </w:r>
    </w:p>
    <w:p w14:paraId="6323FAA4" w14:textId="77777777" w:rsidR="00077439" w:rsidRDefault="00077439" w:rsidP="00077439">
      <w:pPr>
        <w:pStyle w:val="BodyText"/>
      </w:pPr>
      <w:r>
        <w:t>As the Australian Government’s main service delivery agency, we host one of the largest contact centre networks in the country.</w:t>
      </w:r>
    </w:p>
    <w:p w14:paraId="76535E22" w14:textId="77777777" w:rsidR="00077439" w:rsidRDefault="00077439" w:rsidP="00077439">
      <w:pPr>
        <w:pStyle w:val="BodyText"/>
      </w:pPr>
      <w:r>
        <w:t>Our staff need broad capabilities to understand and apply legislation according to individual customer circumstances across hundreds of payments and services. They undertake varied functions throughout the day depending on customer need, such as processing work, taking phone calls from customers or serving our customers face to face. In 2024–25 the agency focussed on enabling more customers to access our services, by answering as many calls as possible and minimising the use of congestion messages (see Reducing the time customers spend waiting on page 48).</w:t>
      </w:r>
    </w:p>
    <w:p w14:paraId="774F4884" w14:textId="77777777" w:rsidR="00077439" w:rsidRDefault="00077439" w:rsidP="00077439">
      <w:pPr>
        <w:pStyle w:val="BodyText"/>
      </w:pPr>
      <w:r>
        <w:t xml:space="preserve">The agency supported Australians impacted by declared natural disasters with 7 activations across 3 different states in 2024–25 (see Disasters and emergency events in 2024–25 on page 87). </w:t>
      </w:r>
    </w:p>
    <w:p w14:paraId="379DEE0F" w14:textId="77777777" w:rsidR="00077439" w:rsidRDefault="00077439" w:rsidP="00077439">
      <w:pPr>
        <w:pStyle w:val="BodyText"/>
      </w:pPr>
      <w:r>
        <w:t>For the 2025 federal election we supported the Australian Electoral Commission (AEC) Contact Centre Services (CCS), including electronically assisted voting for people who are blind or have low vision, and voters in Antarctica. We delivered CCS over 47 days from 29 March to 16 May 2025 including weekends and public holidays for the election held on Saturday 3 May and we handled over 306,000 enquiries. Remote servicing teams supported the 2025 federal election by helping the AEC to deliver mobile polling services in 467 remote polling locations (see Remote servicing teams for more information on page 98).</w:t>
      </w:r>
    </w:p>
    <w:p w14:paraId="40C283E6" w14:textId="77777777" w:rsidR="00077439" w:rsidRDefault="00077439" w:rsidP="00077439">
      <w:pPr>
        <w:pStyle w:val="BodyText"/>
      </w:pPr>
      <w:r>
        <w:lastRenderedPageBreak/>
        <w:t>Our Services Australia Operations Centre gives 24/7 real-time monitoring of our operations across Australia. The operations centre rapidly responds to shifts in customer demand and its 40 dashboards detail the live performance of systems, customer usage, and the demand on services, including the telephony channel.</w:t>
      </w:r>
    </w:p>
    <w:tbl>
      <w:tblPr>
        <w:tblStyle w:val="TableGrid"/>
        <w:tblW w:w="5000" w:type="pct"/>
        <w:tblLook w:val="04A0" w:firstRow="1" w:lastRow="0" w:firstColumn="1" w:lastColumn="0" w:noHBand="0" w:noVBand="1"/>
        <w:tblCaption w:val="Case study – Reducing the time customers spend waiting"/>
      </w:tblPr>
      <w:tblGrid>
        <w:gridCol w:w="11096"/>
      </w:tblGrid>
      <w:tr w:rsidR="00160CDF" w14:paraId="18F33264" w14:textId="77777777" w:rsidTr="006A0585">
        <w:tc>
          <w:tcPr>
            <w:tcW w:w="5000" w:type="pct"/>
          </w:tcPr>
          <w:p w14:paraId="34B365AA" w14:textId="77777777" w:rsidR="00160CDF" w:rsidRDefault="00160CDF" w:rsidP="00160CDF">
            <w:pPr>
              <w:pStyle w:val="Heading2"/>
            </w:pPr>
            <w:r>
              <w:t>Case study – Reducing the time customers spend waiting</w:t>
            </w:r>
          </w:p>
          <w:p w14:paraId="614FEE91" w14:textId="77777777" w:rsidR="00160CDF" w:rsidRPr="00EB5D9A" w:rsidRDefault="00160CDF" w:rsidP="00160CDF">
            <w:pPr>
              <w:pStyle w:val="BodyText"/>
              <w:rPr>
                <w:lang w:val="en-GB"/>
              </w:rPr>
            </w:pPr>
            <w:r w:rsidRPr="00EB5D9A">
              <w:rPr>
                <w:lang w:val="en-GB"/>
              </w:rPr>
              <w:t>Customers calling our Medicare and Centrelink telephone lines are spending less time waiting to have their calls answered.</w:t>
            </w:r>
          </w:p>
          <w:p w14:paraId="52801946" w14:textId="77777777" w:rsidR="00160CDF" w:rsidRPr="00EB5D9A" w:rsidRDefault="00160CDF" w:rsidP="00160CDF">
            <w:pPr>
              <w:pStyle w:val="BodyText"/>
              <w:rPr>
                <w:lang w:val="en-GB"/>
              </w:rPr>
            </w:pPr>
            <w:r w:rsidRPr="00EB5D9A">
              <w:rPr>
                <w:lang w:val="en-GB"/>
              </w:rPr>
              <w:t>Additional resourcing from the Australian Government over the past 18 months has enabled us to build sustainable capability to better support Australians when they need it.</w:t>
            </w:r>
          </w:p>
          <w:p w14:paraId="17568227" w14:textId="77777777" w:rsidR="00160CDF" w:rsidRPr="00EB5D9A" w:rsidRDefault="00160CDF" w:rsidP="00160CDF">
            <w:pPr>
              <w:pStyle w:val="BodyText"/>
              <w:rPr>
                <w:lang w:val="en-GB"/>
              </w:rPr>
            </w:pPr>
            <w:r w:rsidRPr="00EB5D9A">
              <w:rPr>
                <w:lang w:val="en-GB"/>
              </w:rPr>
              <w:t>Following an extensive recruitment process, more than 3,000 additional frontline staff were onboarded with the agency over 10 weeks from November 2023. The new recruits were trained to help accelerate claims processing times and improve access for customers.</w:t>
            </w:r>
          </w:p>
          <w:p w14:paraId="6CCBBEF9" w14:textId="77777777" w:rsidR="00160CDF" w:rsidRPr="00EB5D9A" w:rsidRDefault="00160CDF" w:rsidP="00160CDF">
            <w:pPr>
              <w:pStyle w:val="BodyText"/>
              <w:rPr>
                <w:lang w:val="en-GB"/>
              </w:rPr>
            </w:pPr>
            <w:r w:rsidRPr="00EB5D9A">
              <w:rPr>
                <w:lang w:val="en-GB"/>
              </w:rPr>
              <w:t>We now have more than 20,000 frontline staff who handle phone calls and process payments in our 80 contact centres or who serve customers face to face in one of our 318 service centres across Australia.</w:t>
            </w:r>
          </w:p>
          <w:p w14:paraId="5F6A481F" w14:textId="77777777" w:rsidR="00160CDF" w:rsidRPr="00EB5D9A" w:rsidRDefault="00160CDF" w:rsidP="00160CDF">
            <w:pPr>
              <w:pStyle w:val="BodyText"/>
              <w:rPr>
                <w:lang w:val="en-GB"/>
              </w:rPr>
            </w:pPr>
            <w:r w:rsidRPr="00EB5D9A">
              <w:rPr>
                <w:lang w:val="en-GB"/>
              </w:rPr>
              <w:t xml:space="preserve">Customers rightly expect helpful, respectful, fast, convenient and responsive services. </w:t>
            </w:r>
          </w:p>
          <w:p w14:paraId="0B5DBC3C" w14:textId="77777777" w:rsidR="00160CDF" w:rsidRPr="00EB5D9A" w:rsidRDefault="00160CDF" w:rsidP="00160CDF">
            <w:pPr>
              <w:pStyle w:val="BodyText"/>
              <w:rPr>
                <w:lang w:val="en-GB"/>
              </w:rPr>
            </w:pPr>
            <w:r w:rsidRPr="00EB5D9A">
              <w:rPr>
                <w:lang w:val="en-GB"/>
              </w:rPr>
              <w:t xml:space="preserve">We answered calls on average 22% faster in 2024–25 than in 2023–24. Centrelink calls were answered about 8 minutes faster. Medicare customer calls were answered 2 minutes faster, down from 8:06 minutes to 5:21 minutes – that’s a 34% improvement. </w:t>
            </w:r>
          </w:p>
          <w:p w14:paraId="260AFDA6" w14:textId="77777777" w:rsidR="00160CDF" w:rsidRPr="00EB5D9A" w:rsidRDefault="00160CDF" w:rsidP="00160CDF">
            <w:pPr>
              <w:pStyle w:val="BodyText"/>
              <w:rPr>
                <w:lang w:val="en-GB"/>
              </w:rPr>
            </w:pPr>
            <w:r w:rsidRPr="00EB5D9A">
              <w:rPr>
                <w:lang w:val="en-GB"/>
              </w:rPr>
              <w:t xml:space="preserve">Our use of congestion messaging during periods of high demand also fell, improving access to our phone lines. Across the agency, we cut congestion messaging by 85% in 2024–25. </w:t>
            </w:r>
          </w:p>
          <w:p w14:paraId="0EB19775" w14:textId="77777777" w:rsidR="00160CDF" w:rsidRPr="00EB5D9A" w:rsidRDefault="00160CDF" w:rsidP="00160CDF">
            <w:pPr>
              <w:pStyle w:val="BodyText"/>
              <w:rPr>
                <w:lang w:val="en-GB"/>
              </w:rPr>
            </w:pPr>
            <w:r w:rsidRPr="00EB5D9A">
              <w:rPr>
                <w:lang w:val="en-GB"/>
              </w:rPr>
              <w:t>We’re also offering call-backs on some phone lines when demand is high.</w:t>
            </w:r>
          </w:p>
          <w:p w14:paraId="4E0C284A" w14:textId="77777777" w:rsidR="00160CDF" w:rsidRPr="00EB5D9A" w:rsidRDefault="00160CDF" w:rsidP="00160CDF">
            <w:pPr>
              <w:pStyle w:val="BodyText"/>
              <w:rPr>
                <w:lang w:val="en-GB"/>
              </w:rPr>
            </w:pPr>
            <w:r w:rsidRPr="00EB5D9A">
              <w:rPr>
                <w:lang w:val="en-GB"/>
              </w:rPr>
              <w:t>Our place in queue call-back service means customers can choose to have a staff member call them back instead of waiting on hold, allowing people to continue their day without losing their place in the queue.</w:t>
            </w:r>
          </w:p>
          <w:p w14:paraId="43726EFB" w14:textId="77777777" w:rsidR="00160CDF" w:rsidRPr="00EB5D9A" w:rsidRDefault="00160CDF" w:rsidP="00160CDF">
            <w:pPr>
              <w:pStyle w:val="BodyText"/>
              <w:rPr>
                <w:lang w:val="en-GB"/>
              </w:rPr>
            </w:pPr>
            <w:r w:rsidRPr="00EB5D9A">
              <w:rPr>
                <w:lang w:val="en-GB"/>
              </w:rPr>
              <w:t xml:space="preserve">It also means fewer people need to call us again or go into a service centre to ask about the progress of their claim or another enquiry, as more people are getting through on the phone. </w:t>
            </w:r>
          </w:p>
          <w:p w14:paraId="181873B2" w14:textId="77777777" w:rsidR="00160CDF" w:rsidRPr="00EB5D9A" w:rsidRDefault="00160CDF" w:rsidP="00160CDF">
            <w:pPr>
              <w:pStyle w:val="BodyText"/>
              <w:rPr>
                <w:lang w:val="en-GB"/>
              </w:rPr>
            </w:pPr>
            <w:r w:rsidRPr="00EB5D9A">
              <w:rPr>
                <w:lang w:val="en-GB"/>
              </w:rPr>
              <w:t>About 1.6 million place in queue call-backs were offered to customers in 2024–25, and more than half of all callers (58%) accepted the option rather than waiting on hold.</w:t>
            </w:r>
          </w:p>
          <w:p w14:paraId="379CE468" w14:textId="157464DB" w:rsidR="00160CDF" w:rsidRPr="00160CDF" w:rsidRDefault="00160CDF" w:rsidP="00077439">
            <w:pPr>
              <w:pStyle w:val="BodyText"/>
              <w:rPr>
                <w:lang w:val="en-GB"/>
              </w:rPr>
            </w:pPr>
            <w:r w:rsidRPr="00EB5D9A">
              <w:rPr>
                <w:lang w:val="en-GB"/>
              </w:rPr>
              <w:t>This progress makes a real difference to the people on the end of the phone.</w:t>
            </w:r>
          </w:p>
        </w:tc>
      </w:tr>
    </w:tbl>
    <w:p w14:paraId="014AEF37" w14:textId="77777777" w:rsidR="00077439" w:rsidRDefault="00077439" w:rsidP="00077439">
      <w:pPr>
        <w:pStyle w:val="Heading2"/>
      </w:pPr>
      <w:r>
        <w:t xml:space="preserve">Voice biometrics and interactive voice response </w:t>
      </w:r>
    </w:p>
    <w:p w14:paraId="32C7D099" w14:textId="77777777" w:rsidR="00077439" w:rsidRDefault="00077439" w:rsidP="00077439">
      <w:pPr>
        <w:pStyle w:val="BodyText"/>
      </w:pPr>
      <w:r>
        <w:t xml:space="preserve">Voice biometrics offer customers personalised services in the telephony channel. With the interactive voice response (IVR), these connected technologies enable authentication and a personalised experience, allowing customers to interact with the agency using their telephone keypad or voice. </w:t>
      </w:r>
    </w:p>
    <w:p w14:paraId="369A393A" w14:textId="77777777" w:rsidR="00077439" w:rsidRDefault="00077439" w:rsidP="00077439">
      <w:pPr>
        <w:pStyle w:val="BodyText"/>
      </w:pPr>
      <w:r>
        <w:t>A voiceprint enables customers to use their unique vocal features, including sound, rhythm and pattern, to securely prove their identity. Using a voiceprint gives customers a more personalised IVR experience, such as tailored information and the ability to complete multiple transactions without needing to talk to a Service Officer.</w:t>
      </w:r>
    </w:p>
    <w:p w14:paraId="55923B86" w14:textId="77777777" w:rsidR="00077439" w:rsidRDefault="00077439" w:rsidP="00077439">
      <w:pPr>
        <w:pStyle w:val="BodyText"/>
      </w:pPr>
      <w:r>
        <w:lastRenderedPageBreak/>
        <w:t xml:space="preserve">Nearly 9.6 million customers connected with the agency using their voiceprint and 318,000 customers registered their voiceprint in 2024–25. </w:t>
      </w:r>
    </w:p>
    <w:p w14:paraId="660276EB" w14:textId="77777777" w:rsidR="00077439" w:rsidRDefault="00077439" w:rsidP="00077439">
      <w:pPr>
        <w:pStyle w:val="Heading2"/>
      </w:pPr>
      <w:r>
        <w:t>Service centres</w:t>
      </w:r>
    </w:p>
    <w:p w14:paraId="0798FD27" w14:textId="77777777" w:rsidR="00077439" w:rsidRDefault="00077439" w:rsidP="00077439">
      <w:pPr>
        <w:pStyle w:val="BodyText"/>
      </w:pPr>
      <w:r>
        <w:t>The agency delivers safe, respectful and professional in-person support through a national network of 318 service centres, 377 agents and 191 access points. These face to face services are a vital part of our integrated services, especially for people who need extra help or prefer to speak with someone in person.</w:t>
      </w:r>
    </w:p>
    <w:p w14:paraId="1334643D" w14:textId="77777777" w:rsidR="00077439" w:rsidRDefault="00077439" w:rsidP="00077439">
      <w:pPr>
        <w:pStyle w:val="BodyText"/>
      </w:pPr>
      <w:r>
        <w:t>In 2024–25 we modernised more of our service centres to make them more accessible, safe and customer friendly, to ensure every customer – including those who require additional support – can get support when and how they need it. Over half of our service centres have now been transformed.</w:t>
      </w:r>
    </w:p>
    <w:p w14:paraId="5BF62BEF" w14:textId="77777777" w:rsidR="00077439" w:rsidRDefault="00077439" w:rsidP="00077439">
      <w:pPr>
        <w:pStyle w:val="BodyText"/>
        <w:spacing w:after="57"/>
      </w:pPr>
      <w:r>
        <w:t>Key improvements included:</w:t>
      </w:r>
    </w:p>
    <w:p w14:paraId="0E005D5F" w14:textId="77777777" w:rsidR="00077439" w:rsidRDefault="00077439" w:rsidP="004307B8">
      <w:pPr>
        <w:pStyle w:val="ListBullet"/>
      </w:pPr>
      <w:r>
        <w:t>incorporating customer feedback and creating safer, more secure environments, with 182 service centres now transformed</w:t>
      </w:r>
    </w:p>
    <w:p w14:paraId="3F0ACE6B" w14:textId="77777777" w:rsidR="00077439" w:rsidRDefault="00077439" w:rsidP="004307B8">
      <w:pPr>
        <w:pStyle w:val="ListBullet"/>
      </w:pPr>
      <w:r>
        <w:t>enhancing the Centrelink online account through myGov to allow customers to book, cancel and reschedule more of their appointments online</w:t>
      </w:r>
    </w:p>
    <w:p w14:paraId="1C9DAE99" w14:textId="77777777" w:rsidR="00077439" w:rsidRDefault="00077439" w:rsidP="004307B8">
      <w:pPr>
        <w:pStyle w:val="ListBullet"/>
      </w:pPr>
      <w:r>
        <w:t>increasing collaboration with other government service agencies, including co-locating with staff from the National Disability Insurance Agency (NDIA) in 98 service centres, so customers can access services in one place</w:t>
      </w:r>
    </w:p>
    <w:p w14:paraId="683FE13F" w14:textId="77777777" w:rsidR="00077439" w:rsidRDefault="00077439" w:rsidP="004307B8">
      <w:pPr>
        <w:pStyle w:val="ListBullet"/>
      </w:pPr>
      <w:r>
        <w:t>introducing customer self-check-in options, transparency of customer wait times and customer feedback kiosks that allow customers to give real-time feedback about their experience</w:t>
      </w:r>
    </w:p>
    <w:p w14:paraId="75B11A88" w14:textId="77777777" w:rsidR="00077439" w:rsidRDefault="00077439" w:rsidP="004307B8">
      <w:pPr>
        <w:pStyle w:val="ListBullet"/>
      </w:pPr>
      <w:r>
        <w:t xml:space="preserve">transforming 1 bespoke service centre and undertaking co-design activities with </w:t>
      </w:r>
      <w:r>
        <w:rPr>
          <w:spacing w:val="-2"/>
        </w:rPr>
        <w:t>communities to improve services for Aboriginal and Torres Strait Islander Australians</w:t>
      </w:r>
    </w:p>
    <w:p w14:paraId="2653BBC9" w14:textId="77777777" w:rsidR="00077439" w:rsidRDefault="00077439" w:rsidP="004307B8">
      <w:pPr>
        <w:pStyle w:val="ListBullet"/>
      </w:pPr>
      <w:r>
        <w:rPr>
          <w:spacing w:val="-1"/>
        </w:rPr>
        <w:t xml:space="preserve">opening the new Sorell Service Centre in Tasmania, with access to Services Australia </w:t>
      </w:r>
      <w:r>
        <w:t xml:space="preserve">and Service Tasmania at the one place. </w:t>
      </w:r>
    </w:p>
    <w:p w14:paraId="42CF3500" w14:textId="77777777" w:rsidR="00077439" w:rsidRDefault="00077439" w:rsidP="00077439">
      <w:pPr>
        <w:pStyle w:val="Heading1"/>
      </w:pPr>
      <w:bookmarkStart w:id="11" w:name="_Toc210815390"/>
      <w:r>
        <w:t>3.2 Simplifying employment income reporting</w:t>
      </w:r>
      <w:bookmarkEnd w:id="11"/>
    </w:p>
    <w:p w14:paraId="2231070F" w14:textId="77777777" w:rsidR="00077439" w:rsidRDefault="00077439" w:rsidP="00077439">
      <w:pPr>
        <w:pStyle w:val="BodyText"/>
      </w:pPr>
      <w:r>
        <w:t xml:space="preserve">The agency is helping customers by streamlining the process of reporting employment income. </w:t>
      </w:r>
    </w:p>
    <w:p w14:paraId="4DE89DEB" w14:textId="77777777" w:rsidR="00077439" w:rsidRDefault="00077439" w:rsidP="00077439">
      <w:pPr>
        <w:pStyle w:val="Heading2"/>
      </w:pPr>
      <w:r>
        <w:t>Single Touch Payroll</w:t>
      </w:r>
    </w:p>
    <w:p w14:paraId="6FFF278B" w14:textId="77777777" w:rsidR="00077439" w:rsidRDefault="00077439" w:rsidP="00077439">
      <w:pPr>
        <w:pStyle w:val="BodyText"/>
        <w:spacing w:after="57"/>
      </w:pPr>
      <w:r>
        <w:t xml:space="preserve">Single Touch Payroll is an Australian Government initiative where employers report employee payroll information such as salary and wages, allowances, pay-as-you-go withholdings and superannuation deductions to the Australian Taxation Office (ATO). Where an employee is a mutual customer of the ATO and Services Australia, the employee’s payroll information is shared with us and used to improve the customer experience by: </w:t>
      </w:r>
    </w:p>
    <w:p w14:paraId="2A9D0445" w14:textId="77777777" w:rsidR="00077439" w:rsidRDefault="00077439" w:rsidP="004307B8">
      <w:pPr>
        <w:pStyle w:val="ListBullet"/>
      </w:pPr>
      <w:r>
        <w:t>placing customers onto regular income reporting when the data indicates they are paid an income</w:t>
      </w:r>
    </w:p>
    <w:p w14:paraId="64B99FCF" w14:textId="77777777" w:rsidR="00077439" w:rsidRDefault="00077439" w:rsidP="004307B8">
      <w:pPr>
        <w:pStyle w:val="ListBullet"/>
      </w:pPr>
      <w:r>
        <w:t>pre-filling employment income details, leading to increased payment accuracy</w:t>
      </w:r>
    </w:p>
    <w:p w14:paraId="4034B2BF" w14:textId="77777777" w:rsidR="00077439" w:rsidRDefault="00077439" w:rsidP="004307B8">
      <w:pPr>
        <w:pStyle w:val="ListBullet"/>
      </w:pPr>
      <w:r>
        <w:t xml:space="preserve">streamlining the reporting of unused leave and/or termination payments when customers cease work by prefilling cessation details in new claims </w:t>
      </w:r>
    </w:p>
    <w:p w14:paraId="40BA2E77" w14:textId="77777777" w:rsidR="00077439" w:rsidRDefault="00077439" w:rsidP="004307B8">
      <w:pPr>
        <w:pStyle w:val="ListBullet"/>
      </w:pPr>
      <w:r>
        <w:t>helping customers who are in receipt of Family Tax Benefit (FTB) to understand what they need to do at tax time to balance their payments</w:t>
      </w:r>
    </w:p>
    <w:p w14:paraId="41956658" w14:textId="77777777" w:rsidR="00077439" w:rsidRDefault="00077439" w:rsidP="004307B8">
      <w:pPr>
        <w:pStyle w:val="ListBullet"/>
        <w:rPr>
          <w:spacing w:val="-2"/>
        </w:rPr>
      </w:pPr>
      <w:r>
        <w:t xml:space="preserve">reminding FTB customers to give updated family income estimates when the </w:t>
      </w:r>
      <w:r>
        <w:rPr>
          <w:spacing w:val="-2"/>
        </w:rPr>
        <w:t>projected annual income indicates a different amount, minimising or preventing debts</w:t>
      </w:r>
    </w:p>
    <w:p w14:paraId="1B841304" w14:textId="77777777" w:rsidR="00077439" w:rsidRDefault="00077439" w:rsidP="004307B8">
      <w:pPr>
        <w:pStyle w:val="ListBullet"/>
      </w:pPr>
      <w:r>
        <w:lastRenderedPageBreak/>
        <w:t>enhancing debt recovery processes for former customers</w:t>
      </w:r>
    </w:p>
    <w:p w14:paraId="34DA3A26" w14:textId="77777777" w:rsidR="00077439" w:rsidRDefault="00077439" w:rsidP="004307B8">
      <w:pPr>
        <w:pStyle w:val="ListBullet"/>
      </w:pPr>
      <w:r>
        <w:t xml:space="preserve">helping set up child support payments from an employee’s pay more efficiently where it is appropriate to do so, reducing the reporting burden for employers to report child support payments. </w:t>
      </w:r>
    </w:p>
    <w:p w14:paraId="32F59866" w14:textId="77777777" w:rsidR="00077439" w:rsidRDefault="00077439" w:rsidP="00077439">
      <w:pPr>
        <w:pStyle w:val="Heading1"/>
      </w:pPr>
      <w:bookmarkStart w:id="12" w:name="_Toc210815391"/>
      <w:r>
        <w:t>3.3 Health Delivery Modernisation Program</w:t>
      </w:r>
      <w:bookmarkEnd w:id="12"/>
    </w:p>
    <w:p w14:paraId="12E45DAB" w14:textId="77777777" w:rsidR="00077439" w:rsidRDefault="00077439" w:rsidP="00077439">
      <w:pPr>
        <w:pStyle w:val="BodyText"/>
        <w:spacing w:after="57"/>
      </w:pPr>
      <w:r>
        <w:t xml:space="preserve">The Health Delivery Modernisation Program continued to stabilise, modernise and transform the health payments system that underpins Medicare, the PBS and other health related programs. Strengthening Medicare initiatives delivered improvements in the health care sector, benefiting health providers and third parties. In 2024–25 improvements included: </w:t>
      </w:r>
    </w:p>
    <w:p w14:paraId="5DEA3014" w14:textId="77777777" w:rsidR="00077439" w:rsidRDefault="00077439" w:rsidP="004307B8">
      <w:pPr>
        <w:pStyle w:val="ListBullet"/>
      </w:pPr>
      <w:r>
        <w:t>simplifying the customer and staff processes with Medicare enrolments by providing an online solution</w:t>
      </w:r>
    </w:p>
    <w:p w14:paraId="7C4349A0" w14:textId="77777777" w:rsidR="00077439" w:rsidRDefault="00077439" w:rsidP="004307B8">
      <w:pPr>
        <w:pStyle w:val="ListBullet"/>
      </w:pPr>
      <w:r>
        <w:t>a Medicare claims tracker enabling claimants to track the status of Medicare claims submitted online</w:t>
      </w:r>
    </w:p>
    <w:p w14:paraId="3C6C8193" w14:textId="77777777" w:rsidR="00077439" w:rsidRDefault="00077439" w:rsidP="004307B8">
      <w:pPr>
        <w:pStyle w:val="ListBullet"/>
      </w:pPr>
      <w:r>
        <w:t xml:space="preserve">delivering initiatives to improve the digital experience for pharmacies and health professionals using Health Professional Online Services </w:t>
      </w:r>
    </w:p>
    <w:p w14:paraId="29B3C762" w14:textId="77777777" w:rsidR="00077439" w:rsidRDefault="00077439" w:rsidP="004307B8">
      <w:pPr>
        <w:pStyle w:val="ListBullet"/>
      </w:pPr>
      <w:r>
        <w:t>supporting health providers and consumers to monitor care plans that give access to Medicare subsidised services online through digital self service.</w:t>
      </w:r>
    </w:p>
    <w:p w14:paraId="7B392836" w14:textId="6424718C" w:rsidR="00077439" w:rsidRDefault="00077439" w:rsidP="00077439">
      <w:pPr>
        <w:pStyle w:val="Heading1"/>
        <w:tabs>
          <w:tab w:val="left" w:pos="609"/>
        </w:tabs>
      </w:pPr>
      <w:bookmarkStart w:id="13" w:name="_Toc210815392"/>
      <w:r>
        <w:t xml:space="preserve">3.4 </w:t>
      </w:r>
      <w:r>
        <w:tab/>
        <w:t>Department of Veterans’ Affairs Modernisation Program</w:t>
      </w:r>
      <w:bookmarkEnd w:id="13"/>
    </w:p>
    <w:p w14:paraId="5AC89B9F" w14:textId="77777777" w:rsidR="00077439" w:rsidRDefault="00077439" w:rsidP="00077439">
      <w:pPr>
        <w:pStyle w:val="BodyText"/>
        <w:spacing w:after="142"/>
      </w:pPr>
      <w:r>
        <w:t xml:space="preserve">Leveraging the foundational capability delivered under the Veteran Centric Reform Program, the agency continued to work collaboratively with the Department of Veterans’ Affairs (DVA) on the DVA Modernisation Program. The DVA Modernisation Program focussed on improving services by making it simple for veterans and their families to lodge claims and access support and services through enhanced ICT systems. This program of work was successfully closed in February 2025. </w:t>
      </w:r>
    </w:p>
    <w:p w14:paraId="5D071447" w14:textId="77777777" w:rsidR="00077439" w:rsidRDefault="00077439" w:rsidP="00077439">
      <w:pPr>
        <w:pStyle w:val="BodyText"/>
        <w:spacing w:after="57"/>
      </w:pPr>
      <w:r>
        <w:t xml:space="preserve">The agency partnered with DVA to: </w:t>
      </w:r>
    </w:p>
    <w:p w14:paraId="73A1C8BF" w14:textId="77777777" w:rsidR="00077439" w:rsidRDefault="00077439" w:rsidP="004307B8">
      <w:pPr>
        <w:pStyle w:val="ListBullet"/>
      </w:pPr>
      <w:r>
        <w:t>improve DVA’s online portal, MyService, to make the status of claims more transparent, improve the document upload functionality and introduce nudge messaging to ensure all necessary information needed to assess a claim is submitted</w:t>
      </w:r>
    </w:p>
    <w:p w14:paraId="209F493D" w14:textId="77777777" w:rsidR="00077439" w:rsidRDefault="00077439" w:rsidP="004307B8">
      <w:pPr>
        <w:pStyle w:val="ListBullet"/>
      </w:pPr>
      <w:r>
        <w:t>replace end-of-life systems that support DVA’s aged care functions, transforming all pension and aged care assessments</w:t>
      </w:r>
    </w:p>
    <w:p w14:paraId="19C97AC2" w14:textId="77777777" w:rsidR="00077439" w:rsidRDefault="00077439" w:rsidP="004307B8">
      <w:pPr>
        <w:pStyle w:val="ListBullet"/>
      </w:pPr>
      <w:r>
        <w:t>expand computer supported decision-making, for faster claims processing for common conditions where specific claims meet standard criteria and are automatically processed, removing the need for manual intervention</w:t>
      </w:r>
    </w:p>
    <w:p w14:paraId="617736E5" w14:textId="77777777" w:rsidR="00077439" w:rsidRDefault="00077439" w:rsidP="004307B8">
      <w:pPr>
        <w:pStyle w:val="ListBullet"/>
      </w:pPr>
      <w:r>
        <w:t>improve customer analytics tools to help DVA design services that respond to their customers’ needs</w:t>
      </w:r>
    </w:p>
    <w:p w14:paraId="3581E7E7" w14:textId="77777777" w:rsidR="00077439" w:rsidRDefault="00077439" w:rsidP="004307B8">
      <w:pPr>
        <w:pStyle w:val="ListBullet"/>
      </w:pPr>
      <w:r>
        <w:t xml:space="preserve">enhance tools and processes that support DVA staff when interacting with their customers. </w:t>
      </w:r>
    </w:p>
    <w:p w14:paraId="53AA544C" w14:textId="77777777" w:rsidR="00077439" w:rsidRDefault="00077439" w:rsidP="00077439">
      <w:pPr>
        <w:pStyle w:val="Heading1"/>
      </w:pPr>
      <w:bookmarkStart w:id="14" w:name="_Toc210815393"/>
      <w:r>
        <w:t>3.5 Operate and maintain myGov</w:t>
      </w:r>
      <w:bookmarkEnd w:id="14"/>
    </w:p>
    <w:p w14:paraId="4870B71C" w14:textId="77777777" w:rsidR="00077439" w:rsidRDefault="00077439" w:rsidP="00077439">
      <w:pPr>
        <w:pStyle w:val="BodyText"/>
        <w:spacing w:after="142"/>
      </w:pPr>
      <w:r>
        <w:t xml:space="preserve">With over 357 million sign ins annually, myGov continued to be critical national infrastructure, providing the platform for Australians to access a range of government services. In 2024–25 the agency focused on strengthening and improving myGov as the primary digital front door to government for Australians. </w:t>
      </w:r>
    </w:p>
    <w:p w14:paraId="272D7C4C" w14:textId="77777777" w:rsidR="00077439" w:rsidRDefault="00077439" w:rsidP="00077439">
      <w:pPr>
        <w:pStyle w:val="BodyText"/>
        <w:spacing w:after="142"/>
      </w:pPr>
      <w:r>
        <w:t xml:space="preserve">We monitored performance across metrics and consistently maintained a high system availability of 99.5% throughout the year to ensure a reliable and responsive experience for customers. Usage of the </w:t>
      </w:r>
      <w:r>
        <w:lastRenderedPageBreak/>
        <w:t>myGov app grew with 7.9 million users now registered, and 1.9 million of myGov app users indicated a positive experience.</w:t>
      </w:r>
    </w:p>
    <w:p w14:paraId="17064242" w14:textId="77777777" w:rsidR="00077439" w:rsidRDefault="00077439" w:rsidP="00077439">
      <w:pPr>
        <w:pStyle w:val="BodyText"/>
        <w:spacing w:after="57"/>
      </w:pPr>
      <w:r>
        <w:t>In 2024–25 we expanded the reach and maturity of myGov by onboarding 2 new member services:</w:t>
      </w:r>
    </w:p>
    <w:p w14:paraId="66289EDD" w14:textId="77777777" w:rsidR="00077439" w:rsidRDefault="00077439" w:rsidP="004307B8">
      <w:pPr>
        <w:pStyle w:val="ListBullet"/>
      </w:pPr>
      <w:r>
        <w:t>Victorian Concessions and Allowances – Victorian Government Department of Families, Fairness and Housing</w:t>
      </w:r>
    </w:p>
    <w:p w14:paraId="3F6369AA" w14:textId="77777777" w:rsidR="00077439" w:rsidRDefault="00077439" w:rsidP="004307B8">
      <w:pPr>
        <w:pStyle w:val="ListBullet"/>
      </w:pPr>
      <w:r>
        <w:t>Your Career – Department of Employment and Workplace Relations (DEWR).</w:t>
      </w:r>
    </w:p>
    <w:p w14:paraId="63D96F61" w14:textId="77777777" w:rsidR="00077439" w:rsidRDefault="00077439" w:rsidP="00077439">
      <w:pPr>
        <w:pStyle w:val="BodyText"/>
        <w:spacing w:after="142"/>
      </w:pPr>
      <w:r>
        <w:t xml:space="preserve">This brings the total number of member services to 18. </w:t>
      </w:r>
    </w:p>
    <w:p w14:paraId="2792C72A" w14:textId="77777777" w:rsidR="00077439" w:rsidRDefault="00077439" w:rsidP="00077439">
      <w:pPr>
        <w:pStyle w:val="BodyText"/>
      </w:pPr>
      <w:r>
        <w:t>More than 1.3 million people have created a passkey as a more secure alternative to a password. There were over 4.1 million card views in the myGov digital wallet. There are now 10 cards available in the wallet. This includes access to the organ donor card, giving cardholders a convenient and secure way to view and manage their donation preferences (see more information about myGov in 2024–25 on page 127).</w:t>
      </w:r>
    </w:p>
    <w:tbl>
      <w:tblPr>
        <w:tblStyle w:val="TableGrid"/>
        <w:tblW w:w="5000" w:type="pct"/>
        <w:tblLook w:val="04A0" w:firstRow="1" w:lastRow="0" w:firstColumn="1" w:lastColumn="0" w:noHBand="0" w:noVBand="1"/>
        <w:tblCaption w:val="Case study – Protecting customer information with passkeys"/>
      </w:tblPr>
      <w:tblGrid>
        <w:gridCol w:w="11096"/>
      </w:tblGrid>
      <w:tr w:rsidR="00160CDF" w14:paraId="006A50E1" w14:textId="77777777" w:rsidTr="006A0585">
        <w:tc>
          <w:tcPr>
            <w:tcW w:w="5000" w:type="pct"/>
          </w:tcPr>
          <w:p w14:paraId="2149ABFF" w14:textId="704F726B" w:rsidR="00160CDF" w:rsidRDefault="00160CDF" w:rsidP="00160CDF">
            <w:pPr>
              <w:pStyle w:val="Heading2"/>
            </w:pPr>
            <w:r>
              <w:lastRenderedPageBreak/>
              <w:t>Case study – Protecting customer information with passkeys</w:t>
            </w:r>
          </w:p>
          <w:p w14:paraId="6107BA9A" w14:textId="77777777" w:rsidR="00160CDF" w:rsidRPr="00160CDF" w:rsidRDefault="00160CDF" w:rsidP="00160CDF">
            <w:pPr>
              <w:pStyle w:val="BodyText"/>
              <w:rPr>
                <w:lang w:val="en-GB"/>
              </w:rPr>
            </w:pPr>
            <w:r w:rsidRPr="00160CDF">
              <w:rPr>
                <w:lang w:val="en-GB"/>
              </w:rPr>
              <w:t>With ever-increasing cybersecurity threats, it’s critical we help people keep their personal information secure.</w:t>
            </w:r>
          </w:p>
          <w:p w14:paraId="008E7F6A" w14:textId="77777777" w:rsidR="00160CDF" w:rsidRPr="00160CDF" w:rsidRDefault="00160CDF" w:rsidP="00160CDF">
            <w:pPr>
              <w:pStyle w:val="BodyText"/>
              <w:rPr>
                <w:lang w:val="en-GB"/>
              </w:rPr>
            </w:pPr>
            <w:r w:rsidRPr="00160CDF">
              <w:rPr>
                <w:lang w:val="en-GB"/>
              </w:rPr>
              <w:t xml:space="preserve">Scammers often use phishing scams to trick people into giving away their personal information through fake myGov websites. </w:t>
            </w:r>
          </w:p>
          <w:p w14:paraId="75BAB456" w14:textId="77777777" w:rsidR="00160CDF" w:rsidRPr="00160CDF" w:rsidRDefault="00160CDF" w:rsidP="00160CDF">
            <w:pPr>
              <w:pStyle w:val="BodyText"/>
              <w:rPr>
                <w:lang w:val="en-GB"/>
              </w:rPr>
            </w:pPr>
            <w:r w:rsidRPr="00160CDF">
              <w:rPr>
                <w:lang w:val="en-GB"/>
              </w:rPr>
              <w:t xml:space="preserve">We’ve introduced passkeys as a sign in option for myGov, helping people avoid accidentally sharing their myGov sign in details with a scammer. </w:t>
            </w:r>
          </w:p>
          <w:p w14:paraId="16A5353E" w14:textId="77777777" w:rsidR="00160CDF" w:rsidRPr="00160CDF" w:rsidRDefault="00160CDF" w:rsidP="00160CDF">
            <w:pPr>
              <w:pStyle w:val="BodyText"/>
              <w:rPr>
                <w:lang w:val="en-GB"/>
              </w:rPr>
            </w:pPr>
            <w:r w:rsidRPr="00160CDF">
              <w:rPr>
                <w:lang w:val="en-GB"/>
              </w:rPr>
              <w:t>It’s part of our commitment to safeguard customers and their data by adopting new technologies.</w:t>
            </w:r>
          </w:p>
          <w:p w14:paraId="5AF83D0D" w14:textId="77777777" w:rsidR="00160CDF" w:rsidRPr="00160CDF" w:rsidRDefault="00160CDF" w:rsidP="00160CDF">
            <w:pPr>
              <w:pStyle w:val="BodyText"/>
              <w:rPr>
                <w:lang w:val="en-GB"/>
              </w:rPr>
            </w:pPr>
            <w:r w:rsidRPr="00160CDF">
              <w:rPr>
                <w:lang w:val="en-GB"/>
              </w:rPr>
              <w:t>Passkeys are a simple and secure authentication technology that allows people to sign in to websites and apps without entering a password. Passkeys use your device’s security features, like fingerprint or facial recognition, to sign in. They only work on the website or app you created them on.</w:t>
            </w:r>
          </w:p>
          <w:p w14:paraId="004AF80A" w14:textId="77777777" w:rsidR="00160CDF" w:rsidRPr="00160CDF" w:rsidRDefault="00160CDF" w:rsidP="00160CDF">
            <w:pPr>
              <w:pStyle w:val="BodyText"/>
              <w:rPr>
                <w:lang w:val="en-GB"/>
              </w:rPr>
            </w:pPr>
            <w:r w:rsidRPr="00160CDF">
              <w:rPr>
                <w:lang w:val="en-GB"/>
              </w:rPr>
              <w:t>By creating a passkey and turning off your password as a sign in option, scammers can’t use compromised credentials to access accounts.</w:t>
            </w:r>
          </w:p>
          <w:p w14:paraId="571A42B7" w14:textId="77777777" w:rsidR="00160CDF" w:rsidRPr="00160CDF" w:rsidRDefault="00160CDF" w:rsidP="00160CDF">
            <w:pPr>
              <w:pStyle w:val="BodyText"/>
              <w:rPr>
                <w:lang w:val="en-GB"/>
              </w:rPr>
            </w:pPr>
            <w:r w:rsidRPr="00160CDF">
              <w:rPr>
                <w:lang w:val="en-GB"/>
              </w:rPr>
              <w:t xml:space="preserve">myGov is one of the first digital government services platforms in the world to embrace passkeys as a sign in option. </w:t>
            </w:r>
          </w:p>
          <w:p w14:paraId="257E5155" w14:textId="77777777" w:rsidR="00160CDF" w:rsidRPr="00160CDF" w:rsidRDefault="00160CDF" w:rsidP="00160CDF">
            <w:pPr>
              <w:pStyle w:val="BodyText"/>
              <w:rPr>
                <w:lang w:val="en-GB"/>
              </w:rPr>
            </w:pPr>
            <w:r w:rsidRPr="00160CDF">
              <w:rPr>
                <w:lang w:val="en-GB"/>
              </w:rPr>
              <w:t>Passkeys are a great way for people to protect their myGov accounts. They’re already used by some of the world’s biggest companies to protect their customers’ data.</w:t>
            </w:r>
          </w:p>
          <w:p w14:paraId="7A02EC7D" w14:textId="77777777" w:rsidR="00160CDF" w:rsidRPr="00160CDF" w:rsidRDefault="00160CDF" w:rsidP="00160CDF">
            <w:pPr>
              <w:pStyle w:val="BodyText"/>
              <w:rPr>
                <w:lang w:val="en-GB"/>
              </w:rPr>
            </w:pPr>
            <w:r w:rsidRPr="00160CDF">
              <w:rPr>
                <w:lang w:val="en-GB"/>
              </w:rPr>
              <w:t>We consulted with industry experts and conducted market research to understand community sentiment towards security and sign in options.</w:t>
            </w:r>
          </w:p>
          <w:p w14:paraId="5D37639B" w14:textId="77777777" w:rsidR="00160CDF" w:rsidRPr="00160CDF" w:rsidRDefault="00160CDF" w:rsidP="00160CDF">
            <w:pPr>
              <w:pStyle w:val="BodyText"/>
              <w:rPr>
                <w:lang w:val="en-GB"/>
              </w:rPr>
            </w:pPr>
            <w:r w:rsidRPr="00160CDF">
              <w:rPr>
                <w:lang w:val="en-GB"/>
              </w:rPr>
              <w:t xml:space="preserve">In 2024–25 more than 1.3 million passkeys were created to sign in to myGov. </w:t>
            </w:r>
          </w:p>
          <w:p w14:paraId="30F5163D" w14:textId="77777777" w:rsidR="00160CDF" w:rsidRPr="00160CDF" w:rsidRDefault="00160CDF" w:rsidP="00160CDF">
            <w:pPr>
              <w:pStyle w:val="BodyText"/>
              <w:rPr>
                <w:lang w:val="en-GB"/>
              </w:rPr>
            </w:pPr>
            <w:r w:rsidRPr="00160CDF">
              <w:rPr>
                <w:lang w:val="en-GB"/>
              </w:rPr>
              <w:t>The users of more than 755,000 myGov accounts turned off their password and now use a passkey or Digital ID to sign in.</w:t>
            </w:r>
          </w:p>
          <w:p w14:paraId="4562EF56" w14:textId="77777777" w:rsidR="00160CDF" w:rsidRPr="00160CDF" w:rsidRDefault="00160CDF" w:rsidP="00160CDF">
            <w:pPr>
              <w:pStyle w:val="BodyText"/>
              <w:rPr>
                <w:lang w:val="en-GB"/>
              </w:rPr>
            </w:pPr>
            <w:r w:rsidRPr="00160CDF">
              <w:rPr>
                <w:lang w:val="en-GB"/>
              </w:rPr>
              <w:t>myGov provides an entry point for Australians to access 18 government services in one place.</w:t>
            </w:r>
          </w:p>
          <w:p w14:paraId="7F849386" w14:textId="77777777" w:rsidR="00160CDF" w:rsidRPr="00160CDF" w:rsidRDefault="00160CDF" w:rsidP="00160CDF">
            <w:pPr>
              <w:pStyle w:val="BodyText"/>
              <w:rPr>
                <w:lang w:val="en-GB"/>
              </w:rPr>
            </w:pPr>
            <w:r w:rsidRPr="00160CDF">
              <w:rPr>
                <w:lang w:val="en-GB"/>
              </w:rPr>
              <w:t>We’ve introduced a myGov security review feature which prompts customers to take steps to make their accounts more secure.</w:t>
            </w:r>
          </w:p>
          <w:p w14:paraId="1C1C815B" w14:textId="77777777" w:rsidR="00160CDF" w:rsidRPr="00160CDF" w:rsidRDefault="00160CDF" w:rsidP="00160CDF">
            <w:pPr>
              <w:pStyle w:val="BodyText"/>
              <w:rPr>
                <w:lang w:val="en-GB"/>
              </w:rPr>
            </w:pPr>
            <w:r w:rsidRPr="00160CDF">
              <w:rPr>
                <w:lang w:val="en-GB"/>
              </w:rPr>
              <w:t>This includes reviewing and updating their sign in settings, switching to a safer sign in option like passkeys or Digital ID, and changing their password if it’s more than two years’ old.</w:t>
            </w:r>
          </w:p>
          <w:p w14:paraId="18AEAE88" w14:textId="0C9B3556" w:rsidR="00160CDF" w:rsidRDefault="00160CDF" w:rsidP="00160CDF">
            <w:pPr>
              <w:pStyle w:val="BodyText"/>
            </w:pPr>
            <w:r w:rsidRPr="00160CDF">
              <w:rPr>
                <w:lang w:val="en-GB"/>
              </w:rPr>
              <w:t>These simple steps will help strengthen security and reduce the risk of scammers accessing user accounts with stolen sign in details.</w:t>
            </w:r>
          </w:p>
        </w:tc>
      </w:tr>
    </w:tbl>
    <w:p w14:paraId="3955A98D" w14:textId="10DCE702" w:rsidR="00160CDF" w:rsidRDefault="00160CDF" w:rsidP="00DD5D3A">
      <w:pPr>
        <w:pStyle w:val="Heading1"/>
      </w:pPr>
      <w:bookmarkStart w:id="15" w:name="_Toc210815394"/>
      <w:r>
        <w:t>Part 4 – Delivering payments and services to our customers</w:t>
      </w:r>
      <w:bookmarkEnd w:id="15"/>
    </w:p>
    <w:p w14:paraId="3A3A0F23" w14:textId="1D49F556" w:rsidR="00DD5D3A" w:rsidRDefault="00DD5D3A" w:rsidP="00DD5D3A">
      <w:pPr>
        <w:pStyle w:val="Heading1"/>
      </w:pPr>
      <w:bookmarkStart w:id="16" w:name="_Toc210815395"/>
      <w:r>
        <w:t>4.1 Social security</w:t>
      </w:r>
      <w:bookmarkEnd w:id="16"/>
    </w:p>
    <w:p w14:paraId="60638808" w14:textId="77777777" w:rsidR="00DD5D3A" w:rsidRDefault="00DD5D3A" w:rsidP="00DD5D3A">
      <w:pPr>
        <w:pStyle w:val="BodyText"/>
      </w:pPr>
      <w:r>
        <w:rPr>
          <w:spacing w:val="-2"/>
        </w:rPr>
        <w:t xml:space="preserve">Table 2 shows that in 2024–25 the agency processed around 3.5 million claims for social </w:t>
      </w:r>
      <w:r>
        <w:t xml:space="preserve">security. Of these, around 2.8 million claims were granted and 705,000 were rejected. </w:t>
      </w:r>
    </w:p>
    <w:p w14:paraId="65667E56" w14:textId="2A7BADEE" w:rsidR="00DD5D3A" w:rsidRPr="00160CDF" w:rsidRDefault="00160CDF" w:rsidP="00160CDF">
      <w:pPr>
        <w:pStyle w:val="BodyText"/>
        <w:rPr>
          <w:b/>
          <w:bCs/>
        </w:rPr>
      </w:pPr>
      <w:r w:rsidRPr="00160CDF">
        <w:rPr>
          <w:b/>
          <w:bCs/>
        </w:rPr>
        <w:t>Table 2</w:t>
      </w:r>
      <w:r>
        <w:rPr>
          <w:b/>
          <w:bCs/>
        </w:rPr>
        <w:t>:</w:t>
      </w:r>
      <w:r w:rsidR="00DD5D3A" w:rsidRPr="00160CDF">
        <w:rPr>
          <w:b/>
          <w:bCs/>
        </w:rPr>
        <w:t xml:space="preserve"> Claims finalised in 2024–25</w:t>
      </w:r>
    </w:p>
    <w:tbl>
      <w:tblPr>
        <w:tblStyle w:val="TableGrid"/>
        <w:tblW w:w="5000" w:type="pct"/>
        <w:tblLook w:val="04A0" w:firstRow="1" w:lastRow="0" w:firstColumn="1" w:lastColumn="0" w:noHBand="0" w:noVBand="1"/>
        <w:tblCaption w:val="Claims finalised in 2024–25"/>
      </w:tblPr>
      <w:tblGrid>
        <w:gridCol w:w="4997"/>
        <w:gridCol w:w="2033"/>
        <w:gridCol w:w="2033"/>
        <w:gridCol w:w="2033"/>
      </w:tblGrid>
      <w:tr w:rsidR="00DD5D3A" w14:paraId="06E5C1DB" w14:textId="77777777" w:rsidTr="005875A4">
        <w:trPr>
          <w:trHeight w:val="396"/>
          <w:tblHeader/>
        </w:trPr>
        <w:tc>
          <w:tcPr>
            <w:tcW w:w="2252" w:type="pct"/>
          </w:tcPr>
          <w:p w14:paraId="28098482" w14:textId="77777777" w:rsidR="00DD5D3A" w:rsidRPr="00BE065F" w:rsidRDefault="00DD5D3A" w:rsidP="00BE065F">
            <w:pPr>
              <w:pStyle w:val="BodyText"/>
              <w:rPr>
                <w:b/>
                <w:bCs/>
              </w:rPr>
            </w:pPr>
            <w:r w:rsidRPr="00BE065F">
              <w:rPr>
                <w:b/>
                <w:bCs/>
              </w:rPr>
              <w:lastRenderedPageBreak/>
              <w:t>Payment type</w:t>
            </w:r>
          </w:p>
        </w:tc>
        <w:tc>
          <w:tcPr>
            <w:tcW w:w="916" w:type="pct"/>
          </w:tcPr>
          <w:p w14:paraId="102D2BD9" w14:textId="77777777" w:rsidR="00DD5D3A" w:rsidRPr="00BE065F" w:rsidRDefault="00DD5D3A" w:rsidP="00BE065F">
            <w:pPr>
              <w:pStyle w:val="BodyText"/>
              <w:jc w:val="right"/>
              <w:rPr>
                <w:b/>
                <w:bCs/>
              </w:rPr>
            </w:pPr>
            <w:r w:rsidRPr="00BE065F">
              <w:rPr>
                <w:b/>
                <w:bCs/>
              </w:rPr>
              <w:t>Claims</w:t>
            </w:r>
          </w:p>
        </w:tc>
        <w:tc>
          <w:tcPr>
            <w:tcW w:w="916" w:type="pct"/>
          </w:tcPr>
          <w:p w14:paraId="2FF7D549" w14:textId="77777777" w:rsidR="00DD5D3A" w:rsidRPr="00BE065F" w:rsidRDefault="00DD5D3A" w:rsidP="00BE065F">
            <w:pPr>
              <w:pStyle w:val="BodyText"/>
              <w:jc w:val="right"/>
              <w:rPr>
                <w:b/>
                <w:bCs/>
              </w:rPr>
            </w:pPr>
            <w:r w:rsidRPr="00BE065F">
              <w:rPr>
                <w:b/>
                <w:bCs/>
              </w:rPr>
              <w:t>Granted</w:t>
            </w:r>
          </w:p>
        </w:tc>
        <w:tc>
          <w:tcPr>
            <w:tcW w:w="916" w:type="pct"/>
          </w:tcPr>
          <w:p w14:paraId="51BE26DD" w14:textId="77777777" w:rsidR="00DD5D3A" w:rsidRPr="00BE065F" w:rsidRDefault="00DD5D3A" w:rsidP="00BE065F">
            <w:pPr>
              <w:pStyle w:val="BodyText"/>
              <w:jc w:val="right"/>
              <w:rPr>
                <w:b/>
                <w:bCs/>
              </w:rPr>
            </w:pPr>
            <w:r w:rsidRPr="00BE065F">
              <w:rPr>
                <w:b/>
                <w:bCs/>
              </w:rPr>
              <w:t>Rejected</w:t>
            </w:r>
          </w:p>
        </w:tc>
      </w:tr>
      <w:tr w:rsidR="00DD5D3A" w14:paraId="288EFAF7" w14:textId="77777777" w:rsidTr="006A0585">
        <w:trPr>
          <w:trHeight w:val="396"/>
        </w:trPr>
        <w:tc>
          <w:tcPr>
            <w:tcW w:w="2252" w:type="pct"/>
          </w:tcPr>
          <w:p w14:paraId="374AB2AB" w14:textId="77777777" w:rsidR="00DD5D3A" w:rsidRDefault="00DD5D3A" w:rsidP="00874D7C">
            <w:pPr>
              <w:pStyle w:val="BodyText"/>
            </w:pPr>
            <w:r>
              <w:t>ABSTUDY</w:t>
            </w:r>
          </w:p>
        </w:tc>
        <w:tc>
          <w:tcPr>
            <w:tcW w:w="916" w:type="pct"/>
          </w:tcPr>
          <w:p w14:paraId="47B5283B" w14:textId="77777777" w:rsidR="00DD5D3A" w:rsidRDefault="00DD5D3A" w:rsidP="00874D7C">
            <w:pPr>
              <w:pStyle w:val="BodyText"/>
              <w:jc w:val="right"/>
            </w:pPr>
            <w:r>
              <w:t>25,600</w:t>
            </w:r>
          </w:p>
        </w:tc>
        <w:tc>
          <w:tcPr>
            <w:tcW w:w="916" w:type="pct"/>
          </w:tcPr>
          <w:p w14:paraId="0BD53EAC" w14:textId="77777777" w:rsidR="00DD5D3A" w:rsidRDefault="00DD5D3A" w:rsidP="00874D7C">
            <w:pPr>
              <w:pStyle w:val="BodyText"/>
              <w:jc w:val="right"/>
            </w:pPr>
            <w:r>
              <w:t>21,000</w:t>
            </w:r>
          </w:p>
        </w:tc>
        <w:tc>
          <w:tcPr>
            <w:tcW w:w="916" w:type="pct"/>
          </w:tcPr>
          <w:p w14:paraId="0ED1FACB" w14:textId="77777777" w:rsidR="00DD5D3A" w:rsidRDefault="00DD5D3A" w:rsidP="00874D7C">
            <w:pPr>
              <w:pStyle w:val="BodyText"/>
              <w:jc w:val="right"/>
            </w:pPr>
            <w:r>
              <w:t>4,600</w:t>
            </w:r>
          </w:p>
        </w:tc>
      </w:tr>
      <w:tr w:rsidR="00DD5D3A" w14:paraId="14831CB0" w14:textId="77777777" w:rsidTr="006A0585">
        <w:trPr>
          <w:trHeight w:val="396"/>
        </w:trPr>
        <w:tc>
          <w:tcPr>
            <w:tcW w:w="2252" w:type="pct"/>
          </w:tcPr>
          <w:p w14:paraId="103E9892" w14:textId="77777777" w:rsidR="00DD5D3A" w:rsidRDefault="00DD5D3A" w:rsidP="00874D7C">
            <w:pPr>
              <w:pStyle w:val="BodyText"/>
            </w:pPr>
            <w:r>
              <w:t>Additional Child Care Subsidy</w:t>
            </w:r>
          </w:p>
        </w:tc>
        <w:tc>
          <w:tcPr>
            <w:tcW w:w="916" w:type="pct"/>
          </w:tcPr>
          <w:p w14:paraId="4C6FCD6A" w14:textId="77777777" w:rsidR="00DD5D3A" w:rsidRDefault="00DD5D3A" w:rsidP="00874D7C">
            <w:pPr>
              <w:pStyle w:val="BodyText"/>
              <w:jc w:val="right"/>
            </w:pPr>
            <w:r>
              <w:t>131,000</w:t>
            </w:r>
          </w:p>
        </w:tc>
        <w:tc>
          <w:tcPr>
            <w:tcW w:w="916" w:type="pct"/>
          </w:tcPr>
          <w:p w14:paraId="78283412" w14:textId="77777777" w:rsidR="00DD5D3A" w:rsidRDefault="00DD5D3A" w:rsidP="00874D7C">
            <w:pPr>
              <w:pStyle w:val="BodyText"/>
              <w:jc w:val="right"/>
            </w:pPr>
            <w:r>
              <w:t>117,000</w:t>
            </w:r>
          </w:p>
        </w:tc>
        <w:tc>
          <w:tcPr>
            <w:tcW w:w="916" w:type="pct"/>
          </w:tcPr>
          <w:p w14:paraId="39628B34" w14:textId="77777777" w:rsidR="00DD5D3A" w:rsidRDefault="00DD5D3A" w:rsidP="00874D7C">
            <w:pPr>
              <w:pStyle w:val="BodyText"/>
              <w:jc w:val="right"/>
            </w:pPr>
            <w:r>
              <w:t>14,300</w:t>
            </w:r>
          </w:p>
        </w:tc>
      </w:tr>
      <w:tr w:rsidR="00DD5D3A" w14:paraId="578ECBEB" w14:textId="77777777" w:rsidTr="006A0585">
        <w:trPr>
          <w:trHeight w:val="396"/>
        </w:trPr>
        <w:tc>
          <w:tcPr>
            <w:tcW w:w="2252" w:type="pct"/>
          </w:tcPr>
          <w:p w14:paraId="04F05AC4" w14:textId="77777777" w:rsidR="00DD5D3A" w:rsidRDefault="00DD5D3A" w:rsidP="00874D7C">
            <w:pPr>
              <w:pStyle w:val="BodyText"/>
            </w:pPr>
            <w:r>
              <w:t>Age Pension</w:t>
            </w:r>
          </w:p>
        </w:tc>
        <w:tc>
          <w:tcPr>
            <w:tcW w:w="916" w:type="pct"/>
          </w:tcPr>
          <w:p w14:paraId="13D6C7FB" w14:textId="77777777" w:rsidR="00DD5D3A" w:rsidRDefault="00DD5D3A" w:rsidP="00874D7C">
            <w:pPr>
              <w:pStyle w:val="BodyText"/>
              <w:jc w:val="right"/>
            </w:pPr>
            <w:r>
              <w:t>239,000</w:t>
            </w:r>
          </w:p>
        </w:tc>
        <w:tc>
          <w:tcPr>
            <w:tcW w:w="916" w:type="pct"/>
          </w:tcPr>
          <w:p w14:paraId="31C29332" w14:textId="77777777" w:rsidR="00DD5D3A" w:rsidRDefault="00DD5D3A" w:rsidP="00874D7C">
            <w:pPr>
              <w:pStyle w:val="BodyText"/>
              <w:jc w:val="right"/>
            </w:pPr>
            <w:r>
              <w:t>202,000</w:t>
            </w:r>
          </w:p>
        </w:tc>
        <w:tc>
          <w:tcPr>
            <w:tcW w:w="916" w:type="pct"/>
          </w:tcPr>
          <w:p w14:paraId="1095A2AF" w14:textId="77777777" w:rsidR="00DD5D3A" w:rsidRDefault="00DD5D3A" w:rsidP="00874D7C">
            <w:pPr>
              <w:pStyle w:val="BodyText"/>
              <w:jc w:val="right"/>
            </w:pPr>
            <w:r>
              <w:t>37,000</w:t>
            </w:r>
          </w:p>
        </w:tc>
      </w:tr>
      <w:tr w:rsidR="00DD5D3A" w14:paraId="4084C4F5" w14:textId="77777777" w:rsidTr="006A0585">
        <w:trPr>
          <w:trHeight w:val="396"/>
        </w:trPr>
        <w:tc>
          <w:tcPr>
            <w:tcW w:w="2252" w:type="pct"/>
          </w:tcPr>
          <w:p w14:paraId="1C31E6FE" w14:textId="77777777" w:rsidR="00DD5D3A" w:rsidRDefault="00DD5D3A" w:rsidP="00874D7C">
            <w:pPr>
              <w:pStyle w:val="BodyText"/>
            </w:pPr>
            <w:r>
              <w:t>Assistance for Isolated Children</w:t>
            </w:r>
          </w:p>
        </w:tc>
        <w:tc>
          <w:tcPr>
            <w:tcW w:w="916" w:type="pct"/>
          </w:tcPr>
          <w:p w14:paraId="417751F9" w14:textId="77777777" w:rsidR="00DD5D3A" w:rsidRDefault="00DD5D3A" w:rsidP="00874D7C">
            <w:pPr>
              <w:pStyle w:val="BodyText"/>
              <w:jc w:val="right"/>
            </w:pPr>
            <w:r>
              <w:t>7,800</w:t>
            </w:r>
          </w:p>
        </w:tc>
        <w:tc>
          <w:tcPr>
            <w:tcW w:w="916" w:type="pct"/>
          </w:tcPr>
          <w:p w14:paraId="1990A409" w14:textId="77777777" w:rsidR="00DD5D3A" w:rsidRDefault="00DD5D3A" w:rsidP="00874D7C">
            <w:pPr>
              <w:pStyle w:val="BodyText"/>
              <w:jc w:val="right"/>
            </w:pPr>
            <w:r>
              <w:t>5,900</w:t>
            </w:r>
          </w:p>
        </w:tc>
        <w:tc>
          <w:tcPr>
            <w:tcW w:w="916" w:type="pct"/>
          </w:tcPr>
          <w:p w14:paraId="5CF1BA4B" w14:textId="77777777" w:rsidR="00DD5D3A" w:rsidRDefault="00DD5D3A" w:rsidP="00874D7C">
            <w:pPr>
              <w:pStyle w:val="BodyText"/>
              <w:jc w:val="right"/>
            </w:pPr>
            <w:r>
              <w:t>1,800</w:t>
            </w:r>
          </w:p>
        </w:tc>
      </w:tr>
      <w:tr w:rsidR="00DD5D3A" w14:paraId="3BE5DFA5" w14:textId="77777777" w:rsidTr="006A0585">
        <w:trPr>
          <w:trHeight w:val="396"/>
        </w:trPr>
        <w:tc>
          <w:tcPr>
            <w:tcW w:w="2252" w:type="pct"/>
          </w:tcPr>
          <w:p w14:paraId="4084D28E" w14:textId="77777777" w:rsidR="00DD5D3A" w:rsidRDefault="00DD5D3A" w:rsidP="00874D7C">
            <w:pPr>
              <w:pStyle w:val="BodyText"/>
            </w:pPr>
            <w:r>
              <w:t>Carer Payment and Carer Allowance</w:t>
            </w:r>
          </w:p>
        </w:tc>
        <w:tc>
          <w:tcPr>
            <w:tcW w:w="916" w:type="pct"/>
          </w:tcPr>
          <w:p w14:paraId="428E6C79" w14:textId="77777777" w:rsidR="00DD5D3A" w:rsidRDefault="00DD5D3A" w:rsidP="00874D7C">
            <w:pPr>
              <w:pStyle w:val="BodyText"/>
              <w:jc w:val="right"/>
            </w:pPr>
            <w:r>
              <w:t>231,000</w:t>
            </w:r>
          </w:p>
        </w:tc>
        <w:tc>
          <w:tcPr>
            <w:tcW w:w="916" w:type="pct"/>
          </w:tcPr>
          <w:p w14:paraId="6CE44475" w14:textId="77777777" w:rsidR="00DD5D3A" w:rsidRDefault="00DD5D3A" w:rsidP="00874D7C">
            <w:pPr>
              <w:pStyle w:val="BodyText"/>
              <w:jc w:val="right"/>
            </w:pPr>
            <w:r>
              <w:t>159,000</w:t>
            </w:r>
          </w:p>
        </w:tc>
        <w:tc>
          <w:tcPr>
            <w:tcW w:w="916" w:type="pct"/>
          </w:tcPr>
          <w:p w14:paraId="0C2328EE" w14:textId="77777777" w:rsidR="00DD5D3A" w:rsidRDefault="00DD5D3A" w:rsidP="00874D7C">
            <w:pPr>
              <w:pStyle w:val="BodyText"/>
              <w:jc w:val="right"/>
            </w:pPr>
            <w:r>
              <w:t>72,700</w:t>
            </w:r>
          </w:p>
        </w:tc>
      </w:tr>
      <w:tr w:rsidR="00DD5D3A" w14:paraId="0BE689F2" w14:textId="77777777" w:rsidTr="006A0585">
        <w:trPr>
          <w:trHeight w:val="396"/>
        </w:trPr>
        <w:tc>
          <w:tcPr>
            <w:tcW w:w="2252" w:type="pct"/>
          </w:tcPr>
          <w:p w14:paraId="7CC184B8" w14:textId="77777777" w:rsidR="00DD5D3A" w:rsidRDefault="00DD5D3A" w:rsidP="00874D7C">
            <w:pPr>
              <w:pStyle w:val="BodyText"/>
            </w:pPr>
            <w:r>
              <w:t>Child Care Subsidy</w:t>
            </w:r>
          </w:p>
        </w:tc>
        <w:tc>
          <w:tcPr>
            <w:tcW w:w="916" w:type="pct"/>
          </w:tcPr>
          <w:p w14:paraId="270D877F" w14:textId="77777777" w:rsidR="00DD5D3A" w:rsidRDefault="00DD5D3A" w:rsidP="00874D7C">
            <w:pPr>
              <w:pStyle w:val="BodyText"/>
              <w:jc w:val="right"/>
            </w:pPr>
            <w:r>
              <w:t>421,000</w:t>
            </w:r>
          </w:p>
        </w:tc>
        <w:tc>
          <w:tcPr>
            <w:tcW w:w="916" w:type="pct"/>
          </w:tcPr>
          <w:p w14:paraId="4D13E854" w14:textId="77777777" w:rsidR="00DD5D3A" w:rsidRDefault="00DD5D3A" w:rsidP="00874D7C">
            <w:pPr>
              <w:pStyle w:val="BodyText"/>
              <w:jc w:val="right"/>
            </w:pPr>
            <w:r>
              <w:t>407,000</w:t>
            </w:r>
          </w:p>
        </w:tc>
        <w:tc>
          <w:tcPr>
            <w:tcW w:w="916" w:type="pct"/>
          </w:tcPr>
          <w:p w14:paraId="0FC4CC83" w14:textId="77777777" w:rsidR="00DD5D3A" w:rsidRDefault="00DD5D3A" w:rsidP="00874D7C">
            <w:pPr>
              <w:pStyle w:val="BodyText"/>
              <w:jc w:val="right"/>
            </w:pPr>
            <w:r>
              <w:t>14,200</w:t>
            </w:r>
          </w:p>
        </w:tc>
      </w:tr>
      <w:tr w:rsidR="00DD5D3A" w14:paraId="2BE7F9B0" w14:textId="77777777" w:rsidTr="006A0585">
        <w:trPr>
          <w:trHeight w:val="396"/>
        </w:trPr>
        <w:tc>
          <w:tcPr>
            <w:tcW w:w="2252" w:type="pct"/>
          </w:tcPr>
          <w:p w14:paraId="2646BFEA" w14:textId="77777777" w:rsidR="00DD5D3A" w:rsidRDefault="00DD5D3A" w:rsidP="00874D7C">
            <w:pPr>
              <w:pStyle w:val="BodyText"/>
            </w:pPr>
            <w:r>
              <w:t>Crisis Payment</w:t>
            </w:r>
            <w:r>
              <w:rPr>
                <w:vertAlign w:val="superscript"/>
              </w:rPr>
              <w:t>(a)</w:t>
            </w:r>
          </w:p>
        </w:tc>
        <w:tc>
          <w:tcPr>
            <w:tcW w:w="916" w:type="pct"/>
          </w:tcPr>
          <w:p w14:paraId="033D33ED" w14:textId="77777777" w:rsidR="00DD5D3A" w:rsidRDefault="00DD5D3A" w:rsidP="00874D7C">
            <w:pPr>
              <w:pStyle w:val="BodyText"/>
              <w:jc w:val="right"/>
            </w:pPr>
            <w:r>
              <w:t>158,000</w:t>
            </w:r>
          </w:p>
        </w:tc>
        <w:tc>
          <w:tcPr>
            <w:tcW w:w="916" w:type="pct"/>
          </w:tcPr>
          <w:p w14:paraId="5DFDBC40" w14:textId="77777777" w:rsidR="00DD5D3A" w:rsidRDefault="00DD5D3A" w:rsidP="00874D7C">
            <w:pPr>
              <w:pStyle w:val="BodyText"/>
              <w:jc w:val="right"/>
            </w:pPr>
            <w:r>
              <w:t>99,900</w:t>
            </w:r>
          </w:p>
        </w:tc>
        <w:tc>
          <w:tcPr>
            <w:tcW w:w="916" w:type="pct"/>
          </w:tcPr>
          <w:p w14:paraId="6A2BC315" w14:textId="77777777" w:rsidR="00DD5D3A" w:rsidRDefault="00DD5D3A" w:rsidP="00874D7C">
            <w:pPr>
              <w:pStyle w:val="BodyText"/>
              <w:jc w:val="right"/>
            </w:pPr>
            <w:r>
              <w:t>58,200</w:t>
            </w:r>
          </w:p>
        </w:tc>
      </w:tr>
      <w:tr w:rsidR="00DD5D3A" w14:paraId="5C12E204" w14:textId="77777777" w:rsidTr="006A0585">
        <w:trPr>
          <w:trHeight w:val="396"/>
        </w:trPr>
        <w:tc>
          <w:tcPr>
            <w:tcW w:w="2252" w:type="pct"/>
          </w:tcPr>
          <w:p w14:paraId="7D628E7B" w14:textId="77777777" w:rsidR="00DD5D3A" w:rsidRDefault="00DD5D3A" w:rsidP="00874D7C">
            <w:pPr>
              <w:pStyle w:val="BodyText"/>
            </w:pPr>
            <w:r>
              <w:t>Dad and Partner Pay</w:t>
            </w:r>
          </w:p>
        </w:tc>
        <w:tc>
          <w:tcPr>
            <w:tcW w:w="916" w:type="pct"/>
          </w:tcPr>
          <w:p w14:paraId="4900F1B4" w14:textId="77777777" w:rsidR="00DD5D3A" w:rsidRDefault="00DD5D3A" w:rsidP="00874D7C">
            <w:pPr>
              <w:pStyle w:val="BodyText"/>
              <w:jc w:val="right"/>
            </w:pPr>
            <w:r>
              <w:t>45</w:t>
            </w:r>
          </w:p>
        </w:tc>
        <w:tc>
          <w:tcPr>
            <w:tcW w:w="916" w:type="pct"/>
          </w:tcPr>
          <w:p w14:paraId="44456B52" w14:textId="77777777" w:rsidR="00DD5D3A" w:rsidRDefault="00DD5D3A" w:rsidP="00874D7C">
            <w:pPr>
              <w:pStyle w:val="BodyText"/>
              <w:jc w:val="right"/>
            </w:pPr>
            <w:r>
              <w:t>22</w:t>
            </w:r>
          </w:p>
        </w:tc>
        <w:tc>
          <w:tcPr>
            <w:tcW w:w="916" w:type="pct"/>
          </w:tcPr>
          <w:p w14:paraId="3632F5F7" w14:textId="77777777" w:rsidR="00DD5D3A" w:rsidRDefault="00DD5D3A" w:rsidP="00874D7C">
            <w:pPr>
              <w:pStyle w:val="BodyText"/>
              <w:jc w:val="right"/>
            </w:pPr>
            <w:r>
              <w:t xml:space="preserve">23 </w:t>
            </w:r>
          </w:p>
        </w:tc>
      </w:tr>
      <w:tr w:rsidR="00DD5D3A" w14:paraId="51E33FDD" w14:textId="77777777" w:rsidTr="006A0585">
        <w:trPr>
          <w:trHeight w:val="396"/>
        </w:trPr>
        <w:tc>
          <w:tcPr>
            <w:tcW w:w="2252" w:type="pct"/>
          </w:tcPr>
          <w:p w14:paraId="5B7592C3" w14:textId="77777777" w:rsidR="00DD5D3A" w:rsidRDefault="00DD5D3A" w:rsidP="00874D7C">
            <w:pPr>
              <w:pStyle w:val="BodyText"/>
            </w:pPr>
            <w:r>
              <w:t>Disability Support Pension</w:t>
            </w:r>
          </w:p>
        </w:tc>
        <w:tc>
          <w:tcPr>
            <w:tcW w:w="916" w:type="pct"/>
          </w:tcPr>
          <w:p w14:paraId="488C1E7A" w14:textId="77777777" w:rsidR="00DD5D3A" w:rsidRDefault="00DD5D3A" w:rsidP="00874D7C">
            <w:pPr>
              <w:pStyle w:val="BodyText"/>
              <w:jc w:val="right"/>
            </w:pPr>
            <w:r>
              <w:t>136,000</w:t>
            </w:r>
          </w:p>
        </w:tc>
        <w:tc>
          <w:tcPr>
            <w:tcW w:w="916" w:type="pct"/>
          </w:tcPr>
          <w:p w14:paraId="427A0DC7" w14:textId="77777777" w:rsidR="00DD5D3A" w:rsidRDefault="00DD5D3A" w:rsidP="00874D7C">
            <w:pPr>
              <w:pStyle w:val="BodyText"/>
              <w:jc w:val="right"/>
            </w:pPr>
            <w:r>
              <w:t>79,200</w:t>
            </w:r>
          </w:p>
        </w:tc>
        <w:tc>
          <w:tcPr>
            <w:tcW w:w="916" w:type="pct"/>
          </w:tcPr>
          <w:p w14:paraId="5F6F74DE" w14:textId="77777777" w:rsidR="00DD5D3A" w:rsidRDefault="00DD5D3A" w:rsidP="00874D7C">
            <w:pPr>
              <w:pStyle w:val="BodyText"/>
              <w:jc w:val="right"/>
            </w:pPr>
            <w:r>
              <w:t>56,500</w:t>
            </w:r>
          </w:p>
        </w:tc>
      </w:tr>
      <w:tr w:rsidR="00DD5D3A" w14:paraId="198F2901" w14:textId="77777777" w:rsidTr="006A0585">
        <w:trPr>
          <w:trHeight w:val="396"/>
        </w:trPr>
        <w:tc>
          <w:tcPr>
            <w:tcW w:w="2252" w:type="pct"/>
          </w:tcPr>
          <w:p w14:paraId="1615EB9C" w14:textId="77777777" w:rsidR="00DD5D3A" w:rsidRDefault="00DD5D3A" w:rsidP="00874D7C">
            <w:pPr>
              <w:pStyle w:val="BodyText"/>
            </w:pPr>
            <w:r>
              <w:t>Double Orphan Pension</w:t>
            </w:r>
          </w:p>
        </w:tc>
        <w:tc>
          <w:tcPr>
            <w:tcW w:w="916" w:type="pct"/>
          </w:tcPr>
          <w:p w14:paraId="61FC8FD8" w14:textId="77777777" w:rsidR="00DD5D3A" w:rsidRDefault="00DD5D3A" w:rsidP="00874D7C">
            <w:pPr>
              <w:pStyle w:val="BodyText"/>
              <w:jc w:val="right"/>
            </w:pPr>
            <w:r>
              <w:t>200</w:t>
            </w:r>
          </w:p>
        </w:tc>
        <w:tc>
          <w:tcPr>
            <w:tcW w:w="916" w:type="pct"/>
          </w:tcPr>
          <w:p w14:paraId="312738F2" w14:textId="77777777" w:rsidR="00DD5D3A" w:rsidRDefault="00DD5D3A" w:rsidP="00874D7C">
            <w:pPr>
              <w:pStyle w:val="BodyText"/>
              <w:jc w:val="right"/>
            </w:pPr>
            <w:r>
              <w:t>100</w:t>
            </w:r>
          </w:p>
        </w:tc>
        <w:tc>
          <w:tcPr>
            <w:tcW w:w="916" w:type="pct"/>
          </w:tcPr>
          <w:p w14:paraId="48C06FD5" w14:textId="77777777" w:rsidR="00DD5D3A" w:rsidRDefault="00DD5D3A" w:rsidP="00874D7C">
            <w:pPr>
              <w:pStyle w:val="BodyText"/>
              <w:jc w:val="right"/>
            </w:pPr>
            <w:r>
              <w:t>24</w:t>
            </w:r>
          </w:p>
        </w:tc>
      </w:tr>
      <w:tr w:rsidR="00DD5D3A" w14:paraId="24290BE5" w14:textId="77777777" w:rsidTr="006A0585">
        <w:trPr>
          <w:trHeight w:val="396"/>
        </w:trPr>
        <w:tc>
          <w:tcPr>
            <w:tcW w:w="2252" w:type="pct"/>
          </w:tcPr>
          <w:p w14:paraId="2424D10C" w14:textId="77777777" w:rsidR="00DD5D3A" w:rsidRDefault="00DD5D3A" w:rsidP="00874D7C">
            <w:pPr>
              <w:pStyle w:val="BodyText"/>
            </w:pPr>
            <w:r>
              <w:t>Essential Medical Equipment</w:t>
            </w:r>
          </w:p>
        </w:tc>
        <w:tc>
          <w:tcPr>
            <w:tcW w:w="916" w:type="pct"/>
          </w:tcPr>
          <w:p w14:paraId="3374905A" w14:textId="77777777" w:rsidR="00DD5D3A" w:rsidRDefault="00DD5D3A" w:rsidP="00874D7C">
            <w:pPr>
              <w:pStyle w:val="BodyText"/>
              <w:jc w:val="right"/>
            </w:pPr>
            <w:r>
              <w:t>9,800</w:t>
            </w:r>
          </w:p>
        </w:tc>
        <w:tc>
          <w:tcPr>
            <w:tcW w:w="916" w:type="pct"/>
          </w:tcPr>
          <w:p w14:paraId="19D2A21E" w14:textId="77777777" w:rsidR="00DD5D3A" w:rsidRDefault="00DD5D3A" w:rsidP="00874D7C">
            <w:pPr>
              <w:pStyle w:val="BodyText"/>
              <w:jc w:val="right"/>
            </w:pPr>
            <w:r>
              <w:t>6,500</w:t>
            </w:r>
          </w:p>
        </w:tc>
        <w:tc>
          <w:tcPr>
            <w:tcW w:w="916" w:type="pct"/>
          </w:tcPr>
          <w:p w14:paraId="40A20F12" w14:textId="77777777" w:rsidR="00DD5D3A" w:rsidRDefault="00DD5D3A" w:rsidP="00874D7C">
            <w:pPr>
              <w:pStyle w:val="BodyText"/>
              <w:jc w:val="right"/>
            </w:pPr>
            <w:r>
              <w:t>3,300</w:t>
            </w:r>
          </w:p>
        </w:tc>
      </w:tr>
      <w:tr w:rsidR="00DD5D3A" w14:paraId="627F432E" w14:textId="77777777" w:rsidTr="006A0585">
        <w:trPr>
          <w:trHeight w:val="396"/>
        </w:trPr>
        <w:tc>
          <w:tcPr>
            <w:tcW w:w="2252" w:type="pct"/>
          </w:tcPr>
          <w:p w14:paraId="55BA0850" w14:textId="77777777" w:rsidR="00DD5D3A" w:rsidRDefault="00DD5D3A" w:rsidP="00874D7C">
            <w:pPr>
              <w:pStyle w:val="BodyText"/>
            </w:pPr>
            <w:r>
              <w:t>Ex-Carer Allowance (Child) Health Care Card</w:t>
            </w:r>
          </w:p>
        </w:tc>
        <w:tc>
          <w:tcPr>
            <w:tcW w:w="916" w:type="pct"/>
          </w:tcPr>
          <w:p w14:paraId="5CDDC0C6" w14:textId="77777777" w:rsidR="00DD5D3A" w:rsidRDefault="00DD5D3A" w:rsidP="00874D7C">
            <w:pPr>
              <w:pStyle w:val="BodyText"/>
              <w:jc w:val="right"/>
            </w:pPr>
            <w:r>
              <w:t>5,700</w:t>
            </w:r>
          </w:p>
        </w:tc>
        <w:tc>
          <w:tcPr>
            <w:tcW w:w="916" w:type="pct"/>
          </w:tcPr>
          <w:p w14:paraId="4239525B" w14:textId="77777777" w:rsidR="00DD5D3A" w:rsidRDefault="00DD5D3A" w:rsidP="00874D7C">
            <w:pPr>
              <w:pStyle w:val="BodyText"/>
              <w:jc w:val="right"/>
            </w:pPr>
            <w:r>
              <w:t>5,300</w:t>
            </w:r>
          </w:p>
        </w:tc>
        <w:tc>
          <w:tcPr>
            <w:tcW w:w="916" w:type="pct"/>
          </w:tcPr>
          <w:p w14:paraId="2C195283" w14:textId="77777777" w:rsidR="00DD5D3A" w:rsidRDefault="00DD5D3A" w:rsidP="00874D7C">
            <w:pPr>
              <w:pStyle w:val="BodyText"/>
              <w:jc w:val="right"/>
            </w:pPr>
            <w:r>
              <w:t>500</w:t>
            </w:r>
          </w:p>
        </w:tc>
      </w:tr>
      <w:tr w:rsidR="00DD5D3A" w14:paraId="26F42CA6" w14:textId="77777777" w:rsidTr="006A0585">
        <w:trPr>
          <w:trHeight w:val="396"/>
        </w:trPr>
        <w:tc>
          <w:tcPr>
            <w:tcW w:w="2252" w:type="pct"/>
          </w:tcPr>
          <w:p w14:paraId="47412283" w14:textId="77777777" w:rsidR="00DD5D3A" w:rsidRDefault="00DD5D3A" w:rsidP="00874D7C">
            <w:pPr>
              <w:pStyle w:val="BodyText"/>
            </w:pPr>
            <w:r>
              <w:t>Family Tax Benefit</w:t>
            </w:r>
          </w:p>
        </w:tc>
        <w:tc>
          <w:tcPr>
            <w:tcW w:w="916" w:type="pct"/>
          </w:tcPr>
          <w:p w14:paraId="28D5DD86" w14:textId="77777777" w:rsidR="00DD5D3A" w:rsidRDefault="00DD5D3A" w:rsidP="00874D7C">
            <w:pPr>
              <w:pStyle w:val="BodyText"/>
              <w:jc w:val="right"/>
            </w:pPr>
            <w:r>
              <w:t>428,000</w:t>
            </w:r>
          </w:p>
        </w:tc>
        <w:tc>
          <w:tcPr>
            <w:tcW w:w="916" w:type="pct"/>
          </w:tcPr>
          <w:p w14:paraId="2FA020AB" w14:textId="77777777" w:rsidR="00DD5D3A" w:rsidRDefault="00DD5D3A" w:rsidP="00874D7C">
            <w:pPr>
              <w:pStyle w:val="BodyText"/>
              <w:jc w:val="right"/>
            </w:pPr>
            <w:r>
              <w:t>304,000</w:t>
            </w:r>
          </w:p>
        </w:tc>
        <w:tc>
          <w:tcPr>
            <w:tcW w:w="916" w:type="pct"/>
          </w:tcPr>
          <w:p w14:paraId="2D12026F" w14:textId="77777777" w:rsidR="00DD5D3A" w:rsidRDefault="00DD5D3A" w:rsidP="00874D7C">
            <w:pPr>
              <w:pStyle w:val="BodyText"/>
              <w:jc w:val="right"/>
            </w:pPr>
            <w:r>
              <w:t>124,000</w:t>
            </w:r>
          </w:p>
        </w:tc>
      </w:tr>
      <w:tr w:rsidR="00DD5D3A" w14:paraId="5731A7F0" w14:textId="77777777" w:rsidTr="006A0585">
        <w:trPr>
          <w:trHeight w:val="396"/>
        </w:trPr>
        <w:tc>
          <w:tcPr>
            <w:tcW w:w="2252" w:type="pct"/>
          </w:tcPr>
          <w:p w14:paraId="0061AB5C" w14:textId="77777777" w:rsidR="00DD5D3A" w:rsidRDefault="00DD5D3A" w:rsidP="00874D7C">
            <w:pPr>
              <w:pStyle w:val="BodyText"/>
            </w:pPr>
            <w:r>
              <w:t>Fares Allowance</w:t>
            </w:r>
          </w:p>
        </w:tc>
        <w:tc>
          <w:tcPr>
            <w:tcW w:w="916" w:type="pct"/>
          </w:tcPr>
          <w:p w14:paraId="3DF78DBD" w14:textId="77777777" w:rsidR="00DD5D3A" w:rsidRDefault="00DD5D3A" w:rsidP="00874D7C">
            <w:pPr>
              <w:pStyle w:val="BodyText"/>
              <w:jc w:val="right"/>
            </w:pPr>
            <w:r>
              <w:t>2,600</w:t>
            </w:r>
          </w:p>
        </w:tc>
        <w:tc>
          <w:tcPr>
            <w:tcW w:w="916" w:type="pct"/>
          </w:tcPr>
          <w:p w14:paraId="5D0550AB" w14:textId="77777777" w:rsidR="00DD5D3A" w:rsidRDefault="00DD5D3A" w:rsidP="00874D7C">
            <w:pPr>
              <w:pStyle w:val="BodyText"/>
              <w:jc w:val="right"/>
            </w:pPr>
            <w:r>
              <w:t>1,200</w:t>
            </w:r>
          </w:p>
        </w:tc>
        <w:tc>
          <w:tcPr>
            <w:tcW w:w="916" w:type="pct"/>
          </w:tcPr>
          <w:p w14:paraId="2FF4A383" w14:textId="77777777" w:rsidR="00DD5D3A" w:rsidRDefault="00DD5D3A" w:rsidP="00874D7C">
            <w:pPr>
              <w:pStyle w:val="BodyText"/>
              <w:jc w:val="right"/>
            </w:pPr>
            <w:r>
              <w:t>1,100</w:t>
            </w:r>
          </w:p>
        </w:tc>
      </w:tr>
      <w:tr w:rsidR="00DD5D3A" w14:paraId="323E55F1" w14:textId="77777777" w:rsidTr="006A0585">
        <w:trPr>
          <w:trHeight w:val="396"/>
        </w:trPr>
        <w:tc>
          <w:tcPr>
            <w:tcW w:w="2252" w:type="pct"/>
          </w:tcPr>
          <w:p w14:paraId="270489BE" w14:textId="77777777" w:rsidR="00DD5D3A" w:rsidRDefault="00DD5D3A" w:rsidP="00874D7C">
            <w:pPr>
              <w:pStyle w:val="BodyText"/>
            </w:pPr>
            <w:r>
              <w:t>Farm Household Allowance</w:t>
            </w:r>
          </w:p>
        </w:tc>
        <w:tc>
          <w:tcPr>
            <w:tcW w:w="916" w:type="pct"/>
          </w:tcPr>
          <w:p w14:paraId="7424F28C" w14:textId="77777777" w:rsidR="00DD5D3A" w:rsidRDefault="00DD5D3A" w:rsidP="00874D7C">
            <w:pPr>
              <w:pStyle w:val="BodyText"/>
              <w:jc w:val="right"/>
            </w:pPr>
            <w:r>
              <w:t>2,900</w:t>
            </w:r>
          </w:p>
        </w:tc>
        <w:tc>
          <w:tcPr>
            <w:tcW w:w="916" w:type="pct"/>
          </w:tcPr>
          <w:p w14:paraId="4879CB5C" w14:textId="77777777" w:rsidR="00DD5D3A" w:rsidRDefault="00DD5D3A" w:rsidP="00874D7C">
            <w:pPr>
              <w:pStyle w:val="BodyText"/>
              <w:jc w:val="right"/>
            </w:pPr>
            <w:r>
              <w:t>1,600</w:t>
            </w:r>
          </w:p>
        </w:tc>
        <w:tc>
          <w:tcPr>
            <w:tcW w:w="916" w:type="pct"/>
          </w:tcPr>
          <w:p w14:paraId="037B74D9" w14:textId="77777777" w:rsidR="00DD5D3A" w:rsidRDefault="00DD5D3A" w:rsidP="00874D7C">
            <w:pPr>
              <w:pStyle w:val="BodyText"/>
              <w:jc w:val="right"/>
            </w:pPr>
            <w:r>
              <w:t>1,300</w:t>
            </w:r>
          </w:p>
        </w:tc>
      </w:tr>
      <w:tr w:rsidR="00DD5D3A" w14:paraId="6F9F3717" w14:textId="77777777" w:rsidTr="006A0585">
        <w:trPr>
          <w:trHeight w:val="396"/>
        </w:trPr>
        <w:tc>
          <w:tcPr>
            <w:tcW w:w="2252" w:type="pct"/>
          </w:tcPr>
          <w:p w14:paraId="1C73BF5E" w14:textId="77777777" w:rsidR="00DD5D3A" w:rsidRDefault="00DD5D3A" w:rsidP="00874D7C">
            <w:pPr>
              <w:pStyle w:val="BodyText"/>
            </w:pPr>
            <w:r>
              <w:t>Foster Child Health Care Card</w:t>
            </w:r>
          </w:p>
        </w:tc>
        <w:tc>
          <w:tcPr>
            <w:tcW w:w="916" w:type="pct"/>
          </w:tcPr>
          <w:p w14:paraId="1F813132" w14:textId="77777777" w:rsidR="00DD5D3A" w:rsidRDefault="00DD5D3A" w:rsidP="00874D7C">
            <w:pPr>
              <w:pStyle w:val="BodyText"/>
              <w:jc w:val="right"/>
            </w:pPr>
            <w:r>
              <w:t>1,300</w:t>
            </w:r>
          </w:p>
        </w:tc>
        <w:tc>
          <w:tcPr>
            <w:tcW w:w="916" w:type="pct"/>
          </w:tcPr>
          <w:p w14:paraId="3A491FE9" w14:textId="77777777" w:rsidR="00DD5D3A" w:rsidRDefault="00DD5D3A" w:rsidP="00874D7C">
            <w:pPr>
              <w:pStyle w:val="BodyText"/>
              <w:jc w:val="right"/>
            </w:pPr>
            <w:r>
              <w:t>1,100</w:t>
            </w:r>
          </w:p>
        </w:tc>
        <w:tc>
          <w:tcPr>
            <w:tcW w:w="916" w:type="pct"/>
          </w:tcPr>
          <w:p w14:paraId="2259F1D5" w14:textId="77777777" w:rsidR="00DD5D3A" w:rsidRDefault="00DD5D3A" w:rsidP="00874D7C">
            <w:pPr>
              <w:pStyle w:val="BodyText"/>
              <w:jc w:val="right"/>
            </w:pPr>
            <w:r>
              <w:t>200</w:t>
            </w:r>
          </w:p>
        </w:tc>
      </w:tr>
      <w:tr w:rsidR="00DD5D3A" w14:paraId="6DB196B7" w14:textId="77777777" w:rsidTr="006A0585">
        <w:trPr>
          <w:trHeight w:val="396"/>
        </w:trPr>
        <w:tc>
          <w:tcPr>
            <w:tcW w:w="2252" w:type="pct"/>
          </w:tcPr>
          <w:p w14:paraId="4A116ED5" w14:textId="77777777" w:rsidR="00DD5D3A" w:rsidRDefault="00DD5D3A" w:rsidP="00874D7C">
            <w:pPr>
              <w:pStyle w:val="BodyText"/>
            </w:pPr>
            <w:r>
              <w:t>Home Equity Access Scheme</w:t>
            </w:r>
          </w:p>
        </w:tc>
        <w:tc>
          <w:tcPr>
            <w:tcW w:w="916" w:type="pct"/>
          </w:tcPr>
          <w:p w14:paraId="19D5B66D" w14:textId="77777777" w:rsidR="00DD5D3A" w:rsidRDefault="00DD5D3A" w:rsidP="00874D7C">
            <w:pPr>
              <w:pStyle w:val="BodyText"/>
              <w:jc w:val="right"/>
            </w:pPr>
            <w:r>
              <w:t>6,200</w:t>
            </w:r>
          </w:p>
        </w:tc>
        <w:tc>
          <w:tcPr>
            <w:tcW w:w="916" w:type="pct"/>
          </w:tcPr>
          <w:p w14:paraId="36C42D4B" w14:textId="77777777" w:rsidR="00DD5D3A" w:rsidRDefault="00DD5D3A" w:rsidP="00874D7C">
            <w:pPr>
              <w:pStyle w:val="BodyText"/>
              <w:jc w:val="right"/>
            </w:pPr>
            <w:r>
              <w:t>5,000</w:t>
            </w:r>
          </w:p>
        </w:tc>
        <w:tc>
          <w:tcPr>
            <w:tcW w:w="916" w:type="pct"/>
          </w:tcPr>
          <w:p w14:paraId="1F0A6AD8" w14:textId="77777777" w:rsidR="00DD5D3A" w:rsidRDefault="00DD5D3A" w:rsidP="00874D7C">
            <w:pPr>
              <w:pStyle w:val="BodyText"/>
              <w:jc w:val="right"/>
            </w:pPr>
            <w:r>
              <w:t>1,100</w:t>
            </w:r>
          </w:p>
        </w:tc>
      </w:tr>
      <w:tr w:rsidR="00DD5D3A" w14:paraId="4DF79FDC" w14:textId="77777777" w:rsidTr="006A0585">
        <w:trPr>
          <w:trHeight w:val="396"/>
        </w:trPr>
        <w:tc>
          <w:tcPr>
            <w:tcW w:w="2252" w:type="pct"/>
          </w:tcPr>
          <w:p w14:paraId="50EFD7CD" w14:textId="77777777" w:rsidR="00DD5D3A" w:rsidRDefault="00DD5D3A" w:rsidP="00874D7C">
            <w:pPr>
              <w:pStyle w:val="BodyText"/>
            </w:pPr>
            <w:r>
              <w:t>JobSeeker Payment</w:t>
            </w:r>
          </w:p>
        </w:tc>
        <w:tc>
          <w:tcPr>
            <w:tcW w:w="916" w:type="pct"/>
          </w:tcPr>
          <w:p w14:paraId="1C36ADEA" w14:textId="77777777" w:rsidR="00DD5D3A" w:rsidRDefault="00DD5D3A" w:rsidP="00874D7C">
            <w:pPr>
              <w:pStyle w:val="BodyText"/>
              <w:jc w:val="right"/>
            </w:pPr>
            <w:r>
              <w:t>541,000</w:t>
            </w:r>
          </w:p>
        </w:tc>
        <w:tc>
          <w:tcPr>
            <w:tcW w:w="916" w:type="pct"/>
          </w:tcPr>
          <w:p w14:paraId="78BAA6B2" w14:textId="77777777" w:rsidR="00DD5D3A" w:rsidRDefault="00DD5D3A" w:rsidP="00874D7C">
            <w:pPr>
              <w:pStyle w:val="BodyText"/>
              <w:jc w:val="right"/>
            </w:pPr>
            <w:r>
              <w:t>471,000</w:t>
            </w:r>
          </w:p>
        </w:tc>
        <w:tc>
          <w:tcPr>
            <w:tcW w:w="916" w:type="pct"/>
          </w:tcPr>
          <w:p w14:paraId="2B99FFD0" w14:textId="77777777" w:rsidR="00DD5D3A" w:rsidRDefault="00DD5D3A" w:rsidP="00874D7C">
            <w:pPr>
              <w:pStyle w:val="BodyText"/>
              <w:jc w:val="right"/>
            </w:pPr>
            <w:r>
              <w:t xml:space="preserve">70,300 </w:t>
            </w:r>
          </w:p>
        </w:tc>
      </w:tr>
      <w:tr w:rsidR="00DD5D3A" w14:paraId="4ACC74C5" w14:textId="77777777" w:rsidTr="006A0585">
        <w:trPr>
          <w:trHeight w:val="396"/>
        </w:trPr>
        <w:tc>
          <w:tcPr>
            <w:tcW w:w="2252" w:type="pct"/>
          </w:tcPr>
          <w:p w14:paraId="2FBC97D6" w14:textId="77777777" w:rsidR="00DD5D3A" w:rsidRDefault="00DD5D3A" w:rsidP="00874D7C">
            <w:pPr>
              <w:pStyle w:val="BodyText"/>
            </w:pPr>
            <w:r>
              <w:t>Low Income Card</w:t>
            </w:r>
          </w:p>
        </w:tc>
        <w:tc>
          <w:tcPr>
            <w:tcW w:w="916" w:type="pct"/>
          </w:tcPr>
          <w:p w14:paraId="7119A935" w14:textId="77777777" w:rsidR="00DD5D3A" w:rsidRDefault="00DD5D3A" w:rsidP="00874D7C">
            <w:pPr>
              <w:pStyle w:val="BodyText"/>
              <w:jc w:val="right"/>
            </w:pPr>
            <w:r>
              <w:t>131,000</w:t>
            </w:r>
          </w:p>
        </w:tc>
        <w:tc>
          <w:tcPr>
            <w:tcW w:w="916" w:type="pct"/>
          </w:tcPr>
          <w:p w14:paraId="007D4680" w14:textId="77777777" w:rsidR="00DD5D3A" w:rsidRDefault="00DD5D3A" w:rsidP="00874D7C">
            <w:pPr>
              <w:pStyle w:val="BodyText"/>
              <w:jc w:val="right"/>
            </w:pPr>
            <w:r>
              <w:t>95,800</w:t>
            </w:r>
          </w:p>
        </w:tc>
        <w:tc>
          <w:tcPr>
            <w:tcW w:w="916" w:type="pct"/>
          </w:tcPr>
          <w:p w14:paraId="610653DF" w14:textId="77777777" w:rsidR="00DD5D3A" w:rsidRDefault="00DD5D3A" w:rsidP="00874D7C">
            <w:pPr>
              <w:pStyle w:val="BodyText"/>
              <w:jc w:val="right"/>
            </w:pPr>
            <w:r>
              <w:t>35,200</w:t>
            </w:r>
          </w:p>
        </w:tc>
      </w:tr>
      <w:tr w:rsidR="00DD5D3A" w14:paraId="01A5B727" w14:textId="77777777" w:rsidTr="006A0585">
        <w:trPr>
          <w:trHeight w:val="396"/>
        </w:trPr>
        <w:tc>
          <w:tcPr>
            <w:tcW w:w="2252" w:type="pct"/>
          </w:tcPr>
          <w:p w14:paraId="20A877F2" w14:textId="77777777" w:rsidR="00DD5D3A" w:rsidRDefault="00DD5D3A" w:rsidP="00874D7C">
            <w:pPr>
              <w:pStyle w:val="BodyText"/>
            </w:pPr>
            <w:r>
              <w:t>Mobility Allowance</w:t>
            </w:r>
          </w:p>
        </w:tc>
        <w:tc>
          <w:tcPr>
            <w:tcW w:w="916" w:type="pct"/>
          </w:tcPr>
          <w:p w14:paraId="7A0E323D" w14:textId="77777777" w:rsidR="00DD5D3A" w:rsidRDefault="00DD5D3A" w:rsidP="00874D7C">
            <w:pPr>
              <w:pStyle w:val="BodyText"/>
              <w:jc w:val="right"/>
            </w:pPr>
            <w:r>
              <w:t>8,100</w:t>
            </w:r>
          </w:p>
        </w:tc>
        <w:tc>
          <w:tcPr>
            <w:tcW w:w="916" w:type="pct"/>
          </w:tcPr>
          <w:p w14:paraId="0DAA3843" w14:textId="77777777" w:rsidR="00DD5D3A" w:rsidRDefault="00DD5D3A" w:rsidP="00874D7C">
            <w:pPr>
              <w:pStyle w:val="BodyText"/>
              <w:jc w:val="right"/>
            </w:pPr>
            <w:r>
              <w:t>1,200</w:t>
            </w:r>
          </w:p>
        </w:tc>
        <w:tc>
          <w:tcPr>
            <w:tcW w:w="916" w:type="pct"/>
          </w:tcPr>
          <w:p w14:paraId="563D1D9B" w14:textId="77777777" w:rsidR="00DD5D3A" w:rsidRDefault="00DD5D3A" w:rsidP="00874D7C">
            <w:pPr>
              <w:pStyle w:val="BodyText"/>
              <w:jc w:val="right"/>
            </w:pPr>
            <w:r>
              <w:t>6,900</w:t>
            </w:r>
          </w:p>
        </w:tc>
      </w:tr>
      <w:tr w:rsidR="00DD5D3A" w14:paraId="039C52FF" w14:textId="77777777" w:rsidTr="006A0585">
        <w:trPr>
          <w:trHeight w:val="396"/>
        </w:trPr>
        <w:tc>
          <w:tcPr>
            <w:tcW w:w="2252" w:type="pct"/>
          </w:tcPr>
          <w:p w14:paraId="4D6FFF9A" w14:textId="77777777" w:rsidR="00DD5D3A" w:rsidRDefault="00DD5D3A" w:rsidP="00874D7C">
            <w:pPr>
              <w:pStyle w:val="BodyText"/>
            </w:pPr>
            <w:r>
              <w:t>Parental Leave Pay</w:t>
            </w:r>
          </w:p>
        </w:tc>
        <w:tc>
          <w:tcPr>
            <w:tcW w:w="916" w:type="pct"/>
          </w:tcPr>
          <w:p w14:paraId="5CAD85C5" w14:textId="77777777" w:rsidR="00DD5D3A" w:rsidRDefault="00DD5D3A" w:rsidP="00874D7C">
            <w:pPr>
              <w:pStyle w:val="BodyText"/>
              <w:jc w:val="right"/>
            </w:pPr>
            <w:r>
              <w:t>421,000</w:t>
            </w:r>
          </w:p>
        </w:tc>
        <w:tc>
          <w:tcPr>
            <w:tcW w:w="916" w:type="pct"/>
          </w:tcPr>
          <w:p w14:paraId="07F1BF2C" w14:textId="77777777" w:rsidR="00DD5D3A" w:rsidRDefault="00DD5D3A" w:rsidP="00874D7C">
            <w:pPr>
              <w:pStyle w:val="BodyText"/>
              <w:jc w:val="right"/>
            </w:pPr>
            <w:r>
              <w:t>391,000</w:t>
            </w:r>
          </w:p>
        </w:tc>
        <w:tc>
          <w:tcPr>
            <w:tcW w:w="916" w:type="pct"/>
          </w:tcPr>
          <w:p w14:paraId="603F9DF9" w14:textId="77777777" w:rsidR="00DD5D3A" w:rsidRDefault="00DD5D3A" w:rsidP="00874D7C">
            <w:pPr>
              <w:pStyle w:val="BodyText"/>
              <w:jc w:val="right"/>
            </w:pPr>
            <w:r>
              <w:t>30,700</w:t>
            </w:r>
          </w:p>
        </w:tc>
      </w:tr>
      <w:tr w:rsidR="00DD5D3A" w14:paraId="3546AFA9" w14:textId="77777777" w:rsidTr="006A0585">
        <w:trPr>
          <w:trHeight w:val="396"/>
        </w:trPr>
        <w:tc>
          <w:tcPr>
            <w:tcW w:w="2252" w:type="pct"/>
          </w:tcPr>
          <w:p w14:paraId="1F28A594" w14:textId="77777777" w:rsidR="00DD5D3A" w:rsidRDefault="00DD5D3A" w:rsidP="00874D7C">
            <w:pPr>
              <w:pStyle w:val="BodyText"/>
            </w:pPr>
            <w:r>
              <w:t>Parenting Payment</w:t>
            </w:r>
          </w:p>
        </w:tc>
        <w:tc>
          <w:tcPr>
            <w:tcW w:w="916" w:type="pct"/>
          </w:tcPr>
          <w:p w14:paraId="7564E74B" w14:textId="77777777" w:rsidR="00DD5D3A" w:rsidRDefault="00DD5D3A" w:rsidP="00874D7C">
            <w:pPr>
              <w:pStyle w:val="BodyText"/>
              <w:jc w:val="right"/>
            </w:pPr>
            <w:r>
              <w:t>136,000</w:t>
            </w:r>
          </w:p>
        </w:tc>
        <w:tc>
          <w:tcPr>
            <w:tcW w:w="916" w:type="pct"/>
          </w:tcPr>
          <w:p w14:paraId="3B0A21DB" w14:textId="77777777" w:rsidR="00DD5D3A" w:rsidRDefault="00DD5D3A" w:rsidP="00874D7C">
            <w:pPr>
              <w:pStyle w:val="BodyText"/>
              <w:jc w:val="right"/>
            </w:pPr>
            <w:r>
              <w:t>94,900</w:t>
            </w:r>
          </w:p>
        </w:tc>
        <w:tc>
          <w:tcPr>
            <w:tcW w:w="916" w:type="pct"/>
          </w:tcPr>
          <w:p w14:paraId="0EC1A0E8" w14:textId="77777777" w:rsidR="00DD5D3A" w:rsidRDefault="00DD5D3A" w:rsidP="00874D7C">
            <w:pPr>
              <w:pStyle w:val="BodyText"/>
              <w:jc w:val="right"/>
            </w:pPr>
            <w:r>
              <w:t>41,400</w:t>
            </w:r>
          </w:p>
        </w:tc>
      </w:tr>
      <w:tr w:rsidR="00DD5D3A" w14:paraId="26724AC3" w14:textId="77777777" w:rsidTr="006A0585">
        <w:trPr>
          <w:trHeight w:val="396"/>
        </w:trPr>
        <w:tc>
          <w:tcPr>
            <w:tcW w:w="2252" w:type="pct"/>
          </w:tcPr>
          <w:p w14:paraId="73CDB5E4" w14:textId="77777777" w:rsidR="00DD5D3A" w:rsidRDefault="00DD5D3A" w:rsidP="00874D7C">
            <w:pPr>
              <w:pStyle w:val="BodyText"/>
            </w:pPr>
            <w:r>
              <w:lastRenderedPageBreak/>
              <w:t>Pensioner Education Supplement</w:t>
            </w:r>
          </w:p>
        </w:tc>
        <w:tc>
          <w:tcPr>
            <w:tcW w:w="916" w:type="pct"/>
          </w:tcPr>
          <w:p w14:paraId="35C7E151" w14:textId="77777777" w:rsidR="00DD5D3A" w:rsidRDefault="00DD5D3A" w:rsidP="00874D7C">
            <w:pPr>
              <w:pStyle w:val="BodyText"/>
              <w:jc w:val="right"/>
            </w:pPr>
            <w:r>
              <w:t>27,800</w:t>
            </w:r>
          </w:p>
        </w:tc>
        <w:tc>
          <w:tcPr>
            <w:tcW w:w="916" w:type="pct"/>
          </w:tcPr>
          <w:p w14:paraId="501BB312" w14:textId="77777777" w:rsidR="00DD5D3A" w:rsidRDefault="00DD5D3A" w:rsidP="00874D7C">
            <w:pPr>
              <w:pStyle w:val="BodyText"/>
              <w:jc w:val="right"/>
            </w:pPr>
            <w:r>
              <w:t>19,800</w:t>
            </w:r>
          </w:p>
        </w:tc>
        <w:tc>
          <w:tcPr>
            <w:tcW w:w="916" w:type="pct"/>
          </w:tcPr>
          <w:p w14:paraId="51B1A0CA" w14:textId="77777777" w:rsidR="00DD5D3A" w:rsidRDefault="00DD5D3A" w:rsidP="00874D7C">
            <w:pPr>
              <w:pStyle w:val="BodyText"/>
              <w:jc w:val="right"/>
            </w:pPr>
            <w:r>
              <w:t xml:space="preserve">8,100 </w:t>
            </w:r>
          </w:p>
        </w:tc>
      </w:tr>
      <w:tr w:rsidR="00DD5D3A" w14:paraId="5AD6581B" w14:textId="77777777" w:rsidTr="006A0585">
        <w:trPr>
          <w:trHeight w:val="396"/>
        </w:trPr>
        <w:tc>
          <w:tcPr>
            <w:tcW w:w="2252" w:type="pct"/>
          </w:tcPr>
          <w:p w14:paraId="09AAEB77" w14:textId="77777777" w:rsidR="00DD5D3A" w:rsidRDefault="00DD5D3A" w:rsidP="00874D7C">
            <w:pPr>
              <w:pStyle w:val="BodyText"/>
            </w:pPr>
            <w:r>
              <w:t>Seniors Health Card</w:t>
            </w:r>
          </w:p>
        </w:tc>
        <w:tc>
          <w:tcPr>
            <w:tcW w:w="916" w:type="pct"/>
          </w:tcPr>
          <w:p w14:paraId="7D17F8C9" w14:textId="77777777" w:rsidR="00DD5D3A" w:rsidRDefault="00DD5D3A" w:rsidP="00874D7C">
            <w:pPr>
              <w:pStyle w:val="BodyText"/>
              <w:jc w:val="right"/>
            </w:pPr>
            <w:r>
              <w:t>81,200</w:t>
            </w:r>
          </w:p>
        </w:tc>
        <w:tc>
          <w:tcPr>
            <w:tcW w:w="916" w:type="pct"/>
          </w:tcPr>
          <w:p w14:paraId="1BB03EF1" w14:textId="77777777" w:rsidR="00DD5D3A" w:rsidRDefault="00DD5D3A" w:rsidP="00874D7C">
            <w:pPr>
              <w:pStyle w:val="BodyText"/>
              <w:jc w:val="right"/>
            </w:pPr>
            <w:r>
              <w:t>70,100</w:t>
            </w:r>
          </w:p>
        </w:tc>
        <w:tc>
          <w:tcPr>
            <w:tcW w:w="916" w:type="pct"/>
          </w:tcPr>
          <w:p w14:paraId="536B6A35" w14:textId="77777777" w:rsidR="00DD5D3A" w:rsidRDefault="00DD5D3A" w:rsidP="00874D7C">
            <w:pPr>
              <w:pStyle w:val="BodyText"/>
              <w:jc w:val="right"/>
            </w:pPr>
            <w:r>
              <w:t>11,100</w:t>
            </w:r>
          </w:p>
        </w:tc>
      </w:tr>
      <w:tr w:rsidR="00DD5D3A" w14:paraId="67675F78" w14:textId="77777777" w:rsidTr="006A0585">
        <w:trPr>
          <w:trHeight w:val="396"/>
        </w:trPr>
        <w:tc>
          <w:tcPr>
            <w:tcW w:w="2252" w:type="pct"/>
          </w:tcPr>
          <w:p w14:paraId="6BFEF061" w14:textId="77777777" w:rsidR="00DD5D3A" w:rsidRDefault="00DD5D3A" w:rsidP="00874D7C">
            <w:pPr>
              <w:pStyle w:val="BodyText"/>
            </w:pPr>
            <w:r>
              <w:t>Special Benefit</w:t>
            </w:r>
          </w:p>
        </w:tc>
        <w:tc>
          <w:tcPr>
            <w:tcW w:w="916" w:type="pct"/>
          </w:tcPr>
          <w:p w14:paraId="2E589AA5" w14:textId="77777777" w:rsidR="00DD5D3A" w:rsidRDefault="00DD5D3A" w:rsidP="00874D7C">
            <w:pPr>
              <w:pStyle w:val="BodyText"/>
              <w:jc w:val="right"/>
            </w:pPr>
            <w:r>
              <w:t>13,800</w:t>
            </w:r>
          </w:p>
        </w:tc>
        <w:tc>
          <w:tcPr>
            <w:tcW w:w="916" w:type="pct"/>
          </w:tcPr>
          <w:p w14:paraId="18318AE1" w14:textId="77777777" w:rsidR="00DD5D3A" w:rsidRDefault="00DD5D3A" w:rsidP="00874D7C">
            <w:pPr>
              <w:pStyle w:val="BodyText"/>
              <w:jc w:val="right"/>
            </w:pPr>
            <w:r>
              <w:t>4,400</w:t>
            </w:r>
          </w:p>
        </w:tc>
        <w:tc>
          <w:tcPr>
            <w:tcW w:w="916" w:type="pct"/>
          </w:tcPr>
          <w:p w14:paraId="3FA99289" w14:textId="77777777" w:rsidR="00DD5D3A" w:rsidRDefault="00DD5D3A" w:rsidP="00874D7C">
            <w:pPr>
              <w:pStyle w:val="BodyText"/>
              <w:jc w:val="right"/>
            </w:pPr>
            <w:r>
              <w:t>9,400</w:t>
            </w:r>
          </w:p>
        </w:tc>
      </w:tr>
      <w:tr w:rsidR="00DD5D3A" w14:paraId="7A788D52" w14:textId="77777777" w:rsidTr="006A0585">
        <w:trPr>
          <w:trHeight w:val="396"/>
        </w:trPr>
        <w:tc>
          <w:tcPr>
            <w:tcW w:w="2252" w:type="pct"/>
          </w:tcPr>
          <w:p w14:paraId="03C6664C" w14:textId="77777777" w:rsidR="00DD5D3A" w:rsidRDefault="00DD5D3A" w:rsidP="00874D7C">
            <w:pPr>
              <w:pStyle w:val="BodyText"/>
            </w:pPr>
            <w:r>
              <w:t>Status Resolution Support Services</w:t>
            </w:r>
          </w:p>
        </w:tc>
        <w:tc>
          <w:tcPr>
            <w:tcW w:w="916" w:type="pct"/>
          </w:tcPr>
          <w:p w14:paraId="6D4F3411" w14:textId="77777777" w:rsidR="00DD5D3A" w:rsidRDefault="00DD5D3A" w:rsidP="00874D7C">
            <w:pPr>
              <w:pStyle w:val="BodyText"/>
              <w:jc w:val="right"/>
            </w:pPr>
            <w:r>
              <w:t>700</w:t>
            </w:r>
          </w:p>
        </w:tc>
        <w:tc>
          <w:tcPr>
            <w:tcW w:w="916" w:type="pct"/>
          </w:tcPr>
          <w:p w14:paraId="128D74CD" w14:textId="77777777" w:rsidR="00DD5D3A" w:rsidRDefault="00DD5D3A" w:rsidP="00874D7C">
            <w:pPr>
              <w:pStyle w:val="BodyText"/>
              <w:jc w:val="right"/>
            </w:pPr>
            <w:r>
              <w:t>600</w:t>
            </w:r>
          </w:p>
        </w:tc>
        <w:tc>
          <w:tcPr>
            <w:tcW w:w="916" w:type="pct"/>
          </w:tcPr>
          <w:p w14:paraId="57C6A36E" w14:textId="77777777" w:rsidR="00DD5D3A" w:rsidRDefault="00DD5D3A" w:rsidP="00874D7C">
            <w:pPr>
              <w:pStyle w:val="BodyText"/>
              <w:jc w:val="right"/>
            </w:pPr>
            <w:r>
              <w:t xml:space="preserve">43 </w:t>
            </w:r>
          </w:p>
        </w:tc>
      </w:tr>
      <w:tr w:rsidR="00DD5D3A" w14:paraId="7311693A" w14:textId="77777777" w:rsidTr="006A0585">
        <w:trPr>
          <w:trHeight w:val="396"/>
        </w:trPr>
        <w:tc>
          <w:tcPr>
            <w:tcW w:w="2252" w:type="pct"/>
          </w:tcPr>
          <w:p w14:paraId="7DD2853C" w14:textId="77777777" w:rsidR="00DD5D3A" w:rsidRDefault="00DD5D3A" w:rsidP="00874D7C">
            <w:pPr>
              <w:pStyle w:val="BodyText"/>
            </w:pPr>
            <w:r>
              <w:t>Stillborn Baby Payment</w:t>
            </w:r>
          </w:p>
        </w:tc>
        <w:tc>
          <w:tcPr>
            <w:tcW w:w="916" w:type="pct"/>
          </w:tcPr>
          <w:p w14:paraId="104E5825" w14:textId="77777777" w:rsidR="00DD5D3A" w:rsidRDefault="00DD5D3A" w:rsidP="00874D7C">
            <w:pPr>
              <w:pStyle w:val="BodyText"/>
              <w:jc w:val="right"/>
            </w:pPr>
            <w:r>
              <w:t>1,600</w:t>
            </w:r>
          </w:p>
        </w:tc>
        <w:tc>
          <w:tcPr>
            <w:tcW w:w="916" w:type="pct"/>
          </w:tcPr>
          <w:p w14:paraId="289834F9" w14:textId="77777777" w:rsidR="00DD5D3A" w:rsidRDefault="00DD5D3A" w:rsidP="00874D7C">
            <w:pPr>
              <w:pStyle w:val="BodyText"/>
              <w:jc w:val="right"/>
            </w:pPr>
            <w:r>
              <w:t>1,100</w:t>
            </w:r>
          </w:p>
        </w:tc>
        <w:tc>
          <w:tcPr>
            <w:tcW w:w="916" w:type="pct"/>
          </w:tcPr>
          <w:p w14:paraId="7234EA67" w14:textId="77777777" w:rsidR="00DD5D3A" w:rsidRDefault="00DD5D3A" w:rsidP="00874D7C">
            <w:pPr>
              <w:pStyle w:val="BodyText"/>
              <w:jc w:val="right"/>
            </w:pPr>
            <w:r>
              <w:t>500</w:t>
            </w:r>
          </w:p>
        </w:tc>
      </w:tr>
      <w:tr w:rsidR="00DD5D3A" w14:paraId="187B3526" w14:textId="77777777" w:rsidTr="006A0585">
        <w:trPr>
          <w:trHeight w:val="396"/>
        </w:trPr>
        <w:tc>
          <w:tcPr>
            <w:tcW w:w="2252" w:type="pct"/>
          </w:tcPr>
          <w:p w14:paraId="7DFEC0FD" w14:textId="77777777" w:rsidR="00DD5D3A" w:rsidRDefault="00DD5D3A" w:rsidP="00874D7C">
            <w:pPr>
              <w:pStyle w:val="BodyText"/>
            </w:pPr>
            <w:r>
              <w:t>Tertiary Access Payment</w:t>
            </w:r>
          </w:p>
        </w:tc>
        <w:tc>
          <w:tcPr>
            <w:tcW w:w="916" w:type="pct"/>
          </w:tcPr>
          <w:p w14:paraId="313EB1E8" w14:textId="77777777" w:rsidR="00DD5D3A" w:rsidRDefault="00DD5D3A" w:rsidP="00874D7C">
            <w:pPr>
              <w:pStyle w:val="BodyText"/>
              <w:jc w:val="right"/>
            </w:pPr>
            <w:r>
              <w:t>8,600</w:t>
            </w:r>
          </w:p>
        </w:tc>
        <w:tc>
          <w:tcPr>
            <w:tcW w:w="916" w:type="pct"/>
          </w:tcPr>
          <w:p w14:paraId="4D3BDED5" w14:textId="77777777" w:rsidR="00DD5D3A" w:rsidRDefault="00DD5D3A" w:rsidP="00874D7C">
            <w:pPr>
              <w:pStyle w:val="BodyText"/>
              <w:jc w:val="right"/>
            </w:pPr>
            <w:r>
              <w:t>3,800</w:t>
            </w:r>
          </w:p>
        </w:tc>
        <w:tc>
          <w:tcPr>
            <w:tcW w:w="916" w:type="pct"/>
          </w:tcPr>
          <w:p w14:paraId="0CE06B25" w14:textId="77777777" w:rsidR="00DD5D3A" w:rsidRDefault="00DD5D3A" w:rsidP="00874D7C">
            <w:pPr>
              <w:pStyle w:val="BodyText"/>
              <w:jc w:val="right"/>
            </w:pPr>
            <w:r>
              <w:t>4,700</w:t>
            </w:r>
          </w:p>
        </w:tc>
      </w:tr>
      <w:tr w:rsidR="00DD5D3A" w14:paraId="1DDE4090" w14:textId="77777777" w:rsidTr="006A0585">
        <w:trPr>
          <w:trHeight w:val="396"/>
        </w:trPr>
        <w:tc>
          <w:tcPr>
            <w:tcW w:w="2252" w:type="pct"/>
          </w:tcPr>
          <w:p w14:paraId="49B2A9F4" w14:textId="77777777" w:rsidR="00DD5D3A" w:rsidRDefault="00DD5D3A" w:rsidP="00874D7C">
            <w:pPr>
              <w:pStyle w:val="BodyText"/>
            </w:pPr>
            <w:r>
              <w:t>Youth Allowance for job seekers</w:t>
            </w:r>
          </w:p>
        </w:tc>
        <w:tc>
          <w:tcPr>
            <w:tcW w:w="916" w:type="pct"/>
          </w:tcPr>
          <w:p w14:paraId="662EC37D" w14:textId="77777777" w:rsidR="00DD5D3A" w:rsidRDefault="00DD5D3A" w:rsidP="00874D7C">
            <w:pPr>
              <w:pStyle w:val="BodyText"/>
              <w:jc w:val="right"/>
            </w:pPr>
            <w:r>
              <w:t>97,600</w:t>
            </w:r>
          </w:p>
        </w:tc>
        <w:tc>
          <w:tcPr>
            <w:tcW w:w="916" w:type="pct"/>
          </w:tcPr>
          <w:p w14:paraId="2B0E880D" w14:textId="77777777" w:rsidR="00DD5D3A" w:rsidRDefault="00DD5D3A" w:rsidP="00874D7C">
            <w:pPr>
              <w:pStyle w:val="BodyText"/>
              <w:jc w:val="right"/>
            </w:pPr>
            <w:r>
              <w:t>78,400</w:t>
            </w:r>
          </w:p>
        </w:tc>
        <w:tc>
          <w:tcPr>
            <w:tcW w:w="916" w:type="pct"/>
          </w:tcPr>
          <w:p w14:paraId="678614F1" w14:textId="77777777" w:rsidR="00DD5D3A" w:rsidRDefault="00DD5D3A" w:rsidP="00874D7C">
            <w:pPr>
              <w:pStyle w:val="BodyText"/>
              <w:jc w:val="right"/>
            </w:pPr>
            <w:r>
              <w:t>19,200</w:t>
            </w:r>
          </w:p>
        </w:tc>
      </w:tr>
      <w:tr w:rsidR="00DD5D3A" w14:paraId="59CB3CE8" w14:textId="77777777" w:rsidTr="006A0585">
        <w:trPr>
          <w:trHeight w:val="396"/>
        </w:trPr>
        <w:tc>
          <w:tcPr>
            <w:tcW w:w="2252" w:type="pct"/>
          </w:tcPr>
          <w:p w14:paraId="725F9413" w14:textId="77777777" w:rsidR="00DD5D3A" w:rsidRDefault="00DD5D3A" w:rsidP="00874D7C">
            <w:pPr>
              <w:pStyle w:val="BodyText"/>
            </w:pPr>
            <w:r>
              <w:rPr>
                <w:spacing w:val="-2"/>
              </w:rPr>
              <w:t>Youth Allowance Student and Austudy</w:t>
            </w:r>
          </w:p>
        </w:tc>
        <w:tc>
          <w:tcPr>
            <w:tcW w:w="916" w:type="pct"/>
          </w:tcPr>
          <w:p w14:paraId="57C08CD8" w14:textId="77777777" w:rsidR="00DD5D3A" w:rsidRDefault="00DD5D3A" w:rsidP="00874D7C">
            <w:pPr>
              <w:pStyle w:val="BodyText"/>
              <w:jc w:val="right"/>
            </w:pPr>
            <w:r>
              <w:t>213,000</w:t>
            </w:r>
          </w:p>
        </w:tc>
        <w:tc>
          <w:tcPr>
            <w:tcW w:w="916" w:type="pct"/>
          </w:tcPr>
          <w:p w14:paraId="10E822B2" w14:textId="77777777" w:rsidR="00DD5D3A" w:rsidRDefault="00DD5D3A" w:rsidP="00874D7C">
            <w:pPr>
              <w:pStyle w:val="BodyText"/>
              <w:jc w:val="right"/>
            </w:pPr>
            <w:r>
              <w:t>136,000</w:t>
            </w:r>
          </w:p>
        </w:tc>
        <w:tc>
          <w:tcPr>
            <w:tcW w:w="916" w:type="pct"/>
          </w:tcPr>
          <w:p w14:paraId="3487D38B" w14:textId="77777777" w:rsidR="00DD5D3A" w:rsidRDefault="00DD5D3A" w:rsidP="00874D7C">
            <w:pPr>
              <w:pStyle w:val="BodyText"/>
              <w:jc w:val="right"/>
            </w:pPr>
            <w:r>
              <w:t xml:space="preserve">76,700 </w:t>
            </w:r>
          </w:p>
        </w:tc>
      </w:tr>
      <w:tr w:rsidR="00DD5D3A" w14:paraId="757FEA1F" w14:textId="77777777" w:rsidTr="006A0585">
        <w:trPr>
          <w:trHeight w:val="396"/>
        </w:trPr>
        <w:tc>
          <w:tcPr>
            <w:tcW w:w="2252" w:type="pct"/>
          </w:tcPr>
          <w:p w14:paraId="64EC8013" w14:textId="77777777" w:rsidR="00DD5D3A" w:rsidRDefault="00DD5D3A" w:rsidP="00874D7C">
            <w:pPr>
              <w:pStyle w:val="BodyText"/>
            </w:pPr>
            <w:r>
              <w:rPr>
                <w:rStyle w:val="Bold"/>
              </w:rPr>
              <w:t>Total</w:t>
            </w:r>
            <w:r>
              <w:rPr>
                <w:rStyle w:val="Bold"/>
                <w:vertAlign w:val="superscript"/>
              </w:rPr>
              <w:t>(b)</w:t>
            </w:r>
          </w:p>
        </w:tc>
        <w:tc>
          <w:tcPr>
            <w:tcW w:w="916" w:type="pct"/>
          </w:tcPr>
          <w:p w14:paraId="5FFA330A" w14:textId="77777777" w:rsidR="00DD5D3A" w:rsidRDefault="00DD5D3A" w:rsidP="00874D7C">
            <w:pPr>
              <w:pStyle w:val="BodyText"/>
              <w:jc w:val="right"/>
            </w:pPr>
            <w:r>
              <w:rPr>
                <w:rStyle w:val="Bold"/>
              </w:rPr>
              <w:t>3,500,000</w:t>
            </w:r>
          </w:p>
        </w:tc>
        <w:tc>
          <w:tcPr>
            <w:tcW w:w="916" w:type="pct"/>
          </w:tcPr>
          <w:p w14:paraId="1C84F42E" w14:textId="77777777" w:rsidR="00DD5D3A" w:rsidRDefault="00DD5D3A" w:rsidP="00874D7C">
            <w:pPr>
              <w:pStyle w:val="BodyText"/>
              <w:jc w:val="right"/>
            </w:pPr>
            <w:r>
              <w:rPr>
                <w:rStyle w:val="Bold"/>
              </w:rPr>
              <w:t>2,800,000</w:t>
            </w:r>
          </w:p>
        </w:tc>
        <w:tc>
          <w:tcPr>
            <w:tcW w:w="916" w:type="pct"/>
          </w:tcPr>
          <w:p w14:paraId="3398519E" w14:textId="77777777" w:rsidR="00DD5D3A" w:rsidRDefault="00DD5D3A" w:rsidP="00874D7C">
            <w:pPr>
              <w:pStyle w:val="BodyText"/>
              <w:jc w:val="right"/>
            </w:pPr>
            <w:r>
              <w:rPr>
                <w:rStyle w:val="Bold"/>
              </w:rPr>
              <w:t>705,000</w:t>
            </w:r>
          </w:p>
        </w:tc>
      </w:tr>
    </w:tbl>
    <w:p w14:paraId="51FD829A" w14:textId="65FD202B" w:rsidR="00DD5D3A" w:rsidRDefault="00DD5D3A" w:rsidP="00160CDF">
      <w:pPr>
        <w:pStyle w:val="ProductCode"/>
      </w:pPr>
      <w:r>
        <w:t>(a)</w:t>
      </w:r>
      <w:r w:rsidR="00BE065F">
        <w:t xml:space="preserve"> </w:t>
      </w:r>
      <w:r>
        <w:t>To be eligible for Crisis Payment the customer must have experienced one of the defined extreme circumstances and be in severe financial hardship and have claimed within the specific timeframe.</w:t>
      </w:r>
    </w:p>
    <w:p w14:paraId="05883D4B" w14:textId="25EDF985" w:rsidR="00DD5D3A" w:rsidRDefault="00DD5D3A" w:rsidP="00160CDF">
      <w:pPr>
        <w:pStyle w:val="ProductCode"/>
      </w:pPr>
      <w:r>
        <w:t>(b)</w:t>
      </w:r>
      <w:r w:rsidR="00BE065F">
        <w:t xml:space="preserve"> </w:t>
      </w:r>
      <w:r>
        <w:t xml:space="preserve">Rounding has been applied. Discrepancies between totals and sums of components are due to rounding. </w:t>
      </w:r>
    </w:p>
    <w:p w14:paraId="56A41693" w14:textId="77777777" w:rsidR="00DD5D3A" w:rsidRDefault="00DD5D3A" w:rsidP="00DD5D3A">
      <w:pPr>
        <w:pStyle w:val="Heading2"/>
        <w:spacing w:after="113"/>
      </w:pPr>
      <w:r>
        <w:t>Older Australians</w:t>
      </w:r>
    </w:p>
    <w:p w14:paraId="7002E54F" w14:textId="77777777" w:rsidR="00DD5D3A" w:rsidRDefault="00DD5D3A" w:rsidP="00DD5D3A">
      <w:pPr>
        <w:pStyle w:val="Heading3"/>
      </w:pPr>
      <w:r>
        <w:t xml:space="preserve">Age Pension </w:t>
      </w:r>
    </w:p>
    <w:p w14:paraId="3A23F4B8" w14:textId="77777777" w:rsidR="00DD5D3A" w:rsidRDefault="00DD5D3A" w:rsidP="00DD5D3A">
      <w:pPr>
        <w:pStyle w:val="BodyText"/>
      </w:pPr>
      <w:r>
        <w:t>Age Pension is the main income support payment for eligible older Australians who have reached Age Pension age. Entitlement is assessed under the social security residence, income and assets tests. Customers also receive a Pensioner Concession Card that gives access to a range of concessions.</w:t>
      </w:r>
    </w:p>
    <w:p w14:paraId="10701BC6" w14:textId="77777777" w:rsidR="00DD5D3A" w:rsidRDefault="00DD5D3A" w:rsidP="00DD5D3A">
      <w:pPr>
        <w:pStyle w:val="BodyText"/>
        <w:spacing w:after="57"/>
      </w:pPr>
      <w:r>
        <w:t>In 2024–25:</w:t>
      </w:r>
    </w:p>
    <w:p w14:paraId="37E6481B" w14:textId="77777777" w:rsidR="00DD5D3A" w:rsidRDefault="00DD5D3A" w:rsidP="00DD5D3A">
      <w:pPr>
        <w:pStyle w:val="ListBullet"/>
      </w:pPr>
      <w:r>
        <w:t>there were approximately 2.7 million Age Pension customers</w:t>
      </w:r>
    </w:p>
    <w:p w14:paraId="18691119" w14:textId="77777777" w:rsidR="00DD5D3A" w:rsidRDefault="00DD5D3A" w:rsidP="00DD5D3A">
      <w:pPr>
        <w:pStyle w:val="ListBullet"/>
      </w:pPr>
      <w:r>
        <w:t>66.4% of Age Pension recipients received the full-rate pension and 32.9% received a part-rate pension based on their income and assets.</w:t>
      </w:r>
    </w:p>
    <w:p w14:paraId="11C1A508" w14:textId="77777777" w:rsidR="00DD5D3A" w:rsidRDefault="00DD5D3A" w:rsidP="00DD5D3A">
      <w:pPr>
        <w:pStyle w:val="BodyText"/>
      </w:pPr>
      <w:r>
        <w:t>In 2024–25, $62.4 billion was paid in Age Pension payments.</w:t>
      </w:r>
    </w:p>
    <w:p w14:paraId="4CE4D92E" w14:textId="77777777" w:rsidR="00DD5D3A" w:rsidRDefault="00DD5D3A" w:rsidP="00DD5D3A">
      <w:pPr>
        <w:pStyle w:val="Heading2"/>
        <w:spacing w:after="113"/>
      </w:pPr>
      <w:r>
        <w:t>Carers</w:t>
      </w:r>
    </w:p>
    <w:p w14:paraId="026C992C" w14:textId="77777777" w:rsidR="00DD5D3A" w:rsidRDefault="00DD5D3A" w:rsidP="00DD5D3A">
      <w:pPr>
        <w:pStyle w:val="Heading3"/>
      </w:pPr>
      <w:r>
        <w:t xml:space="preserve">Carer Payment </w:t>
      </w:r>
    </w:p>
    <w:p w14:paraId="1B3CF033" w14:textId="77777777" w:rsidR="00DD5D3A" w:rsidRDefault="00DD5D3A" w:rsidP="00DD5D3A">
      <w:pPr>
        <w:pStyle w:val="BodyText"/>
      </w:pPr>
      <w:r>
        <w:t xml:space="preserve">Carer Payment is an income support payment for carers who are unable to support themselves through substantial employment because of the demands of their caring </w:t>
      </w:r>
      <w:r>
        <w:rPr>
          <w:spacing w:val="-1"/>
        </w:rPr>
        <w:t xml:space="preserve">role. It is a taxable payment if the customer, or the person they care for, are Age Pension age. To receive Carer Payment, both the customer and the person they care for need to </w:t>
      </w:r>
      <w:r>
        <w:t>meet income and assets test requirements.</w:t>
      </w:r>
    </w:p>
    <w:p w14:paraId="0BD78563" w14:textId="77777777" w:rsidR="00DD5D3A" w:rsidRDefault="00DD5D3A" w:rsidP="00DD5D3A">
      <w:pPr>
        <w:pStyle w:val="BodyText"/>
        <w:spacing w:after="57"/>
      </w:pPr>
      <w:r>
        <w:t>To be eligible for Carer Payment, a carer must be providing constant care for either:</w:t>
      </w:r>
    </w:p>
    <w:p w14:paraId="6624DB90" w14:textId="77777777" w:rsidR="00DD5D3A" w:rsidRDefault="00DD5D3A" w:rsidP="00DD5D3A">
      <w:pPr>
        <w:pStyle w:val="ListBullet"/>
      </w:pPr>
      <w:r>
        <w:lastRenderedPageBreak/>
        <w:t xml:space="preserve">an adult or child with disability or a severe medical condition </w:t>
      </w:r>
    </w:p>
    <w:p w14:paraId="2F0810C9" w14:textId="77777777" w:rsidR="00DD5D3A" w:rsidRDefault="00DD5D3A" w:rsidP="00DD5D3A">
      <w:pPr>
        <w:pStyle w:val="ListBullet"/>
      </w:pPr>
      <w:r>
        <w:t xml:space="preserve">an adult who is frail aged. </w:t>
      </w:r>
    </w:p>
    <w:p w14:paraId="6378B0F4" w14:textId="77777777" w:rsidR="00DD5D3A" w:rsidRDefault="00DD5D3A" w:rsidP="00DD5D3A">
      <w:pPr>
        <w:pStyle w:val="BodyText"/>
      </w:pPr>
      <w:r>
        <w:t>In 2024–25, $8.1 billion was paid in Carer Payment.</w:t>
      </w:r>
    </w:p>
    <w:p w14:paraId="28297ADA" w14:textId="77777777" w:rsidR="00DD5D3A" w:rsidRDefault="00DD5D3A" w:rsidP="00DD5D3A">
      <w:pPr>
        <w:pStyle w:val="Heading3"/>
      </w:pPr>
      <w:r>
        <w:t>Carer Allowance</w:t>
      </w:r>
    </w:p>
    <w:p w14:paraId="5A5ABA7C" w14:textId="77777777" w:rsidR="00DD5D3A" w:rsidRDefault="00DD5D3A" w:rsidP="00DD5D3A">
      <w:pPr>
        <w:pStyle w:val="BodyText"/>
        <w:spacing w:after="57"/>
      </w:pPr>
      <w:r>
        <w:t>Carer Allowance is an income supplement for people who give additional daily care and attention for either:</w:t>
      </w:r>
    </w:p>
    <w:p w14:paraId="65B11736" w14:textId="77777777" w:rsidR="00DD5D3A" w:rsidRDefault="00DD5D3A" w:rsidP="00DD5D3A">
      <w:pPr>
        <w:pStyle w:val="ListBullet"/>
      </w:pPr>
      <w:r>
        <w:t xml:space="preserve">an adult or child with disability or a severe medical condition </w:t>
      </w:r>
    </w:p>
    <w:p w14:paraId="55D46F99" w14:textId="77777777" w:rsidR="00DD5D3A" w:rsidRDefault="00DD5D3A" w:rsidP="00DD5D3A">
      <w:pPr>
        <w:pStyle w:val="ListBullet"/>
      </w:pPr>
      <w:r>
        <w:t xml:space="preserve">an adult who is frail aged. </w:t>
      </w:r>
    </w:p>
    <w:p w14:paraId="51CA1985" w14:textId="77777777" w:rsidR="00DD5D3A" w:rsidRDefault="00DD5D3A" w:rsidP="00DD5D3A">
      <w:pPr>
        <w:pStyle w:val="BodyText"/>
      </w:pPr>
      <w:r>
        <w:rPr>
          <w:spacing w:val="-2"/>
        </w:rPr>
        <w:t xml:space="preserve">Carer Allowance is a non-taxable payment that is income tested but is not assets tested. </w:t>
      </w:r>
    </w:p>
    <w:p w14:paraId="5141F475" w14:textId="77777777" w:rsidR="00DD5D3A" w:rsidRDefault="00DD5D3A" w:rsidP="00DD5D3A">
      <w:pPr>
        <w:pStyle w:val="BodyText"/>
      </w:pPr>
      <w:r>
        <w:t>In 2024–25, $3 billion was paid in Carer Allowance.</w:t>
      </w:r>
    </w:p>
    <w:p w14:paraId="6A4C10FB" w14:textId="77777777" w:rsidR="00DD5D3A" w:rsidRDefault="00DD5D3A" w:rsidP="00DD5D3A">
      <w:pPr>
        <w:pStyle w:val="Heading2"/>
        <w:spacing w:after="113"/>
      </w:pPr>
      <w:r>
        <w:t>People with disability</w:t>
      </w:r>
    </w:p>
    <w:p w14:paraId="03345D48" w14:textId="77777777" w:rsidR="00DD5D3A" w:rsidRDefault="00DD5D3A" w:rsidP="00DD5D3A">
      <w:pPr>
        <w:pStyle w:val="Heading3"/>
      </w:pPr>
      <w:r>
        <w:t>Disability Support Pension</w:t>
      </w:r>
    </w:p>
    <w:p w14:paraId="0AEB3C72" w14:textId="77777777" w:rsidR="00DD5D3A" w:rsidRDefault="00DD5D3A" w:rsidP="00DD5D3A">
      <w:pPr>
        <w:pStyle w:val="BodyText"/>
      </w:pPr>
      <w:r>
        <w:t>Disability Support Pension (DSP) is an income support payment for people with a physical, intellectual or psychiatric condition that prevents them from working. It is an income and assets tested payment that is taxable if the customer is Age Pension age.</w:t>
      </w:r>
    </w:p>
    <w:p w14:paraId="7D7A981C" w14:textId="77777777" w:rsidR="00DD5D3A" w:rsidRDefault="00DD5D3A" w:rsidP="00DD5D3A">
      <w:pPr>
        <w:pStyle w:val="BodyText"/>
      </w:pPr>
      <w:r>
        <w:t>Customers need to meet both non-medical and medical eligibility criteria to be eligible for DSP. Non-medical rules include but are not limited to age, residence status, income and assets. Medical rules include how a customer’s condition affects their capacity to work.</w:t>
      </w:r>
    </w:p>
    <w:p w14:paraId="632A71EE" w14:textId="77777777" w:rsidR="00DD5D3A" w:rsidRDefault="00DD5D3A" w:rsidP="00DD5D3A">
      <w:pPr>
        <w:pStyle w:val="BodyText"/>
        <w:spacing w:after="57"/>
      </w:pPr>
      <w:r>
        <w:t xml:space="preserve">In 2024–25 the agency made several improvements to the DSP claim process to reduce red tape for customers. Many of these changes were made in consultation with disability and welfare peak bodies. These improvements included: </w:t>
      </w:r>
    </w:p>
    <w:p w14:paraId="6E61AD9F" w14:textId="77777777" w:rsidR="00DD5D3A" w:rsidRDefault="00DD5D3A" w:rsidP="00DD5D3A">
      <w:pPr>
        <w:pStyle w:val="ListBullet"/>
      </w:pPr>
      <w:r>
        <w:t>starting implementation of Auslan On-Demand in service centres to help customers who are deaf or hard of hearing when they need to interact with the agency</w:t>
      </w:r>
    </w:p>
    <w:p w14:paraId="344E97C3" w14:textId="77777777" w:rsidR="00DD5D3A" w:rsidRDefault="00DD5D3A" w:rsidP="00DD5D3A">
      <w:pPr>
        <w:pStyle w:val="ListBullet"/>
      </w:pPr>
      <w:r>
        <w:t>working in partnership with the NDIA to try new ways of supporting mutual customers</w:t>
      </w:r>
    </w:p>
    <w:p w14:paraId="4620D600" w14:textId="77777777" w:rsidR="00DD5D3A" w:rsidRDefault="00DD5D3A" w:rsidP="00DD5D3A">
      <w:pPr>
        <w:pStyle w:val="ListBullet"/>
      </w:pPr>
      <w:r>
        <w:t>development of new Auslan videos about DSP for the agency’s website.</w:t>
      </w:r>
    </w:p>
    <w:p w14:paraId="74BEA6BF" w14:textId="77777777" w:rsidR="00DD5D3A" w:rsidRDefault="00DD5D3A" w:rsidP="00DD5D3A">
      <w:pPr>
        <w:pStyle w:val="BodyText"/>
      </w:pPr>
      <w:r>
        <w:t>In 2024–25, $23.2 billion was paid in DSP.</w:t>
      </w:r>
    </w:p>
    <w:p w14:paraId="510FEB0A" w14:textId="77777777" w:rsidR="00DD5D3A" w:rsidRDefault="00DD5D3A" w:rsidP="00DD5D3A">
      <w:pPr>
        <w:pStyle w:val="Heading3"/>
      </w:pPr>
      <w:r>
        <w:t>Mobility Allowance</w:t>
      </w:r>
    </w:p>
    <w:p w14:paraId="6AB8CFFF" w14:textId="77777777" w:rsidR="00DD5D3A" w:rsidRDefault="00DD5D3A" w:rsidP="00DD5D3A">
      <w:pPr>
        <w:pStyle w:val="BodyText"/>
      </w:pPr>
      <w:r>
        <w:t>Mobility Allowance is a supplementary payment that helps eligible people with travel costs for work, study or looking for work. The allowance is paid to eligible people with disability, illness or injury that prevents them from using public transport. It’s a non-taxable payment that is not subject to an income or assets test.</w:t>
      </w:r>
    </w:p>
    <w:p w14:paraId="4F106305" w14:textId="77777777" w:rsidR="00DD5D3A" w:rsidRDefault="00DD5D3A" w:rsidP="00DD5D3A">
      <w:pPr>
        <w:pStyle w:val="BodyText"/>
      </w:pPr>
      <w:r>
        <w:t>In 2024–25, $35.6 million was paid in Mobility Allowance.</w:t>
      </w:r>
    </w:p>
    <w:p w14:paraId="42B39A8C" w14:textId="77777777" w:rsidR="00DD5D3A" w:rsidRDefault="00DD5D3A" w:rsidP="00DD5D3A">
      <w:pPr>
        <w:pStyle w:val="Heading3"/>
      </w:pPr>
      <w:r>
        <w:t>Essential Medical Equipment Payment</w:t>
      </w:r>
    </w:p>
    <w:p w14:paraId="7F3CBDA1" w14:textId="77777777" w:rsidR="00DD5D3A" w:rsidRDefault="00DD5D3A" w:rsidP="00DD5D3A">
      <w:pPr>
        <w:pStyle w:val="BodyText"/>
      </w:pPr>
      <w:r>
        <w:t>Essential Medical Equipment Payment (EMEP) is a yearly payment to help people with the increased energy costs of running essential medical equipment or heating or cooling used for medical needs. It’s a non-taxable payment that is not subject to an income or assets test.</w:t>
      </w:r>
    </w:p>
    <w:p w14:paraId="5843C259" w14:textId="77777777" w:rsidR="00DD5D3A" w:rsidRDefault="00DD5D3A" w:rsidP="00DD5D3A">
      <w:pPr>
        <w:pStyle w:val="BodyText"/>
      </w:pPr>
      <w:r>
        <w:lastRenderedPageBreak/>
        <w:t>In 2024–25, $10 million was paid in EMEP.</w:t>
      </w:r>
    </w:p>
    <w:p w14:paraId="3A83A9B9" w14:textId="77777777" w:rsidR="00DD5D3A" w:rsidRDefault="00DD5D3A" w:rsidP="00DD5D3A">
      <w:pPr>
        <w:pStyle w:val="Heading2"/>
      </w:pPr>
      <w:r>
        <w:t>Families</w:t>
      </w:r>
    </w:p>
    <w:p w14:paraId="6812EC6E" w14:textId="77777777" w:rsidR="00DD5D3A" w:rsidRDefault="00DD5D3A" w:rsidP="00DD5D3A">
      <w:pPr>
        <w:pStyle w:val="BodyText"/>
      </w:pPr>
      <w:r>
        <w:t xml:space="preserve">The agency administers a range of payments and support to help families meet the </w:t>
      </w:r>
      <w:r>
        <w:rPr>
          <w:spacing w:val="-1"/>
        </w:rPr>
        <w:t xml:space="preserve">costs of raising children. We also help parents planning to return to work and education, </w:t>
      </w:r>
      <w:r>
        <w:t>and grandparents and non-parent carers needing information.</w:t>
      </w:r>
    </w:p>
    <w:p w14:paraId="39052A14" w14:textId="77777777" w:rsidR="00DD5D3A" w:rsidRDefault="00DD5D3A" w:rsidP="00DD5D3A">
      <w:pPr>
        <w:pStyle w:val="Heading3"/>
      </w:pPr>
      <w:r>
        <w:t>Parenting Payment</w:t>
      </w:r>
    </w:p>
    <w:p w14:paraId="162C0D3F" w14:textId="77777777" w:rsidR="00DD5D3A" w:rsidRDefault="00DD5D3A" w:rsidP="00DD5D3A">
      <w:pPr>
        <w:pStyle w:val="BodyText"/>
      </w:pPr>
      <w:r>
        <w:t xml:space="preserve">Parenting Payment is the main income support payment that helps families with the costs of raising children. </w:t>
      </w:r>
    </w:p>
    <w:p w14:paraId="3304E468" w14:textId="77777777" w:rsidR="00DD5D3A" w:rsidRDefault="00DD5D3A" w:rsidP="00DD5D3A">
      <w:pPr>
        <w:pStyle w:val="BodyText"/>
        <w:spacing w:after="57"/>
      </w:pPr>
      <w:r>
        <w:t xml:space="preserve">There are 2 payment rates: </w:t>
      </w:r>
    </w:p>
    <w:p w14:paraId="5DBB3E4D" w14:textId="77777777" w:rsidR="00DD5D3A" w:rsidRDefault="00DD5D3A" w:rsidP="00DD5D3A">
      <w:pPr>
        <w:pStyle w:val="ListBullet"/>
      </w:pPr>
      <w:r>
        <w:t>Parenting Payment Single, which is for single parents and carers with principal care of a child aged under 14</w:t>
      </w:r>
    </w:p>
    <w:p w14:paraId="7351E59D" w14:textId="77777777" w:rsidR="00DD5D3A" w:rsidRDefault="00DD5D3A" w:rsidP="00DD5D3A">
      <w:pPr>
        <w:pStyle w:val="ListBullet"/>
      </w:pPr>
      <w:r>
        <w:t xml:space="preserve">Parenting Payment Partnered, which is for partnered parents and carers with principal care of a child aged under 6. </w:t>
      </w:r>
    </w:p>
    <w:p w14:paraId="27E2A97A" w14:textId="77777777" w:rsidR="00DD5D3A" w:rsidRDefault="00DD5D3A" w:rsidP="00DD5D3A">
      <w:pPr>
        <w:pStyle w:val="BodyText"/>
      </w:pPr>
      <w:r>
        <w:t>The amount paid is based on individual circumstances. Both payments are taxable and are income and assets tested.</w:t>
      </w:r>
    </w:p>
    <w:p w14:paraId="3D8C8776" w14:textId="77777777" w:rsidR="00DD5D3A" w:rsidRDefault="00DD5D3A" w:rsidP="00DD5D3A">
      <w:pPr>
        <w:pStyle w:val="BodyText"/>
      </w:pPr>
      <w:r>
        <w:t>In 2024–25, $8.1 billion was paid in Parenting Payment.</w:t>
      </w:r>
    </w:p>
    <w:p w14:paraId="5335810C" w14:textId="77777777" w:rsidR="00DD5D3A" w:rsidRDefault="00DD5D3A" w:rsidP="00DD5D3A">
      <w:pPr>
        <w:pStyle w:val="Heading3"/>
      </w:pPr>
      <w:r>
        <w:t>Family Tax Benefit</w:t>
      </w:r>
    </w:p>
    <w:p w14:paraId="46A498A1" w14:textId="77777777" w:rsidR="00DD5D3A" w:rsidRDefault="00DD5D3A" w:rsidP="00DD5D3A">
      <w:pPr>
        <w:pStyle w:val="BodyText"/>
        <w:spacing w:after="57"/>
      </w:pPr>
      <w:r>
        <w:t xml:space="preserve">Family Tax Benefit (FTB) is a supplementary payment available to low and middle income families to help with the day-to-day cost of raising children. It has 2 parts: </w:t>
      </w:r>
    </w:p>
    <w:p w14:paraId="33802837" w14:textId="77777777" w:rsidR="00DD5D3A" w:rsidRDefault="00DD5D3A" w:rsidP="00DD5D3A">
      <w:pPr>
        <w:pStyle w:val="ListBullet"/>
      </w:pPr>
      <w:r>
        <w:t xml:space="preserve">FTB Part A, which is paid per child </w:t>
      </w:r>
    </w:p>
    <w:p w14:paraId="569383A5" w14:textId="77777777" w:rsidR="00DD5D3A" w:rsidRDefault="00DD5D3A" w:rsidP="00DD5D3A">
      <w:pPr>
        <w:pStyle w:val="ListBullet"/>
      </w:pPr>
      <w:r>
        <w:t>FTB Part B, which is paid for the family.</w:t>
      </w:r>
    </w:p>
    <w:p w14:paraId="742E3D96" w14:textId="77777777" w:rsidR="00DD5D3A" w:rsidRDefault="00DD5D3A" w:rsidP="00DD5D3A">
      <w:pPr>
        <w:pStyle w:val="BodyText"/>
      </w:pPr>
      <w:r>
        <w:t>The amount each family is paid is based on the family’s individual circumstances. Both payments are non-taxable payments that are income tested but are not assets tested.</w:t>
      </w:r>
    </w:p>
    <w:p w14:paraId="2CFD8BDE" w14:textId="77777777" w:rsidR="00DD5D3A" w:rsidRDefault="00DD5D3A" w:rsidP="00DD5D3A">
      <w:pPr>
        <w:pStyle w:val="BodyText"/>
      </w:pPr>
      <w:r>
        <w:t>In 2024–25, $18 billion was paid in FTB.</w:t>
      </w:r>
    </w:p>
    <w:p w14:paraId="15EB9E8A" w14:textId="77777777" w:rsidR="00DD5D3A" w:rsidRDefault="00DD5D3A" w:rsidP="00DD5D3A">
      <w:pPr>
        <w:pStyle w:val="Heading3"/>
      </w:pPr>
      <w:r>
        <w:t>Paid Parental Leave scheme</w:t>
      </w:r>
    </w:p>
    <w:p w14:paraId="0B2DD446" w14:textId="77777777" w:rsidR="00DD5D3A" w:rsidRDefault="00DD5D3A" w:rsidP="00DD5D3A">
      <w:pPr>
        <w:pStyle w:val="BodyText"/>
      </w:pPr>
      <w:r>
        <w:t xml:space="preserve">The Paid Parental Leave scheme gives Parental Leave Pay (PLP) at a rate based on the national minimum wage to support eligible working parents to take time off work to care for their newborn or newly adopted child. </w:t>
      </w:r>
    </w:p>
    <w:p w14:paraId="7835477C" w14:textId="77777777" w:rsidR="00DD5D3A" w:rsidRDefault="00DD5D3A" w:rsidP="00DD5D3A">
      <w:pPr>
        <w:pStyle w:val="BodyText"/>
      </w:pPr>
      <w:r>
        <w:t>PLP is taxable, income and work tested and has residency requirements.</w:t>
      </w:r>
    </w:p>
    <w:p w14:paraId="2F0459E2" w14:textId="77777777" w:rsidR="00DD5D3A" w:rsidRDefault="00DD5D3A" w:rsidP="00DD5D3A">
      <w:pPr>
        <w:pStyle w:val="BodyText"/>
      </w:pPr>
      <w:r>
        <w:t>In 2024–25, $3.2 billion was paid in PLP.</w:t>
      </w:r>
    </w:p>
    <w:p w14:paraId="54F8F410" w14:textId="77777777" w:rsidR="00DD5D3A" w:rsidRDefault="00DD5D3A" w:rsidP="00DD5D3A">
      <w:pPr>
        <w:pStyle w:val="Heading3"/>
      </w:pPr>
      <w:r>
        <w:t>Child Care Subsidy</w:t>
      </w:r>
    </w:p>
    <w:p w14:paraId="6DB7F628" w14:textId="77777777" w:rsidR="00DD5D3A" w:rsidRDefault="00DD5D3A" w:rsidP="00DD5D3A">
      <w:pPr>
        <w:pStyle w:val="BodyText"/>
        <w:spacing w:after="57"/>
      </w:pPr>
      <w:r>
        <w:t>Child Care Subsidy helps families with the cost of approved child care. There are 2 Child Care Subsidy payments:</w:t>
      </w:r>
    </w:p>
    <w:p w14:paraId="456B4F65" w14:textId="77777777" w:rsidR="00DD5D3A" w:rsidRDefault="00DD5D3A" w:rsidP="00DD5D3A">
      <w:pPr>
        <w:pStyle w:val="ListBullet"/>
      </w:pPr>
      <w:r>
        <w:t>Child Care Subsidy, which is an income and activity tested subsidy to reduce the out-of-pocket cost of approved child care</w:t>
      </w:r>
    </w:p>
    <w:p w14:paraId="40D1C110" w14:textId="77777777" w:rsidR="00DD5D3A" w:rsidRDefault="00DD5D3A" w:rsidP="00DD5D3A">
      <w:pPr>
        <w:pStyle w:val="ListBullet"/>
      </w:pPr>
      <w:r>
        <w:lastRenderedPageBreak/>
        <w:t xml:space="preserve">Additional Child Care Subsidy, which gives eligible families extra help with the cost of approved child care. </w:t>
      </w:r>
    </w:p>
    <w:p w14:paraId="49E867D1" w14:textId="77777777" w:rsidR="00DD5D3A" w:rsidRDefault="00DD5D3A" w:rsidP="00DD5D3A">
      <w:pPr>
        <w:pStyle w:val="BodyText"/>
      </w:pPr>
      <w:r>
        <w:t xml:space="preserve">These payments are generally paid directly to child care service providers. </w:t>
      </w:r>
    </w:p>
    <w:p w14:paraId="73E39111" w14:textId="77777777" w:rsidR="00DD5D3A" w:rsidRDefault="00DD5D3A" w:rsidP="00DD5D3A">
      <w:pPr>
        <w:pStyle w:val="BodyText"/>
      </w:pPr>
      <w:r>
        <w:t>In 2024–25, $15.2 billion was paid in Child Care Subsidy.</w:t>
      </w:r>
    </w:p>
    <w:p w14:paraId="7C4138B3" w14:textId="77777777" w:rsidR="00DD5D3A" w:rsidRDefault="00DD5D3A" w:rsidP="00DD5D3A">
      <w:pPr>
        <w:pStyle w:val="Heading3"/>
      </w:pPr>
      <w:r>
        <w:t>Newborns and newly adopted children</w:t>
      </w:r>
    </w:p>
    <w:p w14:paraId="6D293139" w14:textId="77777777" w:rsidR="00DD5D3A" w:rsidRDefault="00DD5D3A" w:rsidP="00DD5D3A">
      <w:pPr>
        <w:pStyle w:val="BodyText"/>
        <w:spacing w:after="57"/>
      </w:pPr>
      <w:r>
        <w:t xml:space="preserve">The agency delivers other payments that help parents with expenses for newborn or newly adopted children. They are: </w:t>
      </w:r>
    </w:p>
    <w:p w14:paraId="60523DD5" w14:textId="77777777" w:rsidR="00DD5D3A" w:rsidRDefault="00DD5D3A" w:rsidP="00DD5D3A">
      <w:pPr>
        <w:pStyle w:val="ListBullet"/>
      </w:pPr>
      <w:r>
        <w:t>Newborn Upfront Payment, which is a one-off payment</w:t>
      </w:r>
    </w:p>
    <w:p w14:paraId="4E1B0465" w14:textId="77777777" w:rsidR="00DD5D3A" w:rsidRDefault="00DD5D3A" w:rsidP="00DD5D3A">
      <w:pPr>
        <w:pStyle w:val="ListBullet"/>
      </w:pPr>
      <w:r>
        <w:t>Newborn Supplement, which increases the rate of FTB Part A for up to 13 weeks.</w:t>
      </w:r>
    </w:p>
    <w:p w14:paraId="7D8485BB" w14:textId="77777777" w:rsidR="00DD5D3A" w:rsidRDefault="00DD5D3A" w:rsidP="00DD5D3A">
      <w:pPr>
        <w:pStyle w:val="Heading3"/>
      </w:pPr>
      <w:r>
        <w:t>Stillborn Baby Payment</w:t>
      </w:r>
    </w:p>
    <w:p w14:paraId="600B5E7A" w14:textId="77777777" w:rsidR="00DD5D3A" w:rsidRDefault="00DD5D3A" w:rsidP="00DD5D3A">
      <w:pPr>
        <w:pStyle w:val="BodyText"/>
      </w:pPr>
      <w:r>
        <w:t>Stillborn Baby Payment is a one-off payment to help families with the extra costs they face when a child is stillborn. It’s a non-taxable payment. Claiming timeframes, income test requirements, and eligibility for more financially beneficial assistance and PPL may affect eligibility. Stillborn Baby Payment and PPL cannot be paid for the same child.</w:t>
      </w:r>
    </w:p>
    <w:p w14:paraId="2F345ECA" w14:textId="77777777" w:rsidR="00DD5D3A" w:rsidRDefault="00DD5D3A" w:rsidP="00DD5D3A">
      <w:pPr>
        <w:pStyle w:val="BodyText"/>
      </w:pPr>
      <w:r>
        <w:t>In 2024–25, $3.5 million was paid in Stillborn Baby Payment.</w:t>
      </w:r>
    </w:p>
    <w:p w14:paraId="07253784" w14:textId="77777777" w:rsidR="00DD5D3A" w:rsidRDefault="00DD5D3A" w:rsidP="00DD5D3A">
      <w:pPr>
        <w:pStyle w:val="Heading3"/>
      </w:pPr>
      <w:r>
        <w:t>Double Orphan Pension</w:t>
      </w:r>
    </w:p>
    <w:p w14:paraId="39CF650C" w14:textId="77777777" w:rsidR="00DD5D3A" w:rsidRDefault="00DD5D3A" w:rsidP="00DD5D3A">
      <w:pPr>
        <w:pStyle w:val="BodyText"/>
      </w:pPr>
      <w:r>
        <w:t>Double Orphan Pension helps with the costs of caring for children who are orphaned, or whose parents are unable to care for them in certain circumstances. It is non-taxable and not subject to income or assets tests.</w:t>
      </w:r>
    </w:p>
    <w:p w14:paraId="646449A2" w14:textId="77777777" w:rsidR="00DD5D3A" w:rsidRDefault="00DD5D3A" w:rsidP="00DD5D3A">
      <w:pPr>
        <w:pStyle w:val="BodyText"/>
      </w:pPr>
      <w:r>
        <w:t>In 2024–25, $2 million was paid in Double Orphan Pension.</w:t>
      </w:r>
    </w:p>
    <w:p w14:paraId="7669C89B" w14:textId="77777777" w:rsidR="00DD5D3A" w:rsidRDefault="00DD5D3A" w:rsidP="00DD5D3A">
      <w:pPr>
        <w:pStyle w:val="Heading3"/>
      </w:pPr>
      <w:r>
        <w:t xml:space="preserve">Grandparent, Foster and Kinship Carer Advisers </w:t>
      </w:r>
    </w:p>
    <w:p w14:paraId="5341CCB5" w14:textId="77777777" w:rsidR="00DD5D3A" w:rsidRDefault="00DD5D3A" w:rsidP="00DD5D3A">
      <w:pPr>
        <w:pStyle w:val="BodyText"/>
      </w:pPr>
      <w:r>
        <w:t xml:space="preserve">Grandparent, Foster and Kinship Carer Advisers give tailored information to non-parent carers about payments and services that are available through the Australian, state and territory governments, and community service providers. </w:t>
      </w:r>
    </w:p>
    <w:p w14:paraId="1E5712E6" w14:textId="77777777" w:rsidR="00DD5D3A" w:rsidRDefault="00DD5D3A" w:rsidP="00DD5D3A">
      <w:pPr>
        <w:pStyle w:val="BodyText"/>
      </w:pPr>
      <w:r>
        <w:t>Our advisers also operate an adviser line for grandparents, attend community forums and work with carer organisations. In 2024–25 the Grandparent, Foster and Kinship Carer Adviser line handled around 44,000 calls, compared to around 59,000 calls in 2023–24.</w:t>
      </w:r>
    </w:p>
    <w:p w14:paraId="05A6D528" w14:textId="77777777" w:rsidR="00DD5D3A" w:rsidRDefault="00DD5D3A" w:rsidP="00DD5D3A">
      <w:pPr>
        <w:pStyle w:val="Heading3"/>
      </w:pPr>
      <w:r>
        <w:t>Parent Pathways</w:t>
      </w:r>
    </w:p>
    <w:p w14:paraId="6C4C2044" w14:textId="77777777" w:rsidR="00DD5D3A" w:rsidRDefault="00DD5D3A" w:rsidP="00DD5D3A">
      <w:pPr>
        <w:pStyle w:val="BodyText"/>
      </w:pPr>
      <w:r>
        <w:t xml:space="preserve">Parent Pathways is a voluntary pre-employment service that commenced on 1 November 2024 for parents of young children. Parent Pathways gives flexible and personalised support to parents and carers in receipt of Parenting Payment, Carer Payment or Special Benefit, with children aged under 6, helping them to achieve their personal, study or employment goals. </w:t>
      </w:r>
    </w:p>
    <w:p w14:paraId="3F7ECE82" w14:textId="77777777" w:rsidR="00DD5D3A" w:rsidRDefault="00DD5D3A" w:rsidP="00DD5D3A">
      <w:pPr>
        <w:pStyle w:val="BodyText"/>
      </w:pPr>
      <w:r>
        <w:t>DEWR administers Parent Pathways, which is delivered by contracted service providers in the Playford, Gawler and surrounding local government areas of South Australia. The agency identifies income support customers who are eligible for Parent Pathways, informs them about the service and refers the details of consenting customers to a Parent Pathways provider. From 1 November 2024 to 30 June 2025 the agency has referred 12,755 customers to Parent Pathways.</w:t>
      </w:r>
    </w:p>
    <w:p w14:paraId="7EC52A2A" w14:textId="77777777" w:rsidR="00DD5D3A" w:rsidRDefault="00DD5D3A" w:rsidP="00DD5D3A">
      <w:pPr>
        <w:pStyle w:val="Heading3"/>
      </w:pPr>
      <w:r>
        <w:lastRenderedPageBreak/>
        <w:t>ParentsNext</w:t>
      </w:r>
    </w:p>
    <w:p w14:paraId="6CEF7E66" w14:textId="77777777" w:rsidR="00DD5D3A" w:rsidRDefault="00DD5D3A" w:rsidP="00DD5D3A">
      <w:pPr>
        <w:pStyle w:val="BodyText"/>
      </w:pPr>
      <w:r>
        <w:t xml:space="preserve">ParentsNext was a pre-employment service that was delivered from 1 April 2016 and ceased on 31 October 2024. The program supported parents and carers with children aged under 6 to meet their study and work goals. The agency referred eligible customers to a ParentsNext provider who helped them to identify and achieve their goals and connected them to activities and support services in their local communities. From 1 July 2024 to 31 October 2024 the agency referred 2,432 customers to a ParentsNext provider. </w:t>
      </w:r>
    </w:p>
    <w:p w14:paraId="3AD0F3AF" w14:textId="77777777" w:rsidR="00DD5D3A" w:rsidRDefault="00DD5D3A" w:rsidP="00DD5D3A">
      <w:pPr>
        <w:pStyle w:val="Heading2"/>
        <w:spacing w:after="113"/>
      </w:pPr>
      <w:r>
        <w:t>Job seekers</w:t>
      </w:r>
    </w:p>
    <w:p w14:paraId="7D215850" w14:textId="77777777" w:rsidR="00DD5D3A" w:rsidRDefault="00DD5D3A" w:rsidP="00DD5D3A">
      <w:pPr>
        <w:pStyle w:val="Heading3"/>
      </w:pPr>
      <w:r>
        <w:t>JobSeeker Payment</w:t>
      </w:r>
    </w:p>
    <w:p w14:paraId="0345E9CE" w14:textId="77777777" w:rsidR="00DD5D3A" w:rsidRDefault="00DD5D3A" w:rsidP="00DD5D3A">
      <w:pPr>
        <w:pStyle w:val="BodyText"/>
      </w:pPr>
      <w:r>
        <w:rPr>
          <w:spacing w:val="-2"/>
        </w:rPr>
        <w:t>JobSeeker Payment gives financial support to people aged between 22 and Age Pension</w:t>
      </w:r>
      <w:r>
        <w:t xml:space="preserve"> age who are looking for work or are sick or injured and can’t do their usual work or study. It is a taxable payment which is income and assets tested and has residency requirements.</w:t>
      </w:r>
    </w:p>
    <w:p w14:paraId="2C273750" w14:textId="77777777" w:rsidR="00DD5D3A" w:rsidRDefault="00DD5D3A" w:rsidP="00DD5D3A">
      <w:pPr>
        <w:pStyle w:val="BodyText"/>
      </w:pPr>
      <w:r>
        <w:t xml:space="preserve">JobSeeker Payment customers are required to demonstrate that they are actively looking for work, or undertaking activities to improve their work prospects, such as further study, training or approved voluntary work. </w:t>
      </w:r>
    </w:p>
    <w:p w14:paraId="7781C9BC" w14:textId="77777777" w:rsidR="00DD5D3A" w:rsidRDefault="00DD5D3A" w:rsidP="00DD5D3A">
      <w:pPr>
        <w:pStyle w:val="BodyText"/>
      </w:pPr>
      <w:r>
        <w:t>In 2024–25, $15.4 billion was paid in JobSeeker Payment.</w:t>
      </w:r>
    </w:p>
    <w:p w14:paraId="492521B0" w14:textId="77777777" w:rsidR="00DD5D3A" w:rsidRDefault="00DD5D3A" w:rsidP="00DD5D3A">
      <w:pPr>
        <w:pStyle w:val="Heading3"/>
      </w:pPr>
      <w:r>
        <w:t>Youth Allowance for job seekers</w:t>
      </w:r>
    </w:p>
    <w:p w14:paraId="308A4876" w14:textId="77777777" w:rsidR="00DD5D3A" w:rsidRDefault="00DD5D3A" w:rsidP="00DD5D3A">
      <w:pPr>
        <w:pStyle w:val="BodyText"/>
      </w:pPr>
      <w:r>
        <w:t xml:space="preserve">Youth Allowance for job seekers gives financial help for young people aged between 16 and 21 who are looking for full-time work or undertaking approved activities. It’s a taxable payment, for job seekers who are aged 16 or older, and is income and assets tested and has residency requirements. Youth Allowance for job seekers customers are required to demonstrate that they are actively looking for work or undertaking activities to improve their work prospects, such as further study, training or approved voluntary work. </w:t>
      </w:r>
    </w:p>
    <w:p w14:paraId="440AA372" w14:textId="77777777" w:rsidR="00DD5D3A" w:rsidRDefault="00DD5D3A" w:rsidP="00DD5D3A">
      <w:pPr>
        <w:pStyle w:val="BodyText"/>
      </w:pPr>
      <w:r>
        <w:t>In 2024–25, $1.2 billion was paid in Youth Allowance for job seekers.</w:t>
      </w:r>
    </w:p>
    <w:p w14:paraId="672D1850" w14:textId="77777777" w:rsidR="00DD5D3A" w:rsidRDefault="00DD5D3A" w:rsidP="00DD5D3A">
      <w:pPr>
        <w:pStyle w:val="Heading2"/>
      </w:pPr>
      <w:r>
        <w:t>Students</w:t>
      </w:r>
    </w:p>
    <w:p w14:paraId="480AB557" w14:textId="77777777" w:rsidR="00DD5D3A" w:rsidRDefault="00DD5D3A" w:rsidP="00DD5D3A">
      <w:pPr>
        <w:pStyle w:val="Heading3"/>
      </w:pPr>
      <w:r>
        <w:t>ABSTUDY</w:t>
      </w:r>
    </w:p>
    <w:p w14:paraId="5DDBA33F" w14:textId="77777777" w:rsidR="00DD5D3A" w:rsidRDefault="00DD5D3A" w:rsidP="00DD5D3A">
      <w:pPr>
        <w:pStyle w:val="BodyText"/>
      </w:pPr>
      <w:r>
        <w:rPr>
          <w:spacing w:val="-2"/>
        </w:rPr>
        <w:t>The ABSTUDY scheme gives financial assistance for Aboriginal and Torres Strait Islander</w:t>
      </w:r>
      <w:r>
        <w:t xml:space="preserve"> Australians who are undertaking approved secondary or tertiary study or are a full-time Australian apprentice. Personal income and assets tests, a parental means test, and a partner income test may apply based on customer circumstances. </w:t>
      </w:r>
    </w:p>
    <w:p w14:paraId="4E127D28" w14:textId="77777777" w:rsidR="00DD5D3A" w:rsidRDefault="00DD5D3A" w:rsidP="00DD5D3A">
      <w:pPr>
        <w:pStyle w:val="BodyText"/>
      </w:pPr>
      <w:r>
        <w:t xml:space="preserve">In 2024–25, $364.7 million was paid in ABSTUDY. </w:t>
      </w:r>
    </w:p>
    <w:p w14:paraId="36583622" w14:textId="77777777" w:rsidR="00DD5D3A" w:rsidRDefault="00DD5D3A" w:rsidP="00DD5D3A">
      <w:pPr>
        <w:pStyle w:val="Heading3"/>
      </w:pPr>
      <w:r>
        <w:t>Assistance for Isolated Children</w:t>
      </w:r>
    </w:p>
    <w:p w14:paraId="71217E94" w14:textId="77777777" w:rsidR="00DD5D3A" w:rsidRDefault="00DD5D3A" w:rsidP="00DD5D3A">
      <w:pPr>
        <w:pStyle w:val="BodyText"/>
      </w:pPr>
      <w:r>
        <w:t xml:space="preserve">Assistance for Isolated Children is a suite of payments for parents and carers of children who cannot attend their local government schools because of geographical isolation, disability, or special needs. </w:t>
      </w:r>
    </w:p>
    <w:p w14:paraId="2D01F7DE" w14:textId="77777777" w:rsidR="00DD5D3A" w:rsidRDefault="00DD5D3A" w:rsidP="00DD5D3A">
      <w:pPr>
        <w:pStyle w:val="BodyText"/>
      </w:pPr>
      <w:r>
        <w:rPr>
          <w:spacing w:val="-2"/>
        </w:rPr>
        <w:t xml:space="preserve">In 2024–25, $117.3 million was paid under the Assistance for Isolated Children program. </w:t>
      </w:r>
    </w:p>
    <w:p w14:paraId="3F8EBC1E" w14:textId="77777777" w:rsidR="00DD5D3A" w:rsidRDefault="00DD5D3A" w:rsidP="00DD5D3A">
      <w:pPr>
        <w:pStyle w:val="Heading3"/>
      </w:pPr>
      <w:r>
        <w:lastRenderedPageBreak/>
        <w:t xml:space="preserve">Austudy </w:t>
      </w:r>
    </w:p>
    <w:p w14:paraId="61D394C7" w14:textId="77777777" w:rsidR="00DD5D3A" w:rsidRDefault="00DD5D3A" w:rsidP="00DD5D3A">
      <w:pPr>
        <w:pStyle w:val="BodyText"/>
      </w:pPr>
      <w:r>
        <w:t>Austudy gives financial assistance to full-time students and Australian apprentices aged 25 and older. To be eligible, people need to meet income and assets tests and residency requirements. Austudy is a taxable payment.</w:t>
      </w:r>
    </w:p>
    <w:p w14:paraId="0CFF73E2" w14:textId="77777777" w:rsidR="00DD5D3A" w:rsidRDefault="00DD5D3A" w:rsidP="00DD5D3A">
      <w:pPr>
        <w:pStyle w:val="BodyText"/>
      </w:pPr>
      <w:r>
        <w:t>In 2024–25, $427.7 million was paid in Austudy.</w:t>
      </w:r>
    </w:p>
    <w:p w14:paraId="3F0D538F" w14:textId="77777777" w:rsidR="00DD5D3A" w:rsidRDefault="00DD5D3A" w:rsidP="00DD5D3A">
      <w:pPr>
        <w:pStyle w:val="Heading3"/>
      </w:pPr>
      <w:r>
        <w:t>Youth Allowance for students and Australian apprentices</w:t>
      </w:r>
    </w:p>
    <w:p w14:paraId="7D4B6019" w14:textId="77777777" w:rsidR="00DD5D3A" w:rsidRDefault="00DD5D3A" w:rsidP="00DD5D3A">
      <w:pPr>
        <w:pStyle w:val="BodyText"/>
      </w:pPr>
      <w:r>
        <w:t xml:space="preserve">Youth Allowance gives financial assistance to full-time students and Australian apprentices aged between 16 and 24. To be eligible, people need to meet income and assets tests and residency requirements. Youth Allowance is a taxable payment. </w:t>
      </w:r>
    </w:p>
    <w:p w14:paraId="4FB2A667" w14:textId="77777777" w:rsidR="00DD5D3A" w:rsidRDefault="00DD5D3A" w:rsidP="00DD5D3A">
      <w:pPr>
        <w:pStyle w:val="BodyText"/>
      </w:pPr>
      <w:r>
        <w:t>In 2024–25, $2 billion was paid in Youth Allowance for students and Australian apprentices.</w:t>
      </w:r>
    </w:p>
    <w:p w14:paraId="13A6990F" w14:textId="77777777" w:rsidR="00DD5D3A" w:rsidRDefault="00DD5D3A" w:rsidP="00DD5D3A">
      <w:pPr>
        <w:pStyle w:val="Heading3"/>
      </w:pPr>
      <w:r>
        <w:t>Tertiary Access Payment</w:t>
      </w:r>
    </w:p>
    <w:p w14:paraId="794A8D8B" w14:textId="77777777" w:rsidR="00DD5D3A" w:rsidRDefault="00DD5D3A" w:rsidP="00DD5D3A">
      <w:pPr>
        <w:pStyle w:val="BodyText"/>
      </w:pPr>
      <w:r>
        <w:rPr>
          <w:spacing w:val="-1"/>
        </w:rPr>
        <w:t xml:space="preserve">Tertiary Access Payment (TAP) is a one-off payment aimed at helping students with the </w:t>
      </w:r>
      <w:r>
        <w:rPr>
          <w:spacing w:val="-2"/>
        </w:rPr>
        <w:t xml:space="preserve">costs of relocating from regional or remote areas to undertake tertiary study. This one-off </w:t>
      </w:r>
      <w:r>
        <w:t xml:space="preserve">payment is only available in the first year of tertiary study. To be eligible, students need to </w:t>
      </w:r>
      <w:r>
        <w:rPr>
          <w:spacing w:val="-1"/>
        </w:rPr>
        <w:t xml:space="preserve">have completed Year 12 or equivalent level of study. From 1 January 2025, students who </w:t>
      </w:r>
      <w:r>
        <w:t xml:space="preserve">have taken one or more gap years were eligible to apply. </w:t>
      </w:r>
    </w:p>
    <w:p w14:paraId="3C24F712" w14:textId="77777777" w:rsidR="00DD5D3A" w:rsidRDefault="00DD5D3A" w:rsidP="00DD5D3A">
      <w:pPr>
        <w:pStyle w:val="BodyText"/>
      </w:pPr>
      <w:r>
        <w:t>Students relocating from inner regional areas can be eligible to receive up to $3,000 and students relocating from outer regional, remote and very remote locations can be eligible to receive up to $5,000, paid in 2 instalments ($3,000 and $2,000 respectively). A parental income test may apply based on customer circumstances. The TAP is not a taxable payment.</w:t>
      </w:r>
    </w:p>
    <w:p w14:paraId="712744D4" w14:textId="77777777" w:rsidR="00DD5D3A" w:rsidRDefault="00DD5D3A" w:rsidP="00DD5D3A">
      <w:pPr>
        <w:pStyle w:val="BodyText"/>
      </w:pPr>
      <w:r>
        <w:t>In 2024–25, $14.7 million was paid in TAP.</w:t>
      </w:r>
    </w:p>
    <w:p w14:paraId="0A886A50" w14:textId="77777777" w:rsidR="00DD5D3A" w:rsidRDefault="00DD5D3A" w:rsidP="00DD5D3A">
      <w:pPr>
        <w:pStyle w:val="Heading2"/>
        <w:spacing w:after="113"/>
      </w:pPr>
      <w:r>
        <w:t>Assessment services</w:t>
      </w:r>
    </w:p>
    <w:p w14:paraId="2E6324C1" w14:textId="77777777" w:rsidR="00DD5D3A" w:rsidRDefault="00DD5D3A" w:rsidP="00DD5D3A">
      <w:pPr>
        <w:pStyle w:val="Heading3"/>
      </w:pPr>
      <w:r>
        <w:t>Assessments of medical conditions and work capacity</w:t>
      </w:r>
    </w:p>
    <w:p w14:paraId="2C85C19A" w14:textId="77777777" w:rsidR="00DD5D3A" w:rsidRDefault="00DD5D3A" w:rsidP="00DD5D3A">
      <w:pPr>
        <w:pStyle w:val="BodyText"/>
        <w:spacing w:after="57"/>
      </w:pPr>
      <w:r>
        <w:t>The agency can assess whether a person has barriers to work, including medical conditions, using the following assessments:</w:t>
      </w:r>
    </w:p>
    <w:p w14:paraId="22610158" w14:textId="77777777" w:rsidR="00DD5D3A" w:rsidRDefault="00DD5D3A" w:rsidP="00DD5D3A">
      <w:pPr>
        <w:pStyle w:val="ListBullet"/>
      </w:pPr>
      <w:r>
        <w:t xml:space="preserve">Medical Assessment Team (MAT) assessments are an early assessment of all available medical evidence to determine if the more comprehensive Job Capacity Assessment (JCA) is required to assess eligibility for DSP. </w:t>
      </w:r>
    </w:p>
    <w:p w14:paraId="7E7D62FC" w14:textId="77777777" w:rsidR="00DD5D3A" w:rsidRDefault="00DD5D3A" w:rsidP="00DD5D3A">
      <w:pPr>
        <w:pStyle w:val="ListBullet"/>
      </w:pPr>
      <w:r>
        <w:t xml:space="preserve">JCAs determine the impact of medical conditions on a person’s ability to work, whether the person would benefit from employment assistance and whether they are eligible for DSP. </w:t>
      </w:r>
    </w:p>
    <w:p w14:paraId="2B4B4B78" w14:textId="77777777" w:rsidR="00DD5D3A" w:rsidRDefault="00DD5D3A" w:rsidP="00DD5D3A">
      <w:pPr>
        <w:pStyle w:val="ListBullet"/>
      </w:pPr>
      <w:r>
        <w:t>Employment Services Assessments (ESAts) identify a person’s work capacity and the most appropriate type of employment service for job seekers with multiple and/or complex barriers.</w:t>
      </w:r>
    </w:p>
    <w:p w14:paraId="029B000E" w14:textId="77777777" w:rsidR="00DD5D3A" w:rsidRDefault="00DD5D3A" w:rsidP="00DD5D3A">
      <w:pPr>
        <w:pStyle w:val="BodyText"/>
      </w:pPr>
      <w:r>
        <w:t xml:space="preserve">Table 3 shows the number of each assessment type undertaken each year from 2022–23 to 2024–25. </w:t>
      </w:r>
    </w:p>
    <w:p w14:paraId="0F5DDB2D" w14:textId="61638F77" w:rsidR="00DD5D3A" w:rsidRPr="00DD5D3A" w:rsidRDefault="001D281E" w:rsidP="00DD5D3A">
      <w:pPr>
        <w:pStyle w:val="BodyText"/>
        <w:rPr>
          <w:b/>
          <w:bCs/>
        </w:rPr>
      </w:pPr>
      <w:r>
        <w:rPr>
          <w:b/>
          <w:bCs/>
        </w:rPr>
        <w:t>Table3:</w:t>
      </w:r>
      <w:r w:rsidR="00DD5D3A" w:rsidRPr="00DD5D3A">
        <w:rPr>
          <w:b/>
          <w:bCs/>
        </w:rPr>
        <w:t xml:space="preserve"> Medical and non-medical ESAts, MAT assessments and JCA completions</w:t>
      </w:r>
    </w:p>
    <w:tbl>
      <w:tblPr>
        <w:tblStyle w:val="TableGrid"/>
        <w:tblW w:w="5000" w:type="pct"/>
        <w:tblLook w:val="04A0" w:firstRow="1" w:lastRow="0" w:firstColumn="1" w:lastColumn="0" w:noHBand="0" w:noVBand="1"/>
        <w:tblCaption w:val="Medical and non-medical ESAts, MAT assessments and JCA completions"/>
      </w:tblPr>
      <w:tblGrid>
        <w:gridCol w:w="4997"/>
        <w:gridCol w:w="2033"/>
        <w:gridCol w:w="2033"/>
        <w:gridCol w:w="2033"/>
      </w:tblGrid>
      <w:tr w:rsidR="00DD5D3A" w14:paraId="2DB53B53" w14:textId="77777777" w:rsidTr="005875A4">
        <w:trPr>
          <w:trHeight w:val="396"/>
          <w:tblHeader/>
        </w:trPr>
        <w:tc>
          <w:tcPr>
            <w:tcW w:w="2252" w:type="pct"/>
          </w:tcPr>
          <w:p w14:paraId="1EAE08C5" w14:textId="77777777" w:rsidR="00DD5D3A" w:rsidRPr="00BE065F" w:rsidRDefault="00DD5D3A" w:rsidP="00BE065F">
            <w:pPr>
              <w:pStyle w:val="BodyText"/>
              <w:rPr>
                <w:b/>
                <w:bCs/>
              </w:rPr>
            </w:pPr>
          </w:p>
        </w:tc>
        <w:tc>
          <w:tcPr>
            <w:tcW w:w="916" w:type="pct"/>
          </w:tcPr>
          <w:p w14:paraId="1593399F" w14:textId="77777777" w:rsidR="00DD5D3A" w:rsidRPr="00BE065F" w:rsidRDefault="00DD5D3A" w:rsidP="00BE065F">
            <w:pPr>
              <w:pStyle w:val="BodyText"/>
              <w:jc w:val="right"/>
              <w:rPr>
                <w:b/>
                <w:bCs/>
              </w:rPr>
            </w:pPr>
            <w:r w:rsidRPr="00BE065F">
              <w:rPr>
                <w:b/>
                <w:bCs/>
              </w:rPr>
              <w:t>2022–23</w:t>
            </w:r>
          </w:p>
        </w:tc>
        <w:tc>
          <w:tcPr>
            <w:tcW w:w="916" w:type="pct"/>
          </w:tcPr>
          <w:p w14:paraId="4C164A40" w14:textId="77777777" w:rsidR="00DD5D3A" w:rsidRPr="00BE065F" w:rsidRDefault="00DD5D3A" w:rsidP="00BE065F">
            <w:pPr>
              <w:pStyle w:val="BodyText"/>
              <w:jc w:val="right"/>
              <w:rPr>
                <w:b/>
                <w:bCs/>
              </w:rPr>
            </w:pPr>
            <w:r w:rsidRPr="00BE065F">
              <w:rPr>
                <w:b/>
                <w:bCs/>
              </w:rPr>
              <w:t>2023–24</w:t>
            </w:r>
          </w:p>
        </w:tc>
        <w:tc>
          <w:tcPr>
            <w:tcW w:w="916" w:type="pct"/>
          </w:tcPr>
          <w:p w14:paraId="0E2B49A7" w14:textId="77777777" w:rsidR="00DD5D3A" w:rsidRPr="00BE065F" w:rsidRDefault="00DD5D3A" w:rsidP="00BE065F">
            <w:pPr>
              <w:pStyle w:val="BodyText"/>
              <w:jc w:val="right"/>
              <w:rPr>
                <w:b/>
                <w:bCs/>
              </w:rPr>
            </w:pPr>
            <w:r w:rsidRPr="00BE065F">
              <w:rPr>
                <w:b/>
                <w:bCs/>
              </w:rPr>
              <w:t>2024–25</w:t>
            </w:r>
          </w:p>
        </w:tc>
      </w:tr>
      <w:tr w:rsidR="00DD5D3A" w14:paraId="2C4D4208" w14:textId="77777777" w:rsidTr="006A0585">
        <w:trPr>
          <w:trHeight w:val="396"/>
        </w:trPr>
        <w:tc>
          <w:tcPr>
            <w:tcW w:w="2252" w:type="pct"/>
          </w:tcPr>
          <w:p w14:paraId="1CB1A6B6" w14:textId="77777777" w:rsidR="00DD5D3A" w:rsidRDefault="00DD5D3A" w:rsidP="00874D7C">
            <w:pPr>
              <w:pStyle w:val="BodyText"/>
            </w:pPr>
            <w:r>
              <w:t>MAT assessments</w:t>
            </w:r>
          </w:p>
        </w:tc>
        <w:tc>
          <w:tcPr>
            <w:tcW w:w="916" w:type="pct"/>
          </w:tcPr>
          <w:p w14:paraId="66555980" w14:textId="77777777" w:rsidR="00DD5D3A" w:rsidRDefault="00DD5D3A" w:rsidP="00874D7C">
            <w:pPr>
              <w:pStyle w:val="BodyText"/>
              <w:jc w:val="right"/>
            </w:pPr>
            <w:r>
              <w:t>112,079</w:t>
            </w:r>
          </w:p>
        </w:tc>
        <w:tc>
          <w:tcPr>
            <w:tcW w:w="916" w:type="pct"/>
          </w:tcPr>
          <w:p w14:paraId="735764FB" w14:textId="77777777" w:rsidR="00DD5D3A" w:rsidRDefault="00DD5D3A" w:rsidP="00874D7C">
            <w:pPr>
              <w:pStyle w:val="BodyText"/>
              <w:jc w:val="right"/>
            </w:pPr>
            <w:r>
              <w:t>119,000</w:t>
            </w:r>
          </w:p>
        </w:tc>
        <w:tc>
          <w:tcPr>
            <w:tcW w:w="916" w:type="pct"/>
          </w:tcPr>
          <w:p w14:paraId="7AC9D715" w14:textId="77777777" w:rsidR="00DD5D3A" w:rsidRDefault="00DD5D3A" w:rsidP="00874D7C">
            <w:pPr>
              <w:pStyle w:val="BodyText"/>
              <w:jc w:val="right"/>
            </w:pPr>
            <w:r>
              <w:t xml:space="preserve">128,132 </w:t>
            </w:r>
          </w:p>
        </w:tc>
      </w:tr>
      <w:tr w:rsidR="00DD5D3A" w14:paraId="4F486C11" w14:textId="77777777" w:rsidTr="006A0585">
        <w:trPr>
          <w:trHeight w:val="396"/>
        </w:trPr>
        <w:tc>
          <w:tcPr>
            <w:tcW w:w="2252" w:type="pct"/>
          </w:tcPr>
          <w:p w14:paraId="2AEAFB0F" w14:textId="77777777" w:rsidR="00DD5D3A" w:rsidRDefault="00DD5D3A" w:rsidP="00874D7C">
            <w:pPr>
              <w:pStyle w:val="BodyText"/>
            </w:pPr>
            <w:r>
              <w:lastRenderedPageBreak/>
              <w:t>JCAs</w:t>
            </w:r>
          </w:p>
        </w:tc>
        <w:tc>
          <w:tcPr>
            <w:tcW w:w="916" w:type="pct"/>
          </w:tcPr>
          <w:p w14:paraId="13AE333D" w14:textId="77777777" w:rsidR="00DD5D3A" w:rsidRDefault="00DD5D3A" w:rsidP="00874D7C">
            <w:pPr>
              <w:pStyle w:val="BodyText"/>
              <w:jc w:val="right"/>
            </w:pPr>
            <w:r>
              <w:t>51,126</w:t>
            </w:r>
          </w:p>
        </w:tc>
        <w:tc>
          <w:tcPr>
            <w:tcW w:w="916" w:type="pct"/>
          </w:tcPr>
          <w:p w14:paraId="1CF054E6" w14:textId="77777777" w:rsidR="00DD5D3A" w:rsidRDefault="00DD5D3A" w:rsidP="00874D7C">
            <w:pPr>
              <w:pStyle w:val="BodyText"/>
              <w:jc w:val="right"/>
            </w:pPr>
            <w:r>
              <w:t>69,663</w:t>
            </w:r>
          </w:p>
        </w:tc>
        <w:tc>
          <w:tcPr>
            <w:tcW w:w="916" w:type="pct"/>
          </w:tcPr>
          <w:p w14:paraId="4AF5B5B3" w14:textId="77777777" w:rsidR="00DD5D3A" w:rsidRDefault="00DD5D3A" w:rsidP="00874D7C">
            <w:pPr>
              <w:pStyle w:val="BodyText"/>
              <w:jc w:val="right"/>
            </w:pPr>
            <w:r>
              <w:t>86,187</w:t>
            </w:r>
          </w:p>
        </w:tc>
      </w:tr>
      <w:tr w:rsidR="00DD5D3A" w14:paraId="35666DC6" w14:textId="77777777" w:rsidTr="006A0585">
        <w:trPr>
          <w:trHeight w:val="396"/>
        </w:trPr>
        <w:tc>
          <w:tcPr>
            <w:tcW w:w="2252" w:type="pct"/>
          </w:tcPr>
          <w:p w14:paraId="2866B26D" w14:textId="77777777" w:rsidR="00DD5D3A" w:rsidRDefault="00DD5D3A" w:rsidP="00874D7C">
            <w:pPr>
              <w:pStyle w:val="BodyText"/>
            </w:pPr>
            <w:r>
              <w:t>ESAts – medical</w:t>
            </w:r>
          </w:p>
        </w:tc>
        <w:tc>
          <w:tcPr>
            <w:tcW w:w="916" w:type="pct"/>
          </w:tcPr>
          <w:p w14:paraId="06D7C8CE" w14:textId="77777777" w:rsidR="00DD5D3A" w:rsidRDefault="00DD5D3A" w:rsidP="00874D7C">
            <w:pPr>
              <w:pStyle w:val="BodyText"/>
              <w:jc w:val="right"/>
            </w:pPr>
            <w:r>
              <w:t>174,513</w:t>
            </w:r>
          </w:p>
        </w:tc>
        <w:tc>
          <w:tcPr>
            <w:tcW w:w="916" w:type="pct"/>
          </w:tcPr>
          <w:p w14:paraId="1F3F4C12" w14:textId="77777777" w:rsidR="00DD5D3A" w:rsidRDefault="00DD5D3A" w:rsidP="00874D7C">
            <w:pPr>
              <w:pStyle w:val="BodyText"/>
              <w:jc w:val="right"/>
            </w:pPr>
            <w:r>
              <w:t>182,720</w:t>
            </w:r>
          </w:p>
        </w:tc>
        <w:tc>
          <w:tcPr>
            <w:tcW w:w="916" w:type="pct"/>
          </w:tcPr>
          <w:p w14:paraId="5A562215" w14:textId="77777777" w:rsidR="00DD5D3A" w:rsidRDefault="00DD5D3A" w:rsidP="00874D7C">
            <w:pPr>
              <w:pStyle w:val="BodyText"/>
              <w:jc w:val="right"/>
            </w:pPr>
            <w:r>
              <w:t>159,045</w:t>
            </w:r>
          </w:p>
        </w:tc>
      </w:tr>
      <w:tr w:rsidR="00DD5D3A" w14:paraId="62A1BCBE" w14:textId="77777777" w:rsidTr="006A0585">
        <w:trPr>
          <w:trHeight w:val="396"/>
        </w:trPr>
        <w:tc>
          <w:tcPr>
            <w:tcW w:w="2252" w:type="pct"/>
          </w:tcPr>
          <w:p w14:paraId="358E1F38" w14:textId="77777777" w:rsidR="00DD5D3A" w:rsidRDefault="00DD5D3A" w:rsidP="00874D7C">
            <w:pPr>
              <w:pStyle w:val="BodyText"/>
            </w:pPr>
            <w:r>
              <w:t>ESAts – non-medical</w:t>
            </w:r>
          </w:p>
        </w:tc>
        <w:tc>
          <w:tcPr>
            <w:tcW w:w="916" w:type="pct"/>
          </w:tcPr>
          <w:p w14:paraId="28507C77" w14:textId="77777777" w:rsidR="00DD5D3A" w:rsidRDefault="00DD5D3A" w:rsidP="00874D7C">
            <w:pPr>
              <w:pStyle w:val="BodyText"/>
              <w:jc w:val="right"/>
            </w:pPr>
            <w:r>
              <w:t>8,708</w:t>
            </w:r>
          </w:p>
        </w:tc>
        <w:tc>
          <w:tcPr>
            <w:tcW w:w="916" w:type="pct"/>
          </w:tcPr>
          <w:p w14:paraId="32C3A1E5" w14:textId="77777777" w:rsidR="00DD5D3A" w:rsidRDefault="00DD5D3A" w:rsidP="00874D7C">
            <w:pPr>
              <w:pStyle w:val="BodyText"/>
              <w:jc w:val="right"/>
            </w:pPr>
            <w:r>
              <w:t>7,636</w:t>
            </w:r>
          </w:p>
        </w:tc>
        <w:tc>
          <w:tcPr>
            <w:tcW w:w="916" w:type="pct"/>
          </w:tcPr>
          <w:p w14:paraId="16269EAB" w14:textId="77777777" w:rsidR="00DD5D3A" w:rsidRDefault="00DD5D3A" w:rsidP="00874D7C">
            <w:pPr>
              <w:pStyle w:val="BodyText"/>
              <w:jc w:val="right"/>
            </w:pPr>
            <w:r>
              <w:t>1,905</w:t>
            </w:r>
          </w:p>
        </w:tc>
      </w:tr>
      <w:tr w:rsidR="00DD5D3A" w14:paraId="3F6C879C" w14:textId="77777777" w:rsidTr="006A0585">
        <w:trPr>
          <w:trHeight w:val="396"/>
        </w:trPr>
        <w:tc>
          <w:tcPr>
            <w:tcW w:w="2252" w:type="pct"/>
          </w:tcPr>
          <w:p w14:paraId="71D2AED2" w14:textId="77777777" w:rsidR="00DD5D3A" w:rsidRDefault="00DD5D3A" w:rsidP="00874D7C">
            <w:pPr>
              <w:pStyle w:val="BodyText"/>
            </w:pPr>
            <w:r>
              <w:rPr>
                <w:rStyle w:val="Bold"/>
              </w:rPr>
              <w:t xml:space="preserve">Total </w:t>
            </w:r>
          </w:p>
        </w:tc>
        <w:tc>
          <w:tcPr>
            <w:tcW w:w="916" w:type="pct"/>
          </w:tcPr>
          <w:p w14:paraId="3A899A69" w14:textId="77777777" w:rsidR="00DD5D3A" w:rsidRDefault="00DD5D3A" w:rsidP="00874D7C">
            <w:pPr>
              <w:pStyle w:val="BodyText"/>
              <w:jc w:val="right"/>
            </w:pPr>
            <w:r>
              <w:rPr>
                <w:rStyle w:val="Bold"/>
              </w:rPr>
              <w:t>346,426</w:t>
            </w:r>
          </w:p>
        </w:tc>
        <w:tc>
          <w:tcPr>
            <w:tcW w:w="916" w:type="pct"/>
          </w:tcPr>
          <w:p w14:paraId="4BF58C2E" w14:textId="77777777" w:rsidR="00DD5D3A" w:rsidRDefault="00DD5D3A" w:rsidP="00874D7C">
            <w:pPr>
              <w:pStyle w:val="BodyText"/>
              <w:jc w:val="right"/>
            </w:pPr>
            <w:r>
              <w:rPr>
                <w:rStyle w:val="Bold"/>
              </w:rPr>
              <w:t>379,019</w:t>
            </w:r>
          </w:p>
        </w:tc>
        <w:tc>
          <w:tcPr>
            <w:tcW w:w="916" w:type="pct"/>
          </w:tcPr>
          <w:p w14:paraId="260F98FA" w14:textId="77777777" w:rsidR="00DD5D3A" w:rsidRDefault="00DD5D3A" w:rsidP="00874D7C">
            <w:pPr>
              <w:pStyle w:val="BodyText"/>
              <w:jc w:val="right"/>
            </w:pPr>
            <w:r>
              <w:rPr>
                <w:rStyle w:val="Bold"/>
              </w:rPr>
              <w:t>375,269</w:t>
            </w:r>
          </w:p>
        </w:tc>
      </w:tr>
    </w:tbl>
    <w:p w14:paraId="7E2DD418" w14:textId="77777777" w:rsidR="00DD5D3A" w:rsidRDefault="00DD5D3A" w:rsidP="00DD5D3A">
      <w:pPr>
        <w:pStyle w:val="Heading3"/>
      </w:pPr>
      <w:r>
        <w:t>Assessors</w:t>
      </w:r>
    </w:p>
    <w:p w14:paraId="3F2E8C10" w14:textId="77777777" w:rsidR="00DD5D3A" w:rsidRDefault="00DD5D3A" w:rsidP="00DD5D3A">
      <w:pPr>
        <w:pStyle w:val="BodyText"/>
      </w:pPr>
      <w:r>
        <w:t xml:space="preserve">The agency employs 527 qualified health and allied health professionals (assessors) to assess whether customers have medical or other barriers that may prevent them from participating in the workforce. Assessors may recommend a reduction of the participation expectations for job seekers, connect people to employment services providers for support, or assess medical eligibility for DSP. </w:t>
      </w:r>
    </w:p>
    <w:p w14:paraId="77C018A7" w14:textId="77777777" w:rsidR="00DD5D3A" w:rsidRDefault="00DD5D3A" w:rsidP="00DD5D3A">
      <w:pPr>
        <w:pStyle w:val="BodyText"/>
      </w:pPr>
      <w:r>
        <w:t xml:space="preserve">Assessment services also include a Health Professional Advisory Unit (HPAU), a team of 9 medical advisors and 6 health and allied health professionals, who offer medical opinion to support agency decision-making regarding complex DSP claims. </w:t>
      </w:r>
    </w:p>
    <w:p w14:paraId="1F7EAC84" w14:textId="77777777" w:rsidR="00DD5D3A" w:rsidRDefault="00DD5D3A" w:rsidP="00DD5D3A">
      <w:pPr>
        <w:pStyle w:val="BodyText"/>
      </w:pPr>
      <w:r>
        <w:t xml:space="preserve">In 2024–25 the HPAU completed 1,369 referrals. </w:t>
      </w:r>
    </w:p>
    <w:p w14:paraId="59AD0284" w14:textId="77777777" w:rsidR="00DD5D3A" w:rsidRDefault="00DD5D3A" w:rsidP="00DD5D3A">
      <w:pPr>
        <w:pStyle w:val="Heading1"/>
      </w:pPr>
      <w:bookmarkStart w:id="17" w:name="_Toc210815396"/>
      <w:r>
        <w:t>4.2 Health</w:t>
      </w:r>
      <w:bookmarkEnd w:id="17"/>
    </w:p>
    <w:p w14:paraId="5D46757E" w14:textId="77777777" w:rsidR="00DD5D3A" w:rsidRDefault="00DD5D3A" w:rsidP="00DD5D3A">
      <w:pPr>
        <w:pStyle w:val="BodyText"/>
      </w:pPr>
      <w:r>
        <w:t>The agency administers a range of health, pharmaceutical, aged care and veterans’ programs and related services, providing cost-effective medicines, health services and care to support an ageing population.</w:t>
      </w:r>
    </w:p>
    <w:p w14:paraId="7316400E" w14:textId="77777777" w:rsidR="00DD5D3A" w:rsidRDefault="00DD5D3A" w:rsidP="00DD5D3A">
      <w:pPr>
        <w:pStyle w:val="BodyText"/>
      </w:pPr>
      <w:r>
        <w:t xml:space="preserve">For more reporting about health programs, payments and services, refer to the 2024–25 annual report for the Department of Health, Disability and Ageing (DHDA). </w:t>
      </w:r>
    </w:p>
    <w:p w14:paraId="37A45EC2" w14:textId="77777777" w:rsidR="00DD5D3A" w:rsidRDefault="00DD5D3A" w:rsidP="00DD5D3A">
      <w:pPr>
        <w:pStyle w:val="Heading2"/>
      </w:pPr>
      <w:r>
        <w:t>Medicare</w:t>
      </w:r>
    </w:p>
    <w:p w14:paraId="37D4141D" w14:textId="77777777" w:rsidR="00DD5D3A" w:rsidRDefault="00DD5D3A" w:rsidP="00DD5D3A">
      <w:pPr>
        <w:pStyle w:val="BodyText"/>
      </w:pPr>
      <w:r>
        <w:t xml:space="preserve">Medicare gives access to essential health related services, such as seeing a doctor, getting medicines, and accessing mental health services and other medical services. </w:t>
      </w:r>
    </w:p>
    <w:p w14:paraId="5E147BFE" w14:textId="77777777" w:rsidR="00DD5D3A" w:rsidRDefault="00DD5D3A" w:rsidP="00DD5D3A">
      <w:pPr>
        <w:pStyle w:val="BodyText"/>
      </w:pPr>
      <w:r>
        <w:t xml:space="preserve">In 2024–25, 27.5 million people were enrolled in Medicare and $32.8 billion was paid in Medicare benefits. </w:t>
      </w:r>
    </w:p>
    <w:p w14:paraId="52E5A8D9" w14:textId="77777777" w:rsidR="00DD5D3A" w:rsidRDefault="00DD5D3A" w:rsidP="00DD5D3A">
      <w:pPr>
        <w:pStyle w:val="BodyText"/>
      </w:pPr>
      <w:r>
        <w:t>Table 4 shows enrolment numbers from 2022–23 to 2024–25.</w:t>
      </w:r>
    </w:p>
    <w:p w14:paraId="4F8B640C" w14:textId="3E439303" w:rsidR="00DD5D3A" w:rsidRPr="00DD5D3A" w:rsidRDefault="001D281E" w:rsidP="00DD5D3A">
      <w:pPr>
        <w:pStyle w:val="BodyText"/>
        <w:rPr>
          <w:b/>
          <w:bCs/>
        </w:rPr>
      </w:pPr>
      <w:r>
        <w:rPr>
          <w:b/>
          <w:bCs/>
        </w:rPr>
        <w:t>Table 4:</w:t>
      </w:r>
      <w:r w:rsidR="00DD5D3A" w:rsidRPr="00DD5D3A">
        <w:rPr>
          <w:b/>
          <w:bCs/>
        </w:rPr>
        <w:t xml:space="preserve"> Medicare enrolments</w:t>
      </w:r>
    </w:p>
    <w:tbl>
      <w:tblPr>
        <w:tblStyle w:val="TableGrid"/>
        <w:tblW w:w="5000" w:type="pct"/>
        <w:tblLook w:val="04A0" w:firstRow="1" w:lastRow="0" w:firstColumn="1" w:lastColumn="0" w:noHBand="0" w:noVBand="1"/>
        <w:tblCaption w:val="Medicare enrolments"/>
      </w:tblPr>
      <w:tblGrid>
        <w:gridCol w:w="4997"/>
        <w:gridCol w:w="2033"/>
        <w:gridCol w:w="2033"/>
        <w:gridCol w:w="2033"/>
      </w:tblGrid>
      <w:tr w:rsidR="00DD5D3A" w14:paraId="6FBD2C83" w14:textId="77777777" w:rsidTr="005875A4">
        <w:trPr>
          <w:trHeight w:val="396"/>
          <w:tblHeader/>
        </w:trPr>
        <w:tc>
          <w:tcPr>
            <w:tcW w:w="2252" w:type="pct"/>
          </w:tcPr>
          <w:p w14:paraId="318A0AAF" w14:textId="77777777" w:rsidR="00DD5D3A" w:rsidRPr="00BE065F" w:rsidRDefault="00DD5D3A" w:rsidP="00BE065F">
            <w:pPr>
              <w:pStyle w:val="BodyText"/>
              <w:rPr>
                <w:b/>
                <w:bCs/>
              </w:rPr>
            </w:pPr>
          </w:p>
        </w:tc>
        <w:tc>
          <w:tcPr>
            <w:tcW w:w="916" w:type="pct"/>
          </w:tcPr>
          <w:p w14:paraId="17C8ABC0" w14:textId="77777777" w:rsidR="00DD5D3A" w:rsidRPr="00BE065F" w:rsidRDefault="00DD5D3A" w:rsidP="00BE065F">
            <w:pPr>
              <w:pStyle w:val="BodyText"/>
              <w:jc w:val="right"/>
              <w:rPr>
                <w:b/>
                <w:bCs/>
              </w:rPr>
            </w:pPr>
            <w:r w:rsidRPr="00BE065F">
              <w:rPr>
                <w:b/>
                <w:bCs/>
              </w:rPr>
              <w:t>2022–23</w:t>
            </w:r>
          </w:p>
        </w:tc>
        <w:tc>
          <w:tcPr>
            <w:tcW w:w="916" w:type="pct"/>
          </w:tcPr>
          <w:p w14:paraId="0871A5DE" w14:textId="77777777" w:rsidR="00DD5D3A" w:rsidRPr="00BE065F" w:rsidRDefault="00DD5D3A" w:rsidP="00BE065F">
            <w:pPr>
              <w:pStyle w:val="BodyText"/>
              <w:jc w:val="right"/>
              <w:rPr>
                <w:b/>
                <w:bCs/>
              </w:rPr>
            </w:pPr>
            <w:r w:rsidRPr="00BE065F">
              <w:rPr>
                <w:b/>
                <w:bCs/>
              </w:rPr>
              <w:t>2023–24</w:t>
            </w:r>
          </w:p>
        </w:tc>
        <w:tc>
          <w:tcPr>
            <w:tcW w:w="916" w:type="pct"/>
          </w:tcPr>
          <w:p w14:paraId="0AF4E335" w14:textId="77777777" w:rsidR="00DD5D3A" w:rsidRPr="00BE065F" w:rsidRDefault="00DD5D3A" w:rsidP="00BE065F">
            <w:pPr>
              <w:pStyle w:val="BodyText"/>
              <w:jc w:val="right"/>
              <w:rPr>
                <w:b/>
                <w:bCs/>
              </w:rPr>
            </w:pPr>
            <w:r w:rsidRPr="00BE065F">
              <w:rPr>
                <w:b/>
                <w:bCs/>
              </w:rPr>
              <w:t>2024–25</w:t>
            </w:r>
          </w:p>
        </w:tc>
      </w:tr>
      <w:tr w:rsidR="00DD5D3A" w14:paraId="63F92092" w14:textId="77777777" w:rsidTr="006A0585">
        <w:trPr>
          <w:trHeight w:val="396"/>
        </w:trPr>
        <w:tc>
          <w:tcPr>
            <w:tcW w:w="2252" w:type="pct"/>
          </w:tcPr>
          <w:p w14:paraId="476189A3" w14:textId="77777777" w:rsidR="00DD5D3A" w:rsidRDefault="00DD5D3A" w:rsidP="00874D7C">
            <w:pPr>
              <w:pStyle w:val="BodyText"/>
            </w:pPr>
            <w:r>
              <w:t>People enrolled at 30 June</w:t>
            </w:r>
          </w:p>
        </w:tc>
        <w:tc>
          <w:tcPr>
            <w:tcW w:w="916" w:type="pct"/>
          </w:tcPr>
          <w:p w14:paraId="03EA095C" w14:textId="77777777" w:rsidR="00DD5D3A" w:rsidRDefault="00DD5D3A" w:rsidP="00874D7C">
            <w:pPr>
              <w:pStyle w:val="BodyText"/>
              <w:jc w:val="right"/>
            </w:pPr>
            <w:r>
              <w:t>26.7 million</w:t>
            </w:r>
          </w:p>
        </w:tc>
        <w:tc>
          <w:tcPr>
            <w:tcW w:w="916" w:type="pct"/>
          </w:tcPr>
          <w:p w14:paraId="4475CB6A" w14:textId="77777777" w:rsidR="00DD5D3A" w:rsidRDefault="00DD5D3A" w:rsidP="00874D7C">
            <w:pPr>
              <w:pStyle w:val="BodyText"/>
              <w:jc w:val="right"/>
            </w:pPr>
            <w:r>
              <w:t>27.1 million</w:t>
            </w:r>
          </w:p>
        </w:tc>
        <w:tc>
          <w:tcPr>
            <w:tcW w:w="916" w:type="pct"/>
          </w:tcPr>
          <w:p w14:paraId="760975CD" w14:textId="77777777" w:rsidR="00DD5D3A" w:rsidRDefault="00DD5D3A" w:rsidP="00874D7C">
            <w:pPr>
              <w:pStyle w:val="BodyText"/>
              <w:jc w:val="right"/>
            </w:pPr>
            <w:r>
              <w:t>27.5 million</w:t>
            </w:r>
          </w:p>
        </w:tc>
      </w:tr>
      <w:tr w:rsidR="00DD5D3A" w14:paraId="5438B860" w14:textId="77777777" w:rsidTr="006A0585">
        <w:trPr>
          <w:trHeight w:val="396"/>
        </w:trPr>
        <w:tc>
          <w:tcPr>
            <w:tcW w:w="2252" w:type="pct"/>
          </w:tcPr>
          <w:p w14:paraId="67637ED7" w14:textId="77777777" w:rsidR="00DD5D3A" w:rsidRDefault="00DD5D3A" w:rsidP="00874D7C">
            <w:pPr>
              <w:pStyle w:val="BodyText"/>
            </w:pPr>
            <w:r>
              <w:t>Active cards at 30 June</w:t>
            </w:r>
          </w:p>
        </w:tc>
        <w:tc>
          <w:tcPr>
            <w:tcW w:w="916" w:type="pct"/>
          </w:tcPr>
          <w:p w14:paraId="6F05FD55" w14:textId="77777777" w:rsidR="00DD5D3A" w:rsidRDefault="00DD5D3A" w:rsidP="00874D7C">
            <w:pPr>
              <w:pStyle w:val="BodyText"/>
              <w:jc w:val="right"/>
            </w:pPr>
            <w:r>
              <w:t>15.4 million</w:t>
            </w:r>
          </w:p>
        </w:tc>
        <w:tc>
          <w:tcPr>
            <w:tcW w:w="916" w:type="pct"/>
          </w:tcPr>
          <w:p w14:paraId="53D4900D" w14:textId="77777777" w:rsidR="00DD5D3A" w:rsidRDefault="00DD5D3A" w:rsidP="00874D7C">
            <w:pPr>
              <w:pStyle w:val="BodyText"/>
              <w:jc w:val="right"/>
            </w:pPr>
            <w:r>
              <w:t>15.7 million</w:t>
            </w:r>
          </w:p>
        </w:tc>
        <w:tc>
          <w:tcPr>
            <w:tcW w:w="916" w:type="pct"/>
          </w:tcPr>
          <w:p w14:paraId="1CA72B66" w14:textId="77777777" w:rsidR="00DD5D3A" w:rsidRDefault="00DD5D3A" w:rsidP="00874D7C">
            <w:pPr>
              <w:pStyle w:val="BodyText"/>
              <w:jc w:val="right"/>
            </w:pPr>
            <w:r>
              <w:t>15.9 million</w:t>
            </w:r>
          </w:p>
        </w:tc>
      </w:tr>
      <w:tr w:rsidR="00DD5D3A" w14:paraId="083670E5" w14:textId="77777777" w:rsidTr="006A0585">
        <w:trPr>
          <w:trHeight w:val="396"/>
        </w:trPr>
        <w:tc>
          <w:tcPr>
            <w:tcW w:w="2252" w:type="pct"/>
          </w:tcPr>
          <w:p w14:paraId="1F06304A" w14:textId="77777777" w:rsidR="00DD5D3A" w:rsidRDefault="00DD5D3A" w:rsidP="00874D7C">
            <w:pPr>
              <w:pStyle w:val="BodyText"/>
            </w:pPr>
            <w:r>
              <w:lastRenderedPageBreak/>
              <w:t>New enrolments</w:t>
            </w:r>
          </w:p>
        </w:tc>
        <w:tc>
          <w:tcPr>
            <w:tcW w:w="916" w:type="pct"/>
          </w:tcPr>
          <w:p w14:paraId="4B77528F" w14:textId="77777777" w:rsidR="00DD5D3A" w:rsidRDefault="00DD5D3A" w:rsidP="00874D7C">
            <w:pPr>
              <w:pStyle w:val="BodyText"/>
              <w:jc w:val="right"/>
            </w:pPr>
            <w:r>
              <w:t>538,530</w:t>
            </w:r>
          </w:p>
        </w:tc>
        <w:tc>
          <w:tcPr>
            <w:tcW w:w="916" w:type="pct"/>
          </w:tcPr>
          <w:p w14:paraId="3BA72352" w14:textId="77777777" w:rsidR="00DD5D3A" w:rsidRDefault="00DD5D3A" w:rsidP="00874D7C">
            <w:pPr>
              <w:pStyle w:val="BodyText"/>
              <w:jc w:val="right"/>
            </w:pPr>
            <w:r>
              <w:t>602,726</w:t>
            </w:r>
          </w:p>
        </w:tc>
        <w:tc>
          <w:tcPr>
            <w:tcW w:w="916" w:type="pct"/>
          </w:tcPr>
          <w:p w14:paraId="1602E5CC" w14:textId="77777777" w:rsidR="00DD5D3A" w:rsidRDefault="00DD5D3A" w:rsidP="00874D7C">
            <w:pPr>
              <w:pStyle w:val="BodyText"/>
              <w:jc w:val="right"/>
            </w:pPr>
            <w:r>
              <w:t>605,830</w:t>
            </w:r>
          </w:p>
        </w:tc>
      </w:tr>
    </w:tbl>
    <w:p w14:paraId="2926F6F5" w14:textId="77777777" w:rsidR="00DD5D3A" w:rsidRDefault="00DD5D3A" w:rsidP="00DD5D3A">
      <w:pPr>
        <w:pStyle w:val="Heading3"/>
      </w:pPr>
      <w:r>
        <w:t>Medicare Entitlement Statements</w:t>
      </w:r>
    </w:p>
    <w:p w14:paraId="56DCED1E" w14:textId="77777777" w:rsidR="00DD5D3A" w:rsidRDefault="00DD5D3A" w:rsidP="00DD5D3A">
      <w:pPr>
        <w:pStyle w:val="BodyText"/>
      </w:pPr>
      <w:r>
        <w:t>People who do not meet the eligibility criteria for Medicare may apply to be exempt from paying the Medicare levy as part of their tax return. If an individual is not eligible for Medicare for all or part of a financial year, a Medicare Entitlement Statement can be obtained from the agency and submitted to the ATO with an application for an exemption.</w:t>
      </w:r>
    </w:p>
    <w:p w14:paraId="7481891D" w14:textId="77777777" w:rsidR="00DD5D3A" w:rsidRDefault="00DD5D3A" w:rsidP="00DD5D3A">
      <w:pPr>
        <w:pStyle w:val="BodyText"/>
      </w:pPr>
      <w:r>
        <w:t>Table 5 shows application numbers for Medicare Entitlement Statements from 2022–23 to 2024–25.</w:t>
      </w:r>
    </w:p>
    <w:p w14:paraId="287608FC" w14:textId="6A7B68B2" w:rsidR="00DD5D3A" w:rsidRPr="00DD5D3A" w:rsidRDefault="001D281E" w:rsidP="00DD5D3A">
      <w:pPr>
        <w:pStyle w:val="BodyText"/>
        <w:rPr>
          <w:b/>
          <w:bCs/>
        </w:rPr>
      </w:pPr>
      <w:r>
        <w:rPr>
          <w:b/>
          <w:bCs/>
        </w:rPr>
        <w:t>Table 5:</w:t>
      </w:r>
      <w:r w:rsidR="00DD5D3A" w:rsidRPr="00DD5D3A">
        <w:rPr>
          <w:b/>
          <w:bCs/>
        </w:rPr>
        <w:t xml:space="preserve"> Medicare Entitlement Statement applications</w:t>
      </w:r>
    </w:p>
    <w:tbl>
      <w:tblPr>
        <w:tblStyle w:val="TableGrid"/>
        <w:tblW w:w="5000" w:type="pct"/>
        <w:tblLook w:val="04A0" w:firstRow="1" w:lastRow="0" w:firstColumn="1" w:lastColumn="0" w:noHBand="0" w:noVBand="1"/>
        <w:tblCaption w:val="Medicare Entitlement Statement applications"/>
      </w:tblPr>
      <w:tblGrid>
        <w:gridCol w:w="4997"/>
        <w:gridCol w:w="2033"/>
        <w:gridCol w:w="2033"/>
        <w:gridCol w:w="2033"/>
      </w:tblGrid>
      <w:tr w:rsidR="00DD5D3A" w14:paraId="7A9D92A1" w14:textId="77777777" w:rsidTr="005875A4">
        <w:trPr>
          <w:trHeight w:val="396"/>
          <w:tblHeader/>
        </w:trPr>
        <w:tc>
          <w:tcPr>
            <w:tcW w:w="2252" w:type="pct"/>
          </w:tcPr>
          <w:p w14:paraId="5343714E" w14:textId="77777777" w:rsidR="00DD5D3A" w:rsidRPr="00BE065F" w:rsidRDefault="00DD5D3A" w:rsidP="00BE065F">
            <w:pPr>
              <w:pStyle w:val="BodyText"/>
              <w:jc w:val="right"/>
              <w:rPr>
                <w:b/>
                <w:bCs/>
              </w:rPr>
            </w:pPr>
          </w:p>
        </w:tc>
        <w:tc>
          <w:tcPr>
            <w:tcW w:w="916" w:type="pct"/>
          </w:tcPr>
          <w:p w14:paraId="5D5E9B4B" w14:textId="77777777" w:rsidR="00DD5D3A" w:rsidRPr="00BE065F" w:rsidRDefault="00DD5D3A" w:rsidP="00BE065F">
            <w:pPr>
              <w:pStyle w:val="BodyText"/>
              <w:jc w:val="right"/>
              <w:rPr>
                <w:b/>
                <w:bCs/>
              </w:rPr>
            </w:pPr>
            <w:r w:rsidRPr="00BE065F">
              <w:rPr>
                <w:b/>
                <w:bCs/>
              </w:rPr>
              <w:t>2022–23</w:t>
            </w:r>
          </w:p>
        </w:tc>
        <w:tc>
          <w:tcPr>
            <w:tcW w:w="916" w:type="pct"/>
          </w:tcPr>
          <w:p w14:paraId="117883E9" w14:textId="77777777" w:rsidR="00DD5D3A" w:rsidRPr="00BE065F" w:rsidRDefault="00DD5D3A" w:rsidP="00BE065F">
            <w:pPr>
              <w:pStyle w:val="BodyText"/>
              <w:jc w:val="right"/>
              <w:rPr>
                <w:b/>
                <w:bCs/>
              </w:rPr>
            </w:pPr>
            <w:r w:rsidRPr="00BE065F">
              <w:rPr>
                <w:b/>
                <w:bCs/>
              </w:rPr>
              <w:t>2023–24</w:t>
            </w:r>
          </w:p>
        </w:tc>
        <w:tc>
          <w:tcPr>
            <w:tcW w:w="916" w:type="pct"/>
          </w:tcPr>
          <w:p w14:paraId="57693831" w14:textId="77777777" w:rsidR="00DD5D3A" w:rsidRPr="00BE065F" w:rsidRDefault="00DD5D3A" w:rsidP="00BE065F">
            <w:pPr>
              <w:pStyle w:val="BodyText"/>
              <w:jc w:val="right"/>
              <w:rPr>
                <w:b/>
                <w:bCs/>
              </w:rPr>
            </w:pPr>
            <w:r w:rsidRPr="00BE065F">
              <w:rPr>
                <w:b/>
                <w:bCs/>
              </w:rPr>
              <w:t>2024–25</w:t>
            </w:r>
          </w:p>
        </w:tc>
      </w:tr>
      <w:tr w:rsidR="00DD5D3A" w14:paraId="3A48DAA0" w14:textId="77777777" w:rsidTr="006A0585">
        <w:trPr>
          <w:trHeight w:val="396"/>
        </w:trPr>
        <w:tc>
          <w:tcPr>
            <w:tcW w:w="2252" w:type="pct"/>
          </w:tcPr>
          <w:p w14:paraId="0A0F1ABC" w14:textId="77777777" w:rsidR="00DD5D3A" w:rsidRDefault="00DD5D3A" w:rsidP="00874D7C">
            <w:pPr>
              <w:pStyle w:val="BodyText"/>
            </w:pPr>
            <w:r>
              <w:t>Accepted applications</w:t>
            </w:r>
          </w:p>
        </w:tc>
        <w:tc>
          <w:tcPr>
            <w:tcW w:w="916" w:type="pct"/>
          </w:tcPr>
          <w:p w14:paraId="008155AC" w14:textId="77777777" w:rsidR="00DD5D3A" w:rsidRDefault="00DD5D3A" w:rsidP="00874D7C">
            <w:pPr>
              <w:pStyle w:val="BodyText"/>
              <w:jc w:val="right"/>
            </w:pPr>
            <w:r>
              <w:t>112,371</w:t>
            </w:r>
          </w:p>
        </w:tc>
        <w:tc>
          <w:tcPr>
            <w:tcW w:w="916" w:type="pct"/>
          </w:tcPr>
          <w:p w14:paraId="7CC063E0" w14:textId="77777777" w:rsidR="00DD5D3A" w:rsidRDefault="00DD5D3A" w:rsidP="00874D7C">
            <w:pPr>
              <w:pStyle w:val="BodyText"/>
              <w:jc w:val="right"/>
            </w:pPr>
            <w:r>
              <w:t>229,944</w:t>
            </w:r>
          </w:p>
        </w:tc>
        <w:tc>
          <w:tcPr>
            <w:tcW w:w="916" w:type="pct"/>
          </w:tcPr>
          <w:p w14:paraId="7BC471A6" w14:textId="77777777" w:rsidR="00DD5D3A" w:rsidRDefault="00DD5D3A" w:rsidP="00874D7C">
            <w:pPr>
              <w:pStyle w:val="BodyText"/>
              <w:jc w:val="right"/>
            </w:pPr>
            <w:r>
              <w:t>304,607</w:t>
            </w:r>
          </w:p>
        </w:tc>
      </w:tr>
      <w:tr w:rsidR="00DD5D3A" w14:paraId="139E494E" w14:textId="77777777" w:rsidTr="006A0585">
        <w:trPr>
          <w:trHeight w:val="396"/>
        </w:trPr>
        <w:tc>
          <w:tcPr>
            <w:tcW w:w="2252" w:type="pct"/>
          </w:tcPr>
          <w:p w14:paraId="17F80691" w14:textId="77777777" w:rsidR="00DD5D3A" w:rsidRDefault="00DD5D3A" w:rsidP="00874D7C">
            <w:pPr>
              <w:pStyle w:val="BodyText"/>
            </w:pPr>
            <w:r>
              <w:t>Rejected applications</w:t>
            </w:r>
          </w:p>
        </w:tc>
        <w:tc>
          <w:tcPr>
            <w:tcW w:w="916" w:type="pct"/>
          </w:tcPr>
          <w:p w14:paraId="2120A55F" w14:textId="77777777" w:rsidR="00DD5D3A" w:rsidRDefault="00DD5D3A" w:rsidP="00874D7C">
            <w:pPr>
              <w:pStyle w:val="BodyText"/>
              <w:jc w:val="right"/>
            </w:pPr>
            <w:r>
              <w:t>2,422</w:t>
            </w:r>
          </w:p>
        </w:tc>
        <w:tc>
          <w:tcPr>
            <w:tcW w:w="916" w:type="pct"/>
          </w:tcPr>
          <w:p w14:paraId="7C74E5EE" w14:textId="77777777" w:rsidR="00DD5D3A" w:rsidRDefault="00DD5D3A" w:rsidP="00874D7C">
            <w:pPr>
              <w:pStyle w:val="BodyText"/>
              <w:jc w:val="right"/>
            </w:pPr>
            <w:r>
              <w:t>3,412</w:t>
            </w:r>
          </w:p>
        </w:tc>
        <w:tc>
          <w:tcPr>
            <w:tcW w:w="916" w:type="pct"/>
          </w:tcPr>
          <w:p w14:paraId="2BA5D30C" w14:textId="77777777" w:rsidR="00DD5D3A" w:rsidRDefault="00DD5D3A" w:rsidP="00874D7C">
            <w:pPr>
              <w:pStyle w:val="BodyText"/>
              <w:jc w:val="right"/>
            </w:pPr>
            <w:r>
              <w:t>6,461</w:t>
            </w:r>
          </w:p>
        </w:tc>
      </w:tr>
      <w:tr w:rsidR="00DD5D3A" w14:paraId="7E7F4A15" w14:textId="77777777" w:rsidTr="006A0585">
        <w:trPr>
          <w:trHeight w:val="396"/>
        </w:trPr>
        <w:tc>
          <w:tcPr>
            <w:tcW w:w="2252" w:type="pct"/>
          </w:tcPr>
          <w:p w14:paraId="3A6EF5ED" w14:textId="77777777" w:rsidR="00DD5D3A" w:rsidRDefault="00DD5D3A" w:rsidP="00874D7C">
            <w:pPr>
              <w:pStyle w:val="BodyText"/>
            </w:pPr>
            <w:r>
              <w:rPr>
                <w:rStyle w:val="Bold"/>
              </w:rPr>
              <w:t>Total applications</w:t>
            </w:r>
          </w:p>
        </w:tc>
        <w:tc>
          <w:tcPr>
            <w:tcW w:w="916" w:type="pct"/>
          </w:tcPr>
          <w:p w14:paraId="4DDD4E9A" w14:textId="77777777" w:rsidR="00DD5D3A" w:rsidRDefault="00DD5D3A" w:rsidP="00874D7C">
            <w:pPr>
              <w:pStyle w:val="BodyText"/>
              <w:jc w:val="right"/>
            </w:pPr>
            <w:r>
              <w:rPr>
                <w:rStyle w:val="Bold"/>
              </w:rPr>
              <w:t>114,793</w:t>
            </w:r>
          </w:p>
        </w:tc>
        <w:tc>
          <w:tcPr>
            <w:tcW w:w="916" w:type="pct"/>
          </w:tcPr>
          <w:p w14:paraId="3E1D4B0E" w14:textId="77777777" w:rsidR="00DD5D3A" w:rsidRDefault="00DD5D3A" w:rsidP="00874D7C">
            <w:pPr>
              <w:pStyle w:val="BodyText"/>
              <w:jc w:val="right"/>
            </w:pPr>
            <w:r>
              <w:rPr>
                <w:rStyle w:val="Bold"/>
              </w:rPr>
              <w:t>233,356</w:t>
            </w:r>
          </w:p>
        </w:tc>
        <w:tc>
          <w:tcPr>
            <w:tcW w:w="916" w:type="pct"/>
          </w:tcPr>
          <w:p w14:paraId="04D51B27" w14:textId="77777777" w:rsidR="00DD5D3A" w:rsidRDefault="00DD5D3A" w:rsidP="00874D7C">
            <w:pPr>
              <w:pStyle w:val="BodyText"/>
              <w:jc w:val="right"/>
            </w:pPr>
            <w:r>
              <w:rPr>
                <w:rStyle w:val="Bold"/>
              </w:rPr>
              <w:t>311,068</w:t>
            </w:r>
          </w:p>
        </w:tc>
      </w:tr>
    </w:tbl>
    <w:p w14:paraId="55101FA9" w14:textId="77777777" w:rsidR="00DD5D3A" w:rsidRDefault="00DD5D3A" w:rsidP="00DD5D3A">
      <w:pPr>
        <w:pStyle w:val="Heading3"/>
      </w:pPr>
      <w:r>
        <w:t>Medicare Safety Net</w:t>
      </w:r>
    </w:p>
    <w:p w14:paraId="669B8BF4" w14:textId="77777777" w:rsidR="00DD5D3A" w:rsidRDefault="00DD5D3A" w:rsidP="00DD5D3A">
      <w:pPr>
        <w:pStyle w:val="BodyText"/>
      </w:pPr>
      <w:r>
        <w:t>The Medicare Safety Net gives an additional Medicare benefit to eligible individuals, couples and families who have high out-of-hospital medical expenses. When the total out-of-pocket costs a customer pays reaches a certain threshold, the customer can receive higher Medicare benefits for the rest of the calendar year.</w:t>
      </w:r>
    </w:p>
    <w:p w14:paraId="78550F9D" w14:textId="77777777" w:rsidR="00DD5D3A" w:rsidRDefault="00DD5D3A" w:rsidP="00DD5D3A">
      <w:pPr>
        <w:pStyle w:val="BodyText"/>
        <w:spacing w:after="57"/>
      </w:pPr>
      <w:r>
        <w:t>There are 2 Medicare Safety nets:</w:t>
      </w:r>
    </w:p>
    <w:p w14:paraId="72450387" w14:textId="77777777" w:rsidR="00DD5D3A" w:rsidRDefault="00DD5D3A" w:rsidP="00DD5D3A">
      <w:pPr>
        <w:pStyle w:val="ListBullet"/>
      </w:pPr>
      <w:r>
        <w:t>the Original Medicare Safety Net threshold for the 2025 calendar year, which is $576 and applies to all Medicare cardholders (individuals and registered families)</w:t>
      </w:r>
    </w:p>
    <w:p w14:paraId="5CA537DE" w14:textId="77777777" w:rsidR="00DD5D3A" w:rsidRDefault="00DD5D3A" w:rsidP="00DD5D3A">
      <w:pPr>
        <w:pStyle w:val="ListBullet"/>
      </w:pPr>
      <w:r>
        <w:t>the Extended Medicare Safety Net, which has 2 threshold levels for 2025:</w:t>
      </w:r>
    </w:p>
    <w:p w14:paraId="495D3A28" w14:textId="77777777" w:rsidR="00DD5D3A" w:rsidRDefault="00DD5D3A" w:rsidP="00BE065F">
      <w:pPr>
        <w:pStyle w:val="ListBullet2"/>
      </w:pPr>
      <w:r>
        <w:t>$834.50 for Commonwealth concession cardholders and families eligible for FTB Part A</w:t>
      </w:r>
    </w:p>
    <w:p w14:paraId="188CE9B3" w14:textId="77777777" w:rsidR="00DD5D3A" w:rsidRDefault="00DD5D3A" w:rsidP="00BE065F">
      <w:pPr>
        <w:pStyle w:val="ListBullet2"/>
      </w:pPr>
      <w:r>
        <w:t>the general threshold of $2,615.50 for all other Medicare cardholders.</w:t>
      </w:r>
    </w:p>
    <w:p w14:paraId="70EE3158" w14:textId="77777777" w:rsidR="00DD5D3A" w:rsidRDefault="00DD5D3A" w:rsidP="00DD5D3A">
      <w:pPr>
        <w:pStyle w:val="Heading3"/>
      </w:pPr>
      <w:r>
        <w:t>Access to Medicare benefits</w:t>
      </w:r>
    </w:p>
    <w:p w14:paraId="7CE7FB72" w14:textId="77777777" w:rsidR="00DD5D3A" w:rsidRDefault="00DD5D3A" w:rsidP="00DD5D3A">
      <w:pPr>
        <w:pStyle w:val="BodyText"/>
        <w:rPr>
          <w:spacing w:val="-1"/>
        </w:rPr>
      </w:pPr>
      <w:r>
        <w:rPr>
          <w:spacing w:val="-1"/>
        </w:rPr>
        <w:t>In 2024–25 we implemented 7,253 changes to Medicare Benefits Schedule (MBS) items to support access to essential Medicare-subsidised health services. The changes aim to improve patient access to primary care, decrease pressure on hospitals and better manage complex and chronic conditions.</w:t>
      </w:r>
    </w:p>
    <w:p w14:paraId="6AA635A1" w14:textId="77777777" w:rsidR="00DD5D3A" w:rsidRDefault="00DD5D3A" w:rsidP="00DD5D3A">
      <w:pPr>
        <w:pStyle w:val="Heading3"/>
      </w:pPr>
      <w:r>
        <w:t>Medicare claiming</w:t>
      </w:r>
    </w:p>
    <w:p w14:paraId="05644D04" w14:textId="77777777" w:rsidR="00DD5D3A" w:rsidRDefault="00DD5D3A" w:rsidP="00DD5D3A">
      <w:pPr>
        <w:pStyle w:val="BodyText"/>
      </w:pPr>
      <w:r>
        <w:t>Health professionals can bulk-bill their patients. This means that the patient agrees to have their Medicare benefit paid directly to the health professional as full payment for the service. The health professional can then claim the Medicare benefit directly from the agency. For services that are not bulk billed, the patient pays the health professional and claims the Medicare benefit.</w:t>
      </w:r>
    </w:p>
    <w:p w14:paraId="73EB38AA" w14:textId="77777777" w:rsidR="00DD5D3A" w:rsidRDefault="00DD5D3A" w:rsidP="00DD5D3A">
      <w:pPr>
        <w:pStyle w:val="BodyText"/>
      </w:pPr>
      <w:r>
        <w:lastRenderedPageBreak/>
        <w:t>When a patient has received in-hospital services, Medicare claims can be made through simplified billing arrangements.</w:t>
      </w:r>
    </w:p>
    <w:p w14:paraId="2011F42C" w14:textId="77777777" w:rsidR="00DD5D3A" w:rsidRDefault="00DD5D3A" w:rsidP="00DD5D3A">
      <w:pPr>
        <w:pStyle w:val="BodyText"/>
      </w:pPr>
      <w:r>
        <w:rPr>
          <w:spacing w:val="-1"/>
        </w:rPr>
        <w:t>Table 6 shows Medicare services and benefits by claim type from 2022–23 to 2024–25.</w:t>
      </w:r>
    </w:p>
    <w:p w14:paraId="6BD0F53A" w14:textId="22B1DB28" w:rsidR="00DD5D3A" w:rsidRPr="00DD5D3A" w:rsidRDefault="001D281E" w:rsidP="00DD5D3A">
      <w:pPr>
        <w:pStyle w:val="BodyText"/>
        <w:rPr>
          <w:b/>
          <w:bCs/>
        </w:rPr>
      </w:pPr>
      <w:r>
        <w:rPr>
          <w:b/>
          <w:bCs/>
        </w:rPr>
        <w:t>Table 6:</w:t>
      </w:r>
      <w:r w:rsidR="00DD5D3A" w:rsidRPr="00DD5D3A">
        <w:rPr>
          <w:b/>
          <w:bCs/>
        </w:rPr>
        <w:t xml:space="preserve"> Medicare services and benefits by claim type</w:t>
      </w:r>
    </w:p>
    <w:tbl>
      <w:tblPr>
        <w:tblStyle w:val="TableGrid"/>
        <w:tblW w:w="5000" w:type="pct"/>
        <w:tblLook w:val="04A0" w:firstRow="1" w:lastRow="0" w:firstColumn="1" w:lastColumn="0" w:noHBand="0" w:noVBand="1"/>
        <w:tblCaption w:val=" Medicare services and benefits by claim type"/>
      </w:tblPr>
      <w:tblGrid>
        <w:gridCol w:w="4997"/>
        <w:gridCol w:w="2033"/>
        <w:gridCol w:w="2033"/>
        <w:gridCol w:w="2033"/>
      </w:tblGrid>
      <w:tr w:rsidR="00DD5D3A" w14:paraId="1FE6BD3F" w14:textId="77777777" w:rsidTr="005875A4">
        <w:trPr>
          <w:trHeight w:val="396"/>
          <w:tblHeader/>
        </w:trPr>
        <w:tc>
          <w:tcPr>
            <w:tcW w:w="2252" w:type="pct"/>
          </w:tcPr>
          <w:p w14:paraId="4A5CA995" w14:textId="77777777" w:rsidR="00DD5D3A" w:rsidRPr="00BE065F" w:rsidRDefault="00DD5D3A" w:rsidP="00BE065F">
            <w:pPr>
              <w:pStyle w:val="BodyText"/>
              <w:jc w:val="right"/>
              <w:rPr>
                <w:b/>
                <w:bCs/>
              </w:rPr>
            </w:pPr>
          </w:p>
        </w:tc>
        <w:tc>
          <w:tcPr>
            <w:tcW w:w="916" w:type="pct"/>
          </w:tcPr>
          <w:p w14:paraId="5FE2882D" w14:textId="77777777" w:rsidR="00DD5D3A" w:rsidRPr="00BE065F" w:rsidRDefault="00DD5D3A" w:rsidP="00BE065F">
            <w:pPr>
              <w:pStyle w:val="BodyText"/>
              <w:jc w:val="right"/>
              <w:rPr>
                <w:b/>
                <w:bCs/>
              </w:rPr>
            </w:pPr>
            <w:r w:rsidRPr="00BE065F">
              <w:rPr>
                <w:b/>
                <w:bCs/>
              </w:rPr>
              <w:t>2022–23</w:t>
            </w:r>
          </w:p>
        </w:tc>
        <w:tc>
          <w:tcPr>
            <w:tcW w:w="916" w:type="pct"/>
          </w:tcPr>
          <w:p w14:paraId="108F1864" w14:textId="77777777" w:rsidR="00DD5D3A" w:rsidRPr="00BE065F" w:rsidRDefault="00DD5D3A" w:rsidP="00BE065F">
            <w:pPr>
              <w:pStyle w:val="BodyText"/>
              <w:jc w:val="right"/>
              <w:rPr>
                <w:b/>
                <w:bCs/>
              </w:rPr>
            </w:pPr>
            <w:r w:rsidRPr="00BE065F">
              <w:rPr>
                <w:b/>
                <w:bCs/>
              </w:rPr>
              <w:t>2023–24</w:t>
            </w:r>
          </w:p>
        </w:tc>
        <w:tc>
          <w:tcPr>
            <w:tcW w:w="916" w:type="pct"/>
          </w:tcPr>
          <w:p w14:paraId="5CA77956" w14:textId="77777777" w:rsidR="00DD5D3A" w:rsidRPr="00BE065F" w:rsidRDefault="00DD5D3A" w:rsidP="00BE065F">
            <w:pPr>
              <w:pStyle w:val="BodyText"/>
              <w:jc w:val="right"/>
              <w:rPr>
                <w:b/>
                <w:bCs/>
              </w:rPr>
            </w:pPr>
            <w:r w:rsidRPr="00BE065F">
              <w:rPr>
                <w:b/>
                <w:bCs/>
              </w:rPr>
              <w:t>2024–25</w:t>
            </w:r>
          </w:p>
        </w:tc>
      </w:tr>
      <w:tr w:rsidR="00DD5D3A" w14:paraId="300E034A" w14:textId="77777777" w:rsidTr="006A0585">
        <w:trPr>
          <w:trHeight w:val="396"/>
        </w:trPr>
        <w:tc>
          <w:tcPr>
            <w:tcW w:w="2252" w:type="pct"/>
          </w:tcPr>
          <w:p w14:paraId="71F6EE07" w14:textId="77777777" w:rsidR="00DD5D3A" w:rsidRDefault="00DD5D3A" w:rsidP="00874D7C">
            <w:pPr>
              <w:pStyle w:val="BodyText"/>
            </w:pPr>
            <w:r>
              <w:t>Bulk-billing</w:t>
            </w:r>
          </w:p>
        </w:tc>
        <w:tc>
          <w:tcPr>
            <w:tcW w:w="916" w:type="pct"/>
          </w:tcPr>
          <w:p w14:paraId="29168213" w14:textId="77777777" w:rsidR="00DD5D3A" w:rsidRDefault="00DD5D3A" w:rsidP="00874D7C">
            <w:pPr>
              <w:pStyle w:val="BodyText"/>
              <w:jc w:val="right"/>
            </w:pPr>
            <w:r>
              <w:t>353.2 million</w:t>
            </w:r>
          </w:p>
        </w:tc>
        <w:tc>
          <w:tcPr>
            <w:tcW w:w="916" w:type="pct"/>
          </w:tcPr>
          <w:p w14:paraId="5F88CC5F" w14:textId="77777777" w:rsidR="00DD5D3A" w:rsidRDefault="00DD5D3A" w:rsidP="00874D7C">
            <w:pPr>
              <w:pStyle w:val="BodyText"/>
              <w:jc w:val="right"/>
            </w:pPr>
            <w:r>
              <w:t>349.9 million</w:t>
            </w:r>
          </w:p>
        </w:tc>
        <w:tc>
          <w:tcPr>
            <w:tcW w:w="916" w:type="pct"/>
          </w:tcPr>
          <w:p w14:paraId="1E153E91" w14:textId="77777777" w:rsidR="00DD5D3A" w:rsidRDefault="00DD5D3A" w:rsidP="00874D7C">
            <w:pPr>
              <w:pStyle w:val="BodyText"/>
              <w:jc w:val="right"/>
            </w:pPr>
            <w:r>
              <w:t>363.4 million</w:t>
            </w:r>
          </w:p>
        </w:tc>
      </w:tr>
      <w:tr w:rsidR="00DD5D3A" w14:paraId="13C66C37" w14:textId="77777777" w:rsidTr="006A0585">
        <w:trPr>
          <w:trHeight w:val="396"/>
        </w:trPr>
        <w:tc>
          <w:tcPr>
            <w:tcW w:w="2252" w:type="pct"/>
          </w:tcPr>
          <w:p w14:paraId="24A0F3B8" w14:textId="77777777" w:rsidR="00DD5D3A" w:rsidRDefault="00DD5D3A" w:rsidP="00874D7C">
            <w:pPr>
              <w:pStyle w:val="BodyText"/>
            </w:pPr>
            <w:r>
              <w:t>Patient claiming</w:t>
            </w:r>
          </w:p>
        </w:tc>
        <w:tc>
          <w:tcPr>
            <w:tcW w:w="916" w:type="pct"/>
          </w:tcPr>
          <w:p w14:paraId="4DB29869" w14:textId="77777777" w:rsidR="00DD5D3A" w:rsidRDefault="00DD5D3A" w:rsidP="00874D7C">
            <w:pPr>
              <w:pStyle w:val="BodyText"/>
              <w:jc w:val="right"/>
            </w:pPr>
            <w:r>
              <w:t>71.6 million</w:t>
            </w:r>
          </w:p>
        </w:tc>
        <w:tc>
          <w:tcPr>
            <w:tcW w:w="916" w:type="pct"/>
          </w:tcPr>
          <w:p w14:paraId="578DC152" w14:textId="77777777" w:rsidR="00DD5D3A" w:rsidRDefault="00DD5D3A" w:rsidP="00874D7C">
            <w:pPr>
              <w:pStyle w:val="BodyText"/>
              <w:jc w:val="right"/>
            </w:pPr>
            <w:r>
              <w:t>78.7 million</w:t>
            </w:r>
          </w:p>
        </w:tc>
        <w:tc>
          <w:tcPr>
            <w:tcW w:w="916" w:type="pct"/>
          </w:tcPr>
          <w:p w14:paraId="743E4412" w14:textId="77777777" w:rsidR="00DD5D3A" w:rsidRDefault="00DD5D3A" w:rsidP="00874D7C">
            <w:pPr>
              <w:pStyle w:val="BodyText"/>
              <w:jc w:val="right"/>
            </w:pPr>
            <w:r>
              <w:t>80.1 million</w:t>
            </w:r>
          </w:p>
        </w:tc>
      </w:tr>
      <w:tr w:rsidR="00DD5D3A" w14:paraId="17C9AF13" w14:textId="77777777" w:rsidTr="006A0585">
        <w:trPr>
          <w:trHeight w:val="396"/>
        </w:trPr>
        <w:tc>
          <w:tcPr>
            <w:tcW w:w="2252" w:type="pct"/>
          </w:tcPr>
          <w:p w14:paraId="3E322F41" w14:textId="77777777" w:rsidR="00DD5D3A" w:rsidRDefault="00DD5D3A" w:rsidP="00874D7C">
            <w:pPr>
              <w:pStyle w:val="BodyText"/>
            </w:pPr>
            <w:r>
              <w:rPr>
                <w:rStyle w:val="Bold"/>
                <w:b w:val="0"/>
                <w:bCs w:val="0"/>
              </w:rPr>
              <w:t>Simplified billing</w:t>
            </w:r>
          </w:p>
        </w:tc>
        <w:tc>
          <w:tcPr>
            <w:tcW w:w="916" w:type="pct"/>
          </w:tcPr>
          <w:p w14:paraId="264BB013" w14:textId="77777777" w:rsidR="00DD5D3A" w:rsidRDefault="00DD5D3A" w:rsidP="00874D7C">
            <w:pPr>
              <w:pStyle w:val="BodyText"/>
              <w:jc w:val="right"/>
            </w:pPr>
            <w:r>
              <w:t>34.8 million</w:t>
            </w:r>
          </w:p>
        </w:tc>
        <w:tc>
          <w:tcPr>
            <w:tcW w:w="916" w:type="pct"/>
          </w:tcPr>
          <w:p w14:paraId="40AE8C1D" w14:textId="77777777" w:rsidR="00DD5D3A" w:rsidRDefault="00DD5D3A" w:rsidP="00874D7C">
            <w:pPr>
              <w:pStyle w:val="BodyText"/>
              <w:jc w:val="right"/>
            </w:pPr>
            <w:r>
              <w:t>36.1 million</w:t>
            </w:r>
          </w:p>
        </w:tc>
        <w:tc>
          <w:tcPr>
            <w:tcW w:w="916" w:type="pct"/>
          </w:tcPr>
          <w:p w14:paraId="03420BC1" w14:textId="77777777" w:rsidR="00DD5D3A" w:rsidRDefault="00DD5D3A" w:rsidP="00874D7C">
            <w:pPr>
              <w:pStyle w:val="BodyText"/>
              <w:jc w:val="right"/>
            </w:pPr>
            <w:r>
              <w:t>37 million</w:t>
            </w:r>
          </w:p>
        </w:tc>
      </w:tr>
      <w:tr w:rsidR="00DD5D3A" w14:paraId="4182589D" w14:textId="77777777" w:rsidTr="006A0585">
        <w:trPr>
          <w:trHeight w:val="396"/>
        </w:trPr>
        <w:tc>
          <w:tcPr>
            <w:tcW w:w="2252" w:type="pct"/>
          </w:tcPr>
          <w:p w14:paraId="2F4E3C14" w14:textId="77777777" w:rsidR="00DD5D3A" w:rsidRDefault="00DD5D3A" w:rsidP="00874D7C">
            <w:pPr>
              <w:pStyle w:val="BodyText"/>
            </w:pPr>
            <w:r>
              <w:rPr>
                <w:rStyle w:val="Bold"/>
              </w:rPr>
              <w:t>Total services processed</w:t>
            </w:r>
            <w:r>
              <w:rPr>
                <w:rStyle w:val="Bold"/>
                <w:vertAlign w:val="superscript"/>
              </w:rPr>
              <w:t>(a)</w:t>
            </w:r>
          </w:p>
        </w:tc>
        <w:tc>
          <w:tcPr>
            <w:tcW w:w="916" w:type="pct"/>
          </w:tcPr>
          <w:p w14:paraId="6763A361" w14:textId="77777777" w:rsidR="00DD5D3A" w:rsidRDefault="00DD5D3A" w:rsidP="00874D7C">
            <w:pPr>
              <w:pStyle w:val="BodyText"/>
              <w:jc w:val="right"/>
            </w:pPr>
            <w:r>
              <w:rPr>
                <w:rStyle w:val="Bold"/>
              </w:rPr>
              <w:t>459.6 million</w:t>
            </w:r>
          </w:p>
        </w:tc>
        <w:tc>
          <w:tcPr>
            <w:tcW w:w="916" w:type="pct"/>
          </w:tcPr>
          <w:p w14:paraId="747FB174" w14:textId="77777777" w:rsidR="00DD5D3A" w:rsidRDefault="00DD5D3A" w:rsidP="00874D7C">
            <w:pPr>
              <w:pStyle w:val="BodyText"/>
              <w:jc w:val="right"/>
            </w:pPr>
            <w:r>
              <w:rPr>
                <w:rStyle w:val="Bold"/>
              </w:rPr>
              <w:t>464.7 million</w:t>
            </w:r>
          </w:p>
        </w:tc>
        <w:tc>
          <w:tcPr>
            <w:tcW w:w="916" w:type="pct"/>
          </w:tcPr>
          <w:p w14:paraId="61C79A96" w14:textId="77777777" w:rsidR="00DD5D3A" w:rsidRDefault="00DD5D3A" w:rsidP="00874D7C">
            <w:pPr>
              <w:pStyle w:val="BodyText"/>
              <w:jc w:val="right"/>
            </w:pPr>
            <w:r>
              <w:rPr>
                <w:rStyle w:val="Bold"/>
              </w:rPr>
              <w:t>480.6 million</w:t>
            </w:r>
          </w:p>
        </w:tc>
      </w:tr>
      <w:tr w:rsidR="00DD5D3A" w14:paraId="12DB42F2" w14:textId="77777777" w:rsidTr="006A0585">
        <w:trPr>
          <w:trHeight w:val="396"/>
        </w:trPr>
        <w:tc>
          <w:tcPr>
            <w:tcW w:w="2252" w:type="pct"/>
          </w:tcPr>
          <w:p w14:paraId="408E5CFF" w14:textId="77777777" w:rsidR="00DD5D3A" w:rsidRDefault="00DD5D3A" w:rsidP="00874D7C">
            <w:pPr>
              <w:pStyle w:val="BodyText"/>
            </w:pPr>
            <w:r>
              <w:rPr>
                <w:rStyle w:val="Bold"/>
                <w:b w:val="0"/>
                <w:bCs w:val="0"/>
              </w:rPr>
              <w:t>Bulk-billing</w:t>
            </w:r>
          </w:p>
        </w:tc>
        <w:tc>
          <w:tcPr>
            <w:tcW w:w="916" w:type="pct"/>
          </w:tcPr>
          <w:p w14:paraId="309273EF" w14:textId="77777777" w:rsidR="00DD5D3A" w:rsidRDefault="00DD5D3A" w:rsidP="00874D7C">
            <w:pPr>
              <w:pStyle w:val="BodyText"/>
              <w:jc w:val="right"/>
            </w:pPr>
            <w:r>
              <w:t>$18.4 billion</w:t>
            </w:r>
          </w:p>
        </w:tc>
        <w:tc>
          <w:tcPr>
            <w:tcW w:w="916" w:type="pct"/>
          </w:tcPr>
          <w:p w14:paraId="7D7674BB" w14:textId="77777777" w:rsidR="00DD5D3A" w:rsidRDefault="00DD5D3A" w:rsidP="00874D7C">
            <w:pPr>
              <w:pStyle w:val="BodyText"/>
              <w:jc w:val="right"/>
            </w:pPr>
            <w:r>
              <w:t>$19.7 billion</w:t>
            </w:r>
          </w:p>
        </w:tc>
        <w:tc>
          <w:tcPr>
            <w:tcW w:w="916" w:type="pct"/>
          </w:tcPr>
          <w:p w14:paraId="44693321" w14:textId="77777777" w:rsidR="00DD5D3A" w:rsidRDefault="00DD5D3A" w:rsidP="00874D7C">
            <w:pPr>
              <w:pStyle w:val="BodyText"/>
              <w:jc w:val="right"/>
            </w:pPr>
            <w:r>
              <w:t>$21.6 billion</w:t>
            </w:r>
          </w:p>
        </w:tc>
      </w:tr>
      <w:tr w:rsidR="00DD5D3A" w14:paraId="105D2742" w14:textId="77777777" w:rsidTr="006A0585">
        <w:trPr>
          <w:trHeight w:val="396"/>
        </w:trPr>
        <w:tc>
          <w:tcPr>
            <w:tcW w:w="2252" w:type="pct"/>
          </w:tcPr>
          <w:p w14:paraId="00A3FC1C" w14:textId="77777777" w:rsidR="00DD5D3A" w:rsidRDefault="00DD5D3A" w:rsidP="00874D7C">
            <w:pPr>
              <w:pStyle w:val="BodyText"/>
            </w:pPr>
            <w:r>
              <w:rPr>
                <w:rStyle w:val="Bold"/>
                <w:b w:val="0"/>
                <w:bCs w:val="0"/>
              </w:rPr>
              <w:t>Patient claiming</w:t>
            </w:r>
          </w:p>
        </w:tc>
        <w:tc>
          <w:tcPr>
            <w:tcW w:w="916" w:type="pct"/>
          </w:tcPr>
          <w:p w14:paraId="2E0B6882" w14:textId="77777777" w:rsidR="00DD5D3A" w:rsidRDefault="00DD5D3A" w:rsidP="00874D7C">
            <w:pPr>
              <w:pStyle w:val="BodyText"/>
              <w:jc w:val="right"/>
            </w:pPr>
            <w:r>
              <w:t>$6.3 billion</w:t>
            </w:r>
          </w:p>
        </w:tc>
        <w:tc>
          <w:tcPr>
            <w:tcW w:w="916" w:type="pct"/>
          </w:tcPr>
          <w:p w14:paraId="06B50EC2" w14:textId="77777777" w:rsidR="00DD5D3A" w:rsidRDefault="00DD5D3A" w:rsidP="00874D7C">
            <w:pPr>
              <w:pStyle w:val="BodyText"/>
              <w:jc w:val="right"/>
            </w:pPr>
            <w:r>
              <w:t>$7.1 billion</w:t>
            </w:r>
          </w:p>
        </w:tc>
        <w:tc>
          <w:tcPr>
            <w:tcW w:w="916" w:type="pct"/>
          </w:tcPr>
          <w:p w14:paraId="6B03EB0C" w14:textId="77777777" w:rsidR="00DD5D3A" w:rsidRDefault="00DD5D3A" w:rsidP="00874D7C">
            <w:pPr>
              <w:pStyle w:val="BodyText"/>
              <w:jc w:val="right"/>
            </w:pPr>
            <w:r>
              <w:t>$7.8 billion</w:t>
            </w:r>
          </w:p>
        </w:tc>
      </w:tr>
      <w:tr w:rsidR="00DD5D3A" w14:paraId="5BD36DE1" w14:textId="77777777" w:rsidTr="006A0585">
        <w:trPr>
          <w:trHeight w:val="396"/>
        </w:trPr>
        <w:tc>
          <w:tcPr>
            <w:tcW w:w="2252" w:type="pct"/>
          </w:tcPr>
          <w:p w14:paraId="60B7BC75" w14:textId="77777777" w:rsidR="00DD5D3A" w:rsidRDefault="00DD5D3A" w:rsidP="00874D7C">
            <w:pPr>
              <w:pStyle w:val="BodyText"/>
            </w:pPr>
            <w:r>
              <w:rPr>
                <w:rStyle w:val="Bold"/>
                <w:b w:val="0"/>
                <w:bCs w:val="0"/>
              </w:rPr>
              <w:t>Simplified billing</w:t>
            </w:r>
          </w:p>
        </w:tc>
        <w:tc>
          <w:tcPr>
            <w:tcW w:w="916" w:type="pct"/>
          </w:tcPr>
          <w:p w14:paraId="03C5B82A" w14:textId="77777777" w:rsidR="00DD5D3A" w:rsidRDefault="00DD5D3A" w:rsidP="00874D7C">
            <w:pPr>
              <w:pStyle w:val="BodyText"/>
              <w:jc w:val="right"/>
            </w:pPr>
            <w:r>
              <w:t>$2.9 billion</w:t>
            </w:r>
          </w:p>
        </w:tc>
        <w:tc>
          <w:tcPr>
            <w:tcW w:w="916" w:type="pct"/>
          </w:tcPr>
          <w:p w14:paraId="5336C6B3" w14:textId="77777777" w:rsidR="00DD5D3A" w:rsidRDefault="00DD5D3A" w:rsidP="00874D7C">
            <w:pPr>
              <w:pStyle w:val="BodyText"/>
              <w:jc w:val="right"/>
            </w:pPr>
            <w:r>
              <w:t>$3.1 billion</w:t>
            </w:r>
          </w:p>
        </w:tc>
        <w:tc>
          <w:tcPr>
            <w:tcW w:w="916" w:type="pct"/>
          </w:tcPr>
          <w:p w14:paraId="777197A4" w14:textId="77777777" w:rsidR="00DD5D3A" w:rsidRDefault="00DD5D3A" w:rsidP="00874D7C">
            <w:pPr>
              <w:pStyle w:val="BodyText"/>
              <w:jc w:val="right"/>
            </w:pPr>
            <w:r>
              <w:t>$3.3 billion</w:t>
            </w:r>
          </w:p>
        </w:tc>
      </w:tr>
      <w:tr w:rsidR="00DD5D3A" w14:paraId="5B3CF886" w14:textId="77777777" w:rsidTr="006A0585">
        <w:trPr>
          <w:trHeight w:val="396"/>
        </w:trPr>
        <w:tc>
          <w:tcPr>
            <w:tcW w:w="2252" w:type="pct"/>
          </w:tcPr>
          <w:p w14:paraId="592B41F4" w14:textId="77777777" w:rsidR="00DD5D3A" w:rsidRDefault="00DD5D3A" w:rsidP="00874D7C">
            <w:pPr>
              <w:pStyle w:val="BodyText"/>
            </w:pPr>
            <w:r>
              <w:rPr>
                <w:rStyle w:val="Bold"/>
              </w:rPr>
              <w:t>Total benefits paid</w:t>
            </w:r>
            <w:r>
              <w:rPr>
                <w:rStyle w:val="Bold"/>
                <w:vertAlign w:val="superscript"/>
              </w:rPr>
              <w:t>(a)</w:t>
            </w:r>
          </w:p>
        </w:tc>
        <w:tc>
          <w:tcPr>
            <w:tcW w:w="916" w:type="pct"/>
          </w:tcPr>
          <w:p w14:paraId="6B8E1916" w14:textId="77777777" w:rsidR="00DD5D3A" w:rsidRDefault="00DD5D3A" w:rsidP="00874D7C">
            <w:pPr>
              <w:pStyle w:val="BodyText"/>
              <w:jc w:val="right"/>
            </w:pPr>
            <w:r>
              <w:rPr>
                <w:rStyle w:val="Bold"/>
              </w:rPr>
              <w:t>$27.7 billion</w:t>
            </w:r>
          </w:p>
        </w:tc>
        <w:tc>
          <w:tcPr>
            <w:tcW w:w="916" w:type="pct"/>
          </w:tcPr>
          <w:p w14:paraId="45654CF7" w14:textId="77777777" w:rsidR="00DD5D3A" w:rsidRDefault="00DD5D3A" w:rsidP="00874D7C">
            <w:pPr>
              <w:pStyle w:val="BodyText"/>
              <w:jc w:val="right"/>
            </w:pPr>
            <w:r>
              <w:rPr>
                <w:rStyle w:val="Bold"/>
              </w:rPr>
              <w:t>$29.8 billion</w:t>
            </w:r>
          </w:p>
        </w:tc>
        <w:tc>
          <w:tcPr>
            <w:tcW w:w="916" w:type="pct"/>
          </w:tcPr>
          <w:p w14:paraId="5A466FD4" w14:textId="77777777" w:rsidR="00DD5D3A" w:rsidRDefault="00DD5D3A" w:rsidP="00874D7C">
            <w:pPr>
              <w:pStyle w:val="BodyText"/>
              <w:jc w:val="right"/>
            </w:pPr>
            <w:r>
              <w:rPr>
                <w:rStyle w:val="Bold"/>
              </w:rPr>
              <w:t>$32.8 billion</w:t>
            </w:r>
          </w:p>
        </w:tc>
      </w:tr>
      <w:tr w:rsidR="00DD5D3A" w14:paraId="3FCBF36D" w14:textId="77777777" w:rsidTr="006A0585">
        <w:trPr>
          <w:trHeight w:val="396"/>
        </w:trPr>
        <w:tc>
          <w:tcPr>
            <w:tcW w:w="2252" w:type="pct"/>
          </w:tcPr>
          <w:p w14:paraId="4D1704B8" w14:textId="77777777" w:rsidR="00DD5D3A" w:rsidRDefault="00DD5D3A" w:rsidP="00874D7C">
            <w:pPr>
              <w:pStyle w:val="BodyText"/>
            </w:pPr>
            <w:r>
              <w:rPr>
                <w:rStyle w:val="Bold"/>
                <w:b w:val="0"/>
                <w:bCs w:val="0"/>
              </w:rPr>
              <w:t>Average benefit per service</w:t>
            </w:r>
          </w:p>
        </w:tc>
        <w:tc>
          <w:tcPr>
            <w:tcW w:w="916" w:type="pct"/>
          </w:tcPr>
          <w:p w14:paraId="071CF119" w14:textId="77777777" w:rsidR="00DD5D3A" w:rsidRDefault="00DD5D3A" w:rsidP="00874D7C">
            <w:pPr>
              <w:pStyle w:val="BodyText"/>
              <w:jc w:val="right"/>
            </w:pPr>
            <w:r>
              <w:t>$60.13</w:t>
            </w:r>
          </w:p>
        </w:tc>
        <w:tc>
          <w:tcPr>
            <w:tcW w:w="916" w:type="pct"/>
          </w:tcPr>
          <w:p w14:paraId="7C59EEEC" w14:textId="77777777" w:rsidR="00DD5D3A" w:rsidRDefault="00DD5D3A" w:rsidP="00874D7C">
            <w:pPr>
              <w:pStyle w:val="BodyText"/>
              <w:jc w:val="right"/>
            </w:pPr>
            <w:r>
              <w:t>$64.34</w:t>
            </w:r>
          </w:p>
        </w:tc>
        <w:tc>
          <w:tcPr>
            <w:tcW w:w="916" w:type="pct"/>
          </w:tcPr>
          <w:p w14:paraId="212FBF55" w14:textId="77777777" w:rsidR="00DD5D3A" w:rsidRDefault="00DD5D3A" w:rsidP="00874D7C">
            <w:pPr>
              <w:pStyle w:val="BodyText"/>
              <w:jc w:val="right"/>
            </w:pPr>
            <w:r>
              <w:t>$68.12</w:t>
            </w:r>
          </w:p>
        </w:tc>
      </w:tr>
      <w:tr w:rsidR="00DD5D3A" w14:paraId="6A175035" w14:textId="77777777" w:rsidTr="006A0585">
        <w:trPr>
          <w:trHeight w:val="396"/>
        </w:trPr>
        <w:tc>
          <w:tcPr>
            <w:tcW w:w="2252" w:type="pct"/>
          </w:tcPr>
          <w:p w14:paraId="0E466462" w14:textId="77777777" w:rsidR="00DD5D3A" w:rsidRDefault="00DD5D3A" w:rsidP="00874D7C">
            <w:pPr>
              <w:pStyle w:val="BodyText"/>
            </w:pPr>
            <w:r>
              <w:rPr>
                <w:rStyle w:val="Bold"/>
                <w:b w:val="0"/>
                <w:bCs w:val="0"/>
              </w:rPr>
              <w:t>Average period (date of lodgement to processing)</w:t>
            </w:r>
          </w:p>
        </w:tc>
        <w:tc>
          <w:tcPr>
            <w:tcW w:w="916" w:type="pct"/>
          </w:tcPr>
          <w:p w14:paraId="3D85B787" w14:textId="77777777" w:rsidR="00DD5D3A" w:rsidRDefault="00DD5D3A" w:rsidP="00874D7C">
            <w:pPr>
              <w:pStyle w:val="BodyText"/>
              <w:jc w:val="right"/>
            </w:pPr>
            <w:r>
              <w:t>1.63 days</w:t>
            </w:r>
          </w:p>
        </w:tc>
        <w:tc>
          <w:tcPr>
            <w:tcW w:w="916" w:type="pct"/>
          </w:tcPr>
          <w:p w14:paraId="4DDE8B29" w14:textId="77777777" w:rsidR="00DD5D3A" w:rsidRDefault="00DD5D3A" w:rsidP="00874D7C">
            <w:pPr>
              <w:pStyle w:val="BodyText"/>
              <w:jc w:val="right"/>
            </w:pPr>
            <w:r>
              <w:t>1.57 days</w:t>
            </w:r>
          </w:p>
        </w:tc>
        <w:tc>
          <w:tcPr>
            <w:tcW w:w="916" w:type="pct"/>
          </w:tcPr>
          <w:p w14:paraId="6D8D8AEB" w14:textId="77777777" w:rsidR="00DD5D3A" w:rsidRDefault="00DD5D3A" w:rsidP="00874D7C">
            <w:pPr>
              <w:pStyle w:val="BodyText"/>
              <w:jc w:val="right"/>
            </w:pPr>
            <w:r>
              <w:t>0.71 days</w:t>
            </w:r>
          </w:p>
        </w:tc>
      </w:tr>
    </w:tbl>
    <w:p w14:paraId="3A9C73B3" w14:textId="01C8BB4D" w:rsidR="00DD5D3A" w:rsidRDefault="001D281E" w:rsidP="001D281E">
      <w:pPr>
        <w:pStyle w:val="ProductCode"/>
      </w:pPr>
      <w:r w:rsidRPr="001D281E">
        <w:t>(a</w:t>
      </w:r>
      <w:r>
        <w:t xml:space="preserve">) </w:t>
      </w:r>
      <w:r w:rsidR="00DD5D3A">
        <w:t>Rounding has been applied.</w:t>
      </w:r>
    </w:p>
    <w:p w14:paraId="1F0F7DE9" w14:textId="77777777" w:rsidR="00DD5D3A" w:rsidRDefault="00DD5D3A" w:rsidP="00DD5D3A">
      <w:pPr>
        <w:pStyle w:val="BodyText"/>
      </w:pPr>
      <w:r>
        <w:t>Table 7 shows Medicare services by payment type from 2022–23 to 2024–25.</w:t>
      </w:r>
    </w:p>
    <w:p w14:paraId="305E0BFE" w14:textId="4C8EF65E" w:rsidR="00DD5D3A" w:rsidRPr="00DD5D3A" w:rsidRDefault="001D281E" w:rsidP="00DD5D3A">
      <w:pPr>
        <w:pStyle w:val="BodyText"/>
        <w:rPr>
          <w:b/>
          <w:bCs/>
        </w:rPr>
      </w:pPr>
      <w:r>
        <w:rPr>
          <w:b/>
          <w:bCs/>
        </w:rPr>
        <w:t>Table 7:</w:t>
      </w:r>
      <w:r w:rsidR="00DD5D3A" w:rsidRPr="00DD5D3A">
        <w:rPr>
          <w:b/>
          <w:bCs/>
        </w:rPr>
        <w:t xml:space="preserve"> Medicare services by payment type</w:t>
      </w:r>
    </w:p>
    <w:tbl>
      <w:tblPr>
        <w:tblStyle w:val="TableGrid"/>
        <w:tblW w:w="5000" w:type="pct"/>
        <w:tblLook w:val="04A0" w:firstRow="1" w:lastRow="0" w:firstColumn="1" w:lastColumn="0" w:noHBand="0" w:noVBand="1"/>
        <w:tblCaption w:val=" Medicare services by payment type"/>
      </w:tblPr>
      <w:tblGrid>
        <w:gridCol w:w="2712"/>
        <w:gridCol w:w="2035"/>
        <w:gridCol w:w="761"/>
        <w:gridCol w:w="2035"/>
        <w:gridCol w:w="761"/>
        <w:gridCol w:w="2033"/>
        <w:gridCol w:w="759"/>
      </w:tblGrid>
      <w:tr w:rsidR="00DD5D3A" w14:paraId="07D329D3" w14:textId="77777777" w:rsidTr="005875A4">
        <w:trPr>
          <w:trHeight w:val="396"/>
          <w:tblHeader/>
        </w:trPr>
        <w:tc>
          <w:tcPr>
            <w:tcW w:w="1222" w:type="pct"/>
          </w:tcPr>
          <w:p w14:paraId="22FED988" w14:textId="77777777" w:rsidR="00DD5D3A" w:rsidRPr="004E5AE5" w:rsidRDefault="00DD5D3A" w:rsidP="004E5AE5">
            <w:pPr>
              <w:pStyle w:val="BodyText"/>
              <w:jc w:val="right"/>
              <w:rPr>
                <w:b/>
                <w:bCs/>
              </w:rPr>
            </w:pPr>
          </w:p>
        </w:tc>
        <w:tc>
          <w:tcPr>
            <w:tcW w:w="917" w:type="pct"/>
          </w:tcPr>
          <w:p w14:paraId="25EBEA1C" w14:textId="77777777" w:rsidR="00DD5D3A" w:rsidRPr="004E5AE5" w:rsidRDefault="00DD5D3A" w:rsidP="004E5AE5">
            <w:pPr>
              <w:pStyle w:val="BodyText"/>
              <w:jc w:val="right"/>
              <w:rPr>
                <w:b/>
                <w:bCs/>
              </w:rPr>
            </w:pPr>
            <w:r w:rsidRPr="004E5AE5">
              <w:rPr>
                <w:b/>
                <w:bCs/>
              </w:rPr>
              <w:t xml:space="preserve">2022–23 </w:t>
            </w:r>
          </w:p>
        </w:tc>
        <w:tc>
          <w:tcPr>
            <w:tcW w:w="343" w:type="pct"/>
          </w:tcPr>
          <w:p w14:paraId="6680F462" w14:textId="77777777" w:rsidR="00DD5D3A" w:rsidRPr="004E5AE5" w:rsidRDefault="00DD5D3A" w:rsidP="004E5AE5">
            <w:pPr>
              <w:pStyle w:val="BodyText"/>
              <w:jc w:val="right"/>
              <w:rPr>
                <w:b/>
                <w:bCs/>
              </w:rPr>
            </w:pPr>
            <w:r w:rsidRPr="004E5AE5">
              <w:rPr>
                <w:b/>
                <w:bCs/>
              </w:rPr>
              <w:t>%</w:t>
            </w:r>
          </w:p>
        </w:tc>
        <w:tc>
          <w:tcPr>
            <w:tcW w:w="917" w:type="pct"/>
          </w:tcPr>
          <w:p w14:paraId="7C2C46FD" w14:textId="77777777" w:rsidR="00DD5D3A" w:rsidRPr="004E5AE5" w:rsidRDefault="00DD5D3A" w:rsidP="004E5AE5">
            <w:pPr>
              <w:pStyle w:val="BodyText"/>
              <w:jc w:val="right"/>
              <w:rPr>
                <w:b/>
                <w:bCs/>
              </w:rPr>
            </w:pPr>
            <w:r w:rsidRPr="004E5AE5">
              <w:rPr>
                <w:b/>
                <w:bCs/>
              </w:rPr>
              <w:t xml:space="preserve">2023–24 </w:t>
            </w:r>
          </w:p>
        </w:tc>
        <w:tc>
          <w:tcPr>
            <w:tcW w:w="343" w:type="pct"/>
          </w:tcPr>
          <w:p w14:paraId="49AC4D9F" w14:textId="77777777" w:rsidR="00DD5D3A" w:rsidRPr="004E5AE5" w:rsidRDefault="00DD5D3A" w:rsidP="004E5AE5">
            <w:pPr>
              <w:pStyle w:val="BodyText"/>
              <w:jc w:val="right"/>
              <w:rPr>
                <w:b/>
                <w:bCs/>
              </w:rPr>
            </w:pPr>
            <w:r w:rsidRPr="004E5AE5">
              <w:rPr>
                <w:b/>
                <w:bCs/>
              </w:rPr>
              <w:t>%</w:t>
            </w:r>
          </w:p>
        </w:tc>
        <w:tc>
          <w:tcPr>
            <w:tcW w:w="916" w:type="pct"/>
          </w:tcPr>
          <w:p w14:paraId="722AB463" w14:textId="77777777" w:rsidR="00DD5D3A" w:rsidRPr="004E5AE5" w:rsidRDefault="00DD5D3A" w:rsidP="004E5AE5">
            <w:pPr>
              <w:pStyle w:val="BodyText"/>
              <w:jc w:val="right"/>
              <w:rPr>
                <w:b/>
                <w:bCs/>
              </w:rPr>
            </w:pPr>
            <w:r w:rsidRPr="004E5AE5">
              <w:rPr>
                <w:b/>
                <w:bCs/>
              </w:rPr>
              <w:t xml:space="preserve">2024–25 </w:t>
            </w:r>
          </w:p>
        </w:tc>
        <w:tc>
          <w:tcPr>
            <w:tcW w:w="343" w:type="pct"/>
          </w:tcPr>
          <w:p w14:paraId="6B571BD2" w14:textId="77777777" w:rsidR="00DD5D3A" w:rsidRPr="004E5AE5" w:rsidRDefault="00DD5D3A" w:rsidP="004E5AE5">
            <w:pPr>
              <w:pStyle w:val="BodyText"/>
              <w:jc w:val="right"/>
              <w:rPr>
                <w:b/>
                <w:bCs/>
              </w:rPr>
            </w:pPr>
            <w:r w:rsidRPr="004E5AE5">
              <w:rPr>
                <w:b/>
                <w:bCs/>
              </w:rPr>
              <w:t>%</w:t>
            </w:r>
          </w:p>
        </w:tc>
      </w:tr>
      <w:tr w:rsidR="00DD5D3A" w14:paraId="56673FA6" w14:textId="77777777" w:rsidTr="006A0585">
        <w:trPr>
          <w:trHeight w:val="396"/>
        </w:trPr>
        <w:tc>
          <w:tcPr>
            <w:tcW w:w="1222" w:type="pct"/>
          </w:tcPr>
          <w:p w14:paraId="4AF831BC" w14:textId="77777777" w:rsidR="00DD5D3A" w:rsidRDefault="00DD5D3A" w:rsidP="00874D7C">
            <w:pPr>
              <w:pStyle w:val="BodyText"/>
            </w:pPr>
            <w:r>
              <w:t>Electronic Funds Transfer (EFT) to claimant</w:t>
            </w:r>
          </w:p>
        </w:tc>
        <w:tc>
          <w:tcPr>
            <w:tcW w:w="917" w:type="pct"/>
          </w:tcPr>
          <w:p w14:paraId="2E98C7F9" w14:textId="77777777" w:rsidR="00DD5D3A" w:rsidRDefault="00DD5D3A" w:rsidP="00874D7C">
            <w:pPr>
              <w:pStyle w:val="BodyText"/>
              <w:jc w:val="right"/>
            </w:pPr>
            <w:r>
              <w:t>54.7 million</w:t>
            </w:r>
          </w:p>
        </w:tc>
        <w:tc>
          <w:tcPr>
            <w:tcW w:w="343" w:type="pct"/>
          </w:tcPr>
          <w:p w14:paraId="363C6AA8" w14:textId="77777777" w:rsidR="00DD5D3A" w:rsidRDefault="00DD5D3A" w:rsidP="00874D7C">
            <w:pPr>
              <w:pStyle w:val="BodyText"/>
              <w:jc w:val="right"/>
            </w:pPr>
            <w:r>
              <w:t>11.9</w:t>
            </w:r>
          </w:p>
        </w:tc>
        <w:tc>
          <w:tcPr>
            <w:tcW w:w="917" w:type="pct"/>
          </w:tcPr>
          <w:p w14:paraId="46D488A5" w14:textId="77777777" w:rsidR="00DD5D3A" w:rsidRDefault="00DD5D3A" w:rsidP="00874D7C">
            <w:pPr>
              <w:pStyle w:val="BodyText"/>
              <w:jc w:val="right"/>
            </w:pPr>
            <w:r>
              <w:t>60.2 million</w:t>
            </w:r>
          </w:p>
        </w:tc>
        <w:tc>
          <w:tcPr>
            <w:tcW w:w="343" w:type="pct"/>
          </w:tcPr>
          <w:p w14:paraId="628B0512" w14:textId="77777777" w:rsidR="00DD5D3A" w:rsidRDefault="00DD5D3A" w:rsidP="00874D7C">
            <w:pPr>
              <w:pStyle w:val="BodyText"/>
              <w:jc w:val="right"/>
            </w:pPr>
            <w:r>
              <w:rPr>
                <w:spacing w:val="-15"/>
              </w:rPr>
              <w:t>13.0</w:t>
            </w:r>
          </w:p>
        </w:tc>
        <w:tc>
          <w:tcPr>
            <w:tcW w:w="916" w:type="pct"/>
          </w:tcPr>
          <w:p w14:paraId="0A4E694C" w14:textId="77777777" w:rsidR="00DD5D3A" w:rsidRDefault="00DD5D3A" w:rsidP="00874D7C">
            <w:pPr>
              <w:pStyle w:val="BodyText"/>
              <w:jc w:val="right"/>
            </w:pPr>
            <w:r>
              <w:t>62.6 million</w:t>
            </w:r>
          </w:p>
        </w:tc>
        <w:tc>
          <w:tcPr>
            <w:tcW w:w="343" w:type="pct"/>
          </w:tcPr>
          <w:p w14:paraId="7D2A2F58" w14:textId="77777777" w:rsidR="00DD5D3A" w:rsidRDefault="00DD5D3A" w:rsidP="00874D7C">
            <w:pPr>
              <w:pStyle w:val="BodyText"/>
              <w:jc w:val="right"/>
            </w:pPr>
            <w:r>
              <w:rPr>
                <w:spacing w:val="-11"/>
              </w:rPr>
              <w:t>13.0</w:t>
            </w:r>
          </w:p>
        </w:tc>
      </w:tr>
      <w:tr w:rsidR="00DD5D3A" w14:paraId="1AE6F29A" w14:textId="77777777" w:rsidTr="006A0585">
        <w:trPr>
          <w:trHeight w:val="396"/>
        </w:trPr>
        <w:tc>
          <w:tcPr>
            <w:tcW w:w="1222" w:type="pct"/>
          </w:tcPr>
          <w:p w14:paraId="5201A6BC" w14:textId="77777777" w:rsidR="00DD5D3A" w:rsidRDefault="00DD5D3A" w:rsidP="00874D7C">
            <w:pPr>
              <w:pStyle w:val="BodyText"/>
            </w:pPr>
            <w:r>
              <w:t>EFTPOS payment to claimant</w:t>
            </w:r>
          </w:p>
        </w:tc>
        <w:tc>
          <w:tcPr>
            <w:tcW w:w="917" w:type="pct"/>
          </w:tcPr>
          <w:p w14:paraId="24665590" w14:textId="77777777" w:rsidR="00DD5D3A" w:rsidRDefault="00DD5D3A" w:rsidP="00874D7C">
            <w:pPr>
              <w:pStyle w:val="BodyText"/>
              <w:jc w:val="right"/>
            </w:pPr>
            <w:r>
              <w:t>15.1 million</w:t>
            </w:r>
          </w:p>
        </w:tc>
        <w:tc>
          <w:tcPr>
            <w:tcW w:w="343" w:type="pct"/>
          </w:tcPr>
          <w:p w14:paraId="04ED31EF" w14:textId="77777777" w:rsidR="00DD5D3A" w:rsidRDefault="00DD5D3A" w:rsidP="00874D7C">
            <w:pPr>
              <w:pStyle w:val="BodyText"/>
              <w:jc w:val="right"/>
            </w:pPr>
            <w:r>
              <w:t>3.3</w:t>
            </w:r>
          </w:p>
        </w:tc>
        <w:tc>
          <w:tcPr>
            <w:tcW w:w="917" w:type="pct"/>
          </w:tcPr>
          <w:p w14:paraId="1AA14F48" w14:textId="77777777" w:rsidR="00DD5D3A" w:rsidRDefault="00DD5D3A" w:rsidP="00874D7C">
            <w:pPr>
              <w:pStyle w:val="BodyText"/>
              <w:jc w:val="right"/>
            </w:pPr>
            <w:r>
              <w:t>16.9 million</w:t>
            </w:r>
          </w:p>
        </w:tc>
        <w:tc>
          <w:tcPr>
            <w:tcW w:w="343" w:type="pct"/>
          </w:tcPr>
          <w:p w14:paraId="396B2C23" w14:textId="77777777" w:rsidR="00DD5D3A" w:rsidRDefault="00DD5D3A" w:rsidP="00874D7C">
            <w:pPr>
              <w:pStyle w:val="BodyText"/>
              <w:jc w:val="right"/>
            </w:pPr>
            <w:r>
              <w:t>3.6</w:t>
            </w:r>
          </w:p>
        </w:tc>
        <w:tc>
          <w:tcPr>
            <w:tcW w:w="916" w:type="pct"/>
          </w:tcPr>
          <w:p w14:paraId="5F891048" w14:textId="77777777" w:rsidR="00DD5D3A" w:rsidRDefault="00DD5D3A" w:rsidP="00874D7C">
            <w:pPr>
              <w:pStyle w:val="BodyText"/>
              <w:jc w:val="right"/>
            </w:pPr>
            <w:r>
              <w:t>16.2 million</w:t>
            </w:r>
          </w:p>
        </w:tc>
        <w:tc>
          <w:tcPr>
            <w:tcW w:w="343" w:type="pct"/>
          </w:tcPr>
          <w:p w14:paraId="284284A2" w14:textId="77777777" w:rsidR="00DD5D3A" w:rsidRDefault="00DD5D3A" w:rsidP="00874D7C">
            <w:pPr>
              <w:pStyle w:val="BodyText"/>
              <w:jc w:val="right"/>
            </w:pPr>
            <w:r>
              <w:t>3.4</w:t>
            </w:r>
          </w:p>
        </w:tc>
      </w:tr>
      <w:tr w:rsidR="00DD5D3A" w14:paraId="2CE18919" w14:textId="77777777" w:rsidTr="006A0585">
        <w:trPr>
          <w:trHeight w:val="396"/>
        </w:trPr>
        <w:tc>
          <w:tcPr>
            <w:tcW w:w="1222" w:type="pct"/>
          </w:tcPr>
          <w:p w14:paraId="28F5B6D1" w14:textId="77777777" w:rsidR="00DD5D3A" w:rsidRDefault="00DD5D3A" w:rsidP="00874D7C">
            <w:pPr>
              <w:pStyle w:val="BodyText"/>
            </w:pPr>
            <w:r>
              <w:rPr>
                <w:rStyle w:val="Bold"/>
                <w:b w:val="0"/>
                <w:bCs w:val="0"/>
              </w:rPr>
              <w:t>EFT to health professional</w:t>
            </w:r>
          </w:p>
        </w:tc>
        <w:tc>
          <w:tcPr>
            <w:tcW w:w="917" w:type="pct"/>
          </w:tcPr>
          <w:p w14:paraId="75734498" w14:textId="77777777" w:rsidR="00DD5D3A" w:rsidRDefault="00DD5D3A" w:rsidP="00874D7C">
            <w:pPr>
              <w:pStyle w:val="BodyText"/>
              <w:jc w:val="right"/>
            </w:pPr>
            <w:r>
              <w:t>353.2 million</w:t>
            </w:r>
          </w:p>
        </w:tc>
        <w:tc>
          <w:tcPr>
            <w:tcW w:w="343" w:type="pct"/>
          </w:tcPr>
          <w:p w14:paraId="621B5ECC" w14:textId="77777777" w:rsidR="00DD5D3A" w:rsidRDefault="00DD5D3A" w:rsidP="00874D7C">
            <w:pPr>
              <w:pStyle w:val="BodyText"/>
              <w:jc w:val="right"/>
            </w:pPr>
            <w:r>
              <w:t>76.8</w:t>
            </w:r>
          </w:p>
        </w:tc>
        <w:tc>
          <w:tcPr>
            <w:tcW w:w="917" w:type="pct"/>
          </w:tcPr>
          <w:p w14:paraId="4F10A162" w14:textId="77777777" w:rsidR="00DD5D3A" w:rsidRDefault="00DD5D3A" w:rsidP="00874D7C">
            <w:pPr>
              <w:pStyle w:val="BodyText"/>
              <w:jc w:val="right"/>
            </w:pPr>
            <w:r>
              <w:t>349.9 million</w:t>
            </w:r>
          </w:p>
        </w:tc>
        <w:tc>
          <w:tcPr>
            <w:tcW w:w="343" w:type="pct"/>
          </w:tcPr>
          <w:p w14:paraId="4C0C0E4F" w14:textId="77777777" w:rsidR="00DD5D3A" w:rsidRDefault="00DD5D3A" w:rsidP="00874D7C">
            <w:pPr>
              <w:pStyle w:val="BodyText"/>
              <w:jc w:val="right"/>
            </w:pPr>
            <w:r>
              <w:t>75.3</w:t>
            </w:r>
          </w:p>
        </w:tc>
        <w:tc>
          <w:tcPr>
            <w:tcW w:w="916" w:type="pct"/>
          </w:tcPr>
          <w:p w14:paraId="058DC126" w14:textId="77777777" w:rsidR="00DD5D3A" w:rsidRDefault="00DD5D3A" w:rsidP="00874D7C">
            <w:pPr>
              <w:pStyle w:val="BodyText"/>
              <w:jc w:val="right"/>
            </w:pPr>
            <w:r>
              <w:t>363.4 million</w:t>
            </w:r>
          </w:p>
        </w:tc>
        <w:tc>
          <w:tcPr>
            <w:tcW w:w="343" w:type="pct"/>
          </w:tcPr>
          <w:p w14:paraId="2A37771E" w14:textId="77777777" w:rsidR="00DD5D3A" w:rsidRDefault="00DD5D3A" w:rsidP="00874D7C">
            <w:pPr>
              <w:pStyle w:val="BodyText"/>
              <w:jc w:val="right"/>
            </w:pPr>
            <w:r>
              <w:rPr>
                <w:spacing w:val="-11"/>
              </w:rPr>
              <w:t xml:space="preserve">75.6 </w:t>
            </w:r>
          </w:p>
        </w:tc>
      </w:tr>
      <w:tr w:rsidR="00DD5D3A" w14:paraId="38BDAF26" w14:textId="77777777" w:rsidTr="006A0585">
        <w:trPr>
          <w:trHeight w:val="396"/>
        </w:trPr>
        <w:tc>
          <w:tcPr>
            <w:tcW w:w="1222" w:type="pct"/>
          </w:tcPr>
          <w:p w14:paraId="63555DB2" w14:textId="77777777" w:rsidR="00DD5D3A" w:rsidRDefault="00DD5D3A" w:rsidP="00874D7C">
            <w:pPr>
              <w:pStyle w:val="BodyText"/>
            </w:pPr>
            <w:r>
              <w:rPr>
                <w:rStyle w:val="Bold"/>
                <w:b w:val="0"/>
                <w:bCs w:val="0"/>
              </w:rPr>
              <w:t>Pay doctor via claimant cheque</w:t>
            </w:r>
          </w:p>
        </w:tc>
        <w:tc>
          <w:tcPr>
            <w:tcW w:w="917" w:type="pct"/>
          </w:tcPr>
          <w:p w14:paraId="5CF858CB" w14:textId="77777777" w:rsidR="00DD5D3A" w:rsidRDefault="00DD5D3A" w:rsidP="00874D7C">
            <w:pPr>
              <w:pStyle w:val="BodyText"/>
              <w:jc w:val="right"/>
            </w:pPr>
            <w:r>
              <w:t>1.8 million</w:t>
            </w:r>
          </w:p>
        </w:tc>
        <w:tc>
          <w:tcPr>
            <w:tcW w:w="343" w:type="pct"/>
          </w:tcPr>
          <w:p w14:paraId="3E734980" w14:textId="77777777" w:rsidR="00DD5D3A" w:rsidRDefault="00DD5D3A" w:rsidP="00874D7C">
            <w:pPr>
              <w:pStyle w:val="BodyText"/>
              <w:jc w:val="right"/>
            </w:pPr>
            <w:r>
              <w:t>0.4</w:t>
            </w:r>
          </w:p>
        </w:tc>
        <w:tc>
          <w:tcPr>
            <w:tcW w:w="917" w:type="pct"/>
          </w:tcPr>
          <w:p w14:paraId="67D78099" w14:textId="77777777" w:rsidR="00DD5D3A" w:rsidRDefault="00DD5D3A" w:rsidP="00874D7C">
            <w:pPr>
              <w:pStyle w:val="BodyText"/>
              <w:jc w:val="right"/>
            </w:pPr>
            <w:r>
              <w:t>1.6 million</w:t>
            </w:r>
          </w:p>
        </w:tc>
        <w:tc>
          <w:tcPr>
            <w:tcW w:w="343" w:type="pct"/>
          </w:tcPr>
          <w:p w14:paraId="516D6A43" w14:textId="77777777" w:rsidR="00DD5D3A" w:rsidRDefault="00DD5D3A" w:rsidP="00874D7C">
            <w:pPr>
              <w:pStyle w:val="BodyText"/>
              <w:jc w:val="right"/>
            </w:pPr>
            <w:r>
              <w:t>0.3</w:t>
            </w:r>
          </w:p>
        </w:tc>
        <w:tc>
          <w:tcPr>
            <w:tcW w:w="916" w:type="pct"/>
          </w:tcPr>
          <w:p w14:paraId="6D926FC4" w14:textId="77777777" w:rsidR="00DD5D3A" w:rsidRDefault="00DD5D3A" w:rsidP="00874D7C">
            <w:pPr>
              <w:pStyle w:val="BodyText"/>
              <w:jc w:val="right"/>
            </w:pPr>
            <w:r>
              <w:t>1.3 million</w:t>
            </w:r>
          </w:p>
        </w:tc>
        <w:tc>
          <w:tcPr>
            <w:tcW w:w="343" w:type="pct"/>
          </w:tcPr>
          <w:p w14:paraId="25D6B3D5" w14:textId="77777777" w:rsidR="00DD5D3A" w:rsidRDefault="00DD5D3A" w:rsidP="00874D7C">
            <w:pPr>
              <w:pStyle w:val="BodyText"/>
              <w:jc w:val="right"/>
            </w:pPr>
            <w:r>
              <w:t>0.3</w:t>
            </w:r>
          </w:p>
        </w:tc>
      </w:tr>
      <w:tr w:rsidR="00DD5D3A" w14:paraId="1C632A17" w14:textId="77777777" w:rsidTr="006A0585">
        <w:trPr>
          <w:trHeight w:val="396"/>
        </w:trPr>
        <w:tc>
          <w:tcPr>
            <w:tcW w:w="1222" w:type="pct"/>
          </w:tcPr>
          <w:p w14:paraId="5FF50431" w14:textId="77777777" w:rsidR="00DD5D3A" w:rsidRDefault="00DD5D3A" w:rsidP="00874D7C">
            <w:pPr>
              <w:pStyle w:val="BodyText"/>
            </w:pPr>
            <w:r>
              <w:rPr>
                <w:rStyle w:val="Bold"/>
                <w:b w:val="0"/>
                <w:bCs w:val="0"/>
              </w:rPr>
              <w:lastRenderedPageBreak/>
              <w:t>Payment to private health fund or billing agent</w:t>
            </w:r>
          </w:p>
        </w:tc>
        <w:tc>
          <w:tcPr>
            <w:tcW w:w="917" w:type="pct"/>
          </w:tcPr>
          <w:p w14:paraId="55AEBF44" w14:textId="77777777" w:rsidR="00DD5D3A" w:rsidRDefault="00DD5D3A" w:rsidP="00874D7C">
            <w:pPr>
              <w:pStyle w:val="BodyText"/>
              <w:jc w:val="right"/>
            </w:pPr>
            <w:r>
              <w:t>34.8 million</w:t>
            </w:r>
          </w:p>
        </w:tc>
        <w:tc>
          <w:tcPr>
            <w:tcW w:w="343" w:type="pct"/>
          </w:tcPr>
          <w:p w14:paraId="2BEC6A06" w14:textId="77777777" w:rsidR="00DD5D3A" w:rsidRDefault="00DD5D3A" w:rsidP="00874D7C">
            <w:pPr>
              <w:pStyle w:val="BodyText"/>
              <w:jc w:val="right"/>
            </w:pPr>
            <w:r>
              <w:t>7.6</w:t>
            </w:r>
          </w:p>
        </w:tc>
        <w:tc>
          <w:tcPr>
            <w:tcW w:w="917" w:type="pct"/>
          </w:tcPr>
          <w:p w14:paraId="27AC2540" w14:textId="77777777" w:rsidR="00DD5D3A" w:rsidRDefault="00DD5D3A" w:rsidP="00874D7C">
            <w:pPr>
              <w:pStyle w:val="BodyText"/>
              <w:jc w:val="right"/>
            </w:pPr>
            <w:r>
              <w:t>36.1 million</w:t>
            </w:r>
          </w:p>
        </w:tc>
        <w:tc>
          <w:tcPr>
            <w:tcW w:w="343" w:type="pct"/>
          </w:tcPr>
          <w:p w14:paraId="121DBD27" w14:textId="77777777" w:rsidR="00DD5D3A" w:rsidRDefault="00DD5D3A" w:rsidP="00874D7C">
            <w:pPr>
              <w:pStyle w:val="BodyText"/>
              <w:jc w:val="right"/>
            </w:pPr>
            <w:r>
              <w:t>7.8</w:t>
            </w:r>
          </w:p>
        </w:tc>
        <w:tc>
          <w:tcPr>
            <w:tcW w:w="916" w:type="pct"/>
          </w:tcPr>
          <w:p w14:paraId="19EE3DCA" w14:textId="77777777" w:rsidR="00DD5D3A" w:rsidRDefault="00DD5D3A" w:rsidP="00874D7C">
            <w:pPr>
              <w:pStyle w:val="BodyText"/>
              <w:jc w:val="right"/>
            </w:pPr>
            <w:r>
              <w:t>37 million</w:t>
            </w:r>
          </w:p>
        </w:tc>
        <w:tc>
          <w:tcPr>
            <w:tcW w:w="343" w:type="pct"/>
          </w:tcPr>
          <w:p w14:paraId="63C51FD5" w14:textId="77777777" w:rsidR="00DD5D3A" w:rsidRDefault="00DD5D3A" w:rsidP="00874D7C">
            <w:pPr>
              <w:pStyle w:val="BodyText"/>
              <w:jc w:val="right"/>
            </w:pPr>
            <w:r>
              <w:t xml:space="preserve">7.7 </w:t>
            </w:r>
          </w:p>
        </w:tc>
      </w:tr>
      <w:tr w:rsidR="00DD5D3A" w14:paraId="020C5379" w14:textId="77777777" w:rsidTr="006A0585">
        <w:trPr>
          <w:trHeight w:val="396"/>
        </w:trPr>
        <w:tc>
          <w:tcPr>
            <w:tcW w:w="1222" w:type="pct"/>
          </w:tcPr>
          <w:p w14:paraId="23526390" w14:textId="77777777" w:rsidR="00DD5D3A" w:rsidRDefault="00DD5D3A" w:rsidP="00874D7C">
            <w:pPr>
              <w:pStyle w:val="BodyText"/>
            </w:pPr>
            <w:r>
              <w:rPr>
                <w:rStyle w:val="Bold"/>
              </w:rPr>
              <w:t>Total services</w:t>
            </w:r>
            <w:r>
              <w:rPr>
                <w:rStyle w:val="Bold"/>
                <w:vertAlign w:val="superscript"/>
              </w:rPr>
              <w:t>(a)</w:t>
            </w:r>
          </w:p>
        </w:tc>
        <w:tc>
          <w:tcPr>
            <w:tcW w:w="917" w:type="pct"/>
          </w:tcPr>
          <w:p w14:paraId="2AC24F6D" w14:textId="77777777" w:rsidR="00DD5D3A" w:rsidRDefault="00DD5D3A" w:rsidP="00874D7C">
            <w:pPr>
              <w:pStyle w:val="BodyText"/>
              <w:jc w:val="right"/>
            </w:pPr>
            <w:r>
              <w:rPr>
                <w:rStyle w:val="Bold"/>
              </w:rPr>
              <w:t>459.6 million</w:t>
            </w:r>
          </w:p>
        </w:tc>
        <w:tc>
          <w:tcPr>
            <w:tcW w:w="343" w:type="pct"/>
          </w:tcPr>
          <w:p w14:paraId="7B6DC057" w14:textId="77777777" w:rsidR="00DD5D3A" w:rsidRDefault="00DD5D3A" w:rsidP="00874D7C">
            <w:pPr>
              <w:pStyle w:val="BodyText"/>
              <w:jc w:val="right"/>
            </w:pPr>
            <w:r>
              <w:rPr>
                <w:rStyle w:val="Bold"/>
              </w:rPr>
              <w:t>100</w:t>
            </w:r>
          </w:p>
        </w:tc>
        <w:tc>
          <w:tcPr>
            <w:tcW w:w="917" w:type="pct"/>
          </w:tcPr>
          <w:p w14:paraId="3C78CF34" w14:textId="77777777" w:rsidR="00DD5D3A" w:rsidRDefault="00DD5D3A" w:rsidP="00874D7C">
            <w:pPr>
              <w:pStyle w:val="BodyText"/>
              <w:jc w:val="right"/>
            </w:pPr>
            <w:r>
              <w:rPr>
                <w:rStyle w:val="Bold"/>
              </w:rPr>
              <w:t>464.7 million</w:t>
            </w:r>
          </w:p>
        </w:tc>
        <w:tc>
          <w:tcPr>
            <w:tcW w:w="343" w:type="pct"/>
          </w:tcPr>
          <w:p w14:paraId="01B1D2A3" w14:textId="77777777" w:rsidR="00DD5D3A" w:rsidRDefault="00DD5D3A" w:rsidP="00874D7C">
            <w:pPr>
              <w:pStyle w:val="BodyText"/>
              <w:jc w:val="right"/>
            </w:pPr>
            <w:r>
              <w:rPr>
                <w:rStyle w:val="Bold"/>
              </w:rPr>
              <w:t>100</w:t>
            </w:r>
          </w:p>
        </w:tc>
        <w:tc>
          <w:tcPr>
            <w:tcW w:w="916" w:type="pct"/>
          </w:tcPr>
          <w:p w14:paraId="1DEA7B67" w14:textId="77777777" w:rsidR="00DD5D3A" w:rsidRDefault="00DD5D3A" w:rsidP="00874D7C">
            <w:pPr>
              <w:pStyle w:val="BodyText"/>
              <w:jc w:val="right"/>
            </w:pPr>
            <w:r>
              <w:rPr>
                <w:rStyle w:val="Bold"/>
              </w:rPr>
              <w:t>480.6 million</w:t>
            </w:r>
          </w:p>
        </w:tc>
        <w:tc>
          <w:tcPr>
            <w:tcW w:w="343" w:type="pct"/>
          </w:tcPr>
          <w:p w14:paraId="478CDD23" w14:textId="77777777" w:rsidR="00DD5D3A" w:rsidRDefault="00DD5D3A" w:rsidP="00874D7C">
            <w:pPr>
              <w:pStyle w:val="BodyText"/>
              <w:jc w:val="right"/>
            </w:pPr>
            <w:r>
              <w:rPr>
                <w:rStyle w:val="Bold"/>
              </w:rPr>
              <w:t>100</w:t>
            </w:r>
          </w:p>
        </w:tc>
      </w:tr>
    </w:tbl>
    <w:p w14:paraId="28CF37ED" w14:textId="3E215915" w:rsidR="00DD5D3A" w:rsidRDefault="001D281E" w:rsidP="001D281E">
      <w:pPr>
        <w:pStyle w:val="ProductCode"/>
      </w:pPr>
      <w:r w:rsidRPr="001D281E">
        <w:t>(a</w:t>
      </w:r>
      <w:r>
        <w:t xml:space="preserve">) </w:t>
      </w:r>
      <w:r w:rsidR="00DD5D3A">
        <w:t>Rounding has been applied.</w:t>
      </w:r>
    </w:p>
    <w:p w14:paraId="35C4648E" w14:textId="77777777" w:rsidR="00DD5D3A" w:rsidRDefault="00DD5D3A" w:rsidP="00DD5D3A">
      <w:pPr>
        <w:pStyle w:val="BodyText"/>
      </w:pPr>
      <w:r>
        <w:t>Table 8 shows Medicare volumes of services transmitted digitally from 2022–23 to 2024–25.</w:t>
      </w:r>
    </w:p>
    <w:p w14:paraId="4A52677D" w14:textId="1A46F085" w:rsidR="00DD5D3A" w:rsidRPr="00DD5D3A" w:rsidRDefault="001D281E" w:rsidP="00DD5D3A">
      <w:pPr>
        <w:pStyle w:val="BodyText"/>
        <w:rPr>
          <w:b/>
          <w:bCs/>
        </w:rPr>
      </w:pPr>
      <w:r>
        <w:rPr>
          <w:b/>
          <w:bCs/>
        </w:rPr>
        <w:t>Table 8:</w:t>
      </w:r>
      <w:r w:rsidR="00DD5D3A" w:rsidRPr="00DD5D3A">
        <w:rPr>
          <w:b/>
          <w:bCs/>
        </w:rPr>
        <w:t xml:space="preserve"> Volumes of services transmitted digitally</w:t>
      </w:r>
    </w:p>
    <w:tbl>
      <w:tblPr>
        <w:tblStyle w:val="TableGrid"/>
        <w:tblW w:w="5000" w:type="pct"/>
        <w:tblLook w:val="04A0" w:firstRow="1" w:lastRow="0" w:firstColumn="1" w:lastColumn="0" w:noHBand="0" w:noVBand="1"/>
        <w:tblCaption w:val=" Volumes of services transmitted digitally"/>
      </w:tblPr>
      <w:tblGrid>
        <w:gridCol w:w="4997"/>
        <w:gridCol w:w="2033"/>
        <w:gridCol w:w="2033"/>
        <w:gridCol w:w="2033"/>
      </w:tblGrid>
      <w:tr w:rsidR="00DD5D3A" w14:paraId="1CB81A52" w14:textId="77777777" w:rsidTr="005875A4">
        <w:trPr>
          <w:trHeight w:val="396"/>
          <w:tblHeader/>
        </w:trPr>
        <w:tc>
          <w:tcPr>
            <w:tcW w:w="2252" w:type="pct"/>
          </w:tcPr>
          <w:p w14:paraId="56590053" w14:textId="77777777" w:rsidR="00DD5D3A" w:rsidRDefault="00DD5D3A" w:rsidP="004E5AE5">
            <w:pPr>
              <w:pStyle w:val="BodyText"/>
              <w:jc w:val="right"/>
            </w:pPr>
          </w:p>
        </w:tc>
        <w:tc>
          <w:tcPr>
            <w:tcW w:w="916" w:type="pct"/>
          </w:tcPr>
          <w:p w14:paraId="2F6E48CB" w14:textId="77777777" w:rsidR="00DD5D3A" w:rsidRDefault="00DD5D3A" w:rsidP="004E5AE5">
            <w:pPr>
              <w:pStyle w:val="BodyText"/>
              <w:jc w:val="right"/>
            </w:pPr>
            <w:r>
              <w:rPr>
                <w:rStyle w:val="Bold"/>
              </w:rPr>
              <w:t>2022–23</w:t>
            </w:r>
          </w:p>
        </w:tc>
        <w:tc>
          <w:tcPr>
            <w:tcW w:w="916" w:type="pct"/>
          </w:tcPr>
          <w:p w14:paraId="34EB6904" w14:textId="77777777" w:rsidR="00DD5D3A" w:rsidRDefault="00DD5D3A" w:rsidP="004E5AE5">
            <w:pPr>
              <w:pStyle w:val="BodyText"/>
              <w:jc w:val="right"/>
            </w:pPr>
            <w:r>
              <w:rPr>
                <w:rStyle w:val="Bold"/>
              </w:rPr>
              <w:t>2023–24</w:t>
            </w:r>
          </w:p>
        </w:tc>
        <w:tc>
          <w:tcPr>
            <w:tcW w:w="916" w:type="pct"/>
          </w:tcPr>
          <w:p w14:paraId="46288D0E" w14:textId="77777777" w:rsidR="00DD5D3A" w:rsidRDefault="00DD5D3A" w:rsidP="004E5AE5">
            <w:pPr>
              <w:pStyle w:val="BodyText"/>
              <w:jc w:val="right"/>
            </w:pPr>
            <w:r>
              <w:rPr>
                <w:rStyle w:val="Bold"/>
              </w:rPr>
              <w:t>2024–25</w:t>
            </w:r>
          </w:p>
        </w:tc>
      </w:tr>
      <w:tr w:rsidR="00DD5D3A" w14:paraId="46554067" w14:textId="77777777" w:rsidTr="006A0585">
        <w:trPr>
          <w:trHeight w:val="396"/>
        </w:trPr>
        <w:tc>
          <w:tcPr>
            <w:tcW w:w="2252" w:type="pct"/>
          </w:tcPr>
          <w:p w14:paraId="5DD67329" w14:textId="77777777" w:rsidR="00DD5D3A" w:rsidRDefault="00DD5D3A" w:rsidP="00874D7C">
            <w:pPr>
              <w:pStyle w:val="BodyText"/>
            </w:pPr>
            <w:r>
              <w:rPr>
                <w:rStyle w:val="Bold"/>
              </w:rPr>
              <w:t>Medicare Online</w:t>
            </w:r>
          </w:p>
        </w:tc>
        <w:tc>
          <w:tcPr>
            <w:tcW w:w="916" w:type="pct"/>
          </w:tcPr>
          <w:p w14:paraId="070CCEA7"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11609F95"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42D6D279"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r>
      <w:tr w:rsidR="00DD5D3A" w14:paraId="797491AC" w14:textId="77777777" w:rsidTr="006A0585">
        <w:trPr>
          <w:trHeight w:val="396"/>
        </w:trPr>
        <w:tc>
          <w:tcPr>
            <w:tcW w:w="2252" w:type="pct"/>
          </w:tcPr>
          <w:p w14:paraId="4F947E18" w14:textId="77777777" w:rsidR="00DD5D3A" w:rsidRDefault="00DD5D3A" w:rsidP="00874D7C">
            <w:pPr>
              <w:pStyle w:val="BodyText"/>
            </w:pPr>
            <w:r>
              <w:t>Bulk-billing</w:t>
            </w:r>
          </w:p>
        </w:tc>
        <w:tc>
          <w:tcPr>
            <w:tcW w:w="916" w:type="pct"/>
          </w:tcPr>
          <w:p w14:paraId="0EB62DEC" w14:textId="77777777" w:rsidR="00DD5D3A" w:rsidRDefault="00DD5D3A" w:rsidP="00874D7C">
            <w:pPr>
              <w:pStyle w:val="BodyText"/>
              <w:jc w:val="right"/>
            </w:pPr>
            <w:r>
              <w:t>335.2 million</w:t>
            </w:r>
          </w:p>
        </w:tc>
        <w:tc>
          <w:tcPr>
            <w:tcW w:w="916" w:type="pct"/>
          </w:tcPr>
          <w:p w14:paraId="7E0C69FB" w14:textId="77777777" w:rsidR="00DD5D3A" w:rsidRDefault="00DD5D3A" w:rsidP="00874D7C">
            <w:pPr>
              <w:pStyle w:val="BodyText"/>
              <w:jc w:val="right"/>
            </w:pPr>
            <w:r>
              <w:t>330.2 million</w:t>
            </w:r>
          </w:p>
        </w:tc>
        <w:tc>
          <w:tcPr>
            <w:tcW w:w="916" w:type="pct"/>
          </w:tcPr>
          <w:p w14:paraId="3D4ACBAD" w14:textId="77777777" w:rsidR="00DD5D3A" w:rsidRDefault="00DD5D3A" w:rsidP="00874D7C">
            <w:pPr>
              <w:pStyle w:val="BodyText"/>
              <w:jc w:val="right"/>
            </w:pPr>
            <w:r>
              <w:t>343.9 million</w:t>
            </w:r>
          </w:p>
        </w:tc>
      </w:tr>
      <w:tr w:rsidR="00DD5D3A" w14:paraId="348B6A61" w14:textId="77777777" w:rsidTr="006A0585">
        <w:trPr>
          <w:trHeight w:val="396"/>
        </w:trPr>
        <w:tc>
          <w:tcPr>
            <w:tcW w:w="2252" w:type="pct"/>
          </w:tcPr>
          <w:p w14:paraId="08056DEC" w14:textId="77777777" w:rsidR="00DD5D3A" w:rsidRDefault="00DD5D3A" w:rsidP="00874D7C">
            <w:pPr>
              <w:pStyle w:val="BodyText"/>
            </w:pPr>
            <w:r>
              <w:rPr>
                <w:rStyle w:val="Bold"/>
                <w:b w:val="0"/>
                <w:bCs w:val="0"/>
              </w:rPr>
              <w:t>Patient claiming</w:t>
            </w:r>
          </w:p>
        </w:tc>
        <w:tc>
          <w:tcPr>
            <w:tcW w:w="916" w:type="pct"/>
          </w:tcPr>
          <w:p w14:paraId="5356A2B7" w14:textId="77777777" w:rsidR="00DD5D3A" w:rsidRDefault="00DD5D3A" w:rsidP="00874D7C">
            <w:pPr>
              <w:pStyle w:val="BodyText"/>
              <w:jc w:val="right"/>
            </w:pPr>
            <w:r>
              <w:t>52.4 million</w:t>
            </w:r>
          </w:p>
        </w:tc>
        <w:tc>
          <w:tcPr>
            <w:tcW w:w="916" w:type="pct"/>
          </w:tcPr>
          <w:p w14:paraId="3DAD3839" w14:textId="77777777" w:rsidR="00DD5D3A" w:rsidRDefault="00DD5D3A" w:rsidP="00874D7C">
            <w:pPr>
              <w:pStyle w:val="BodyText"/>
              <w:jc w:val="right"/>
            </w:pPr>
            <w:r>
              <w:t>57.5 million</w:t>
            </w:r>
          </w:p>
        </w:tc>
        <w:tc>
          <w:tcPr>
            <w:tcW w:w="916" w:type="pct"/>
          </w:tcPr>
          <w:p w14:paraId="3952B235" w14:textId="77777777" w:rsidR="00DD5D3A" w:rsidRDefault="00DD5D3A" w:rsidP="00874D7C">
            <w:pPr>
              <w:pStyle w:val="BodyText"/>
              <w:jc w:val="right"/>
            </w:pPr>
            <w:r>
              <w:t>60.2 million</w:t>
            </w:r>
          </w:p>
        </w:tc>
      </w:tr>
      <w:tr w:rsidR="00DD5D3A" w14:paraId="29A59C9B" w14:textId="77777777" w:rsidTr="006A0585">
        <w:trPr>
          <w:trHeight w:val="396"/>
        </w:trPr>
        <w:tc>
          <w:tcPr>
            <w:tcW w:w="2252" w:type="pct"/>
          </w:tcPr>
          <w:p w14:paraId="637CDDE2" w14:textId="77777777" w:rsidR="00DD5D3A" w:rsidRDefault="00DD5D3A" w:rsidP="00874D7C">
            <w:pPr>
              <w:pStyle w:val="BodyText"/>
            </w:pPr>
            <w:r>
              <w:rPr>
                <w:rStyle w:val="Bold"/>
              </w:rPr>
              <w:t>Medicare Easyclaim</w:t>
            </w:r>
          </w:p>
        </w:tc>
        <w:tc>
          <w:tcPr>
            <w:tcW w:w="916" w:type="pct"/>
          </w:tcPr>
          <w:p w14:paraId="48590E5A"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1B887813"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5D734186"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r>
      <w:tr w:rsidR="00DD5D3A" w14:paraId="128D61CE" w14:textId="77777777" w:rsidTr="006A0585">
        <w:trPr>
          <w:trHeight w:val="396"/>
        </w:trPr>
        <w:tc>
          <w:tcPr>
            <w:tcW w:w="2252" w:type="pct"/>
          </w:tcPr>
          <w:p w14:paraId="5175A180" w14:textId="77777777" w:rsidR="00DD5D3A" w:rsidRDefault="00DD5D3A" w:rsidP="00874D7C">
            <w:pPr>
              <w:pStyle w:val="BodyText"/>
            </w:pPr>
            <w:r>
              <w:rPr>
                <w:rStyle w:val="Bold"/>
                <w:b w:val="0"/>
                <w:bCs w:val="0"/>
              </w:rPr>
              <w:t>Bulk-billing</w:t>
            </w:r>
          </w:p>
        </w:tc>
        <w:tc>
          <w:tcPr>
            <w:tcW w:w="916" w:type="pct"/>
          </w:tcPr>
          <w:p w14:paraId="28C1985F" w14:textId="77777777" w:rsidR="00DD5D3A" w:rsidRDefault="00DD5D3A" w:rsidP="00874D7C">
            <w:pPr>
              <w:pStyle w:val="BodyText"/>
              <w:jc w:val="right"/>
            </w:pPr>
            <w:r>
              <w:t>13.7 million</w:t>
            </w:r>
          </w:p>
        </w:tc>
        <w:tc>
          <w:tcPr>
            <w:tcW w:w="916" w:type="pct"/>
          </w:tcPr>
          <w:p w14:paraId="25FF4B6E" w14:textId="77777777" w:rsidR="00DD5D3A" w:rsidRDefault="00DD5D3A" w:rsidP="00874D7C">
            <w:pPr>
              <w:pStyle w:val="BodyText"/>
              <w:jc w:val="right"/>
            </w:pPr>
            <w:r>
              <w:t>15.4 million</w:t>
            </w:r>
          </w:p>
        </w:tc>
        <w:tc>
          <w:tcPr>
            <w:tcW w:w="916" w:type="pct"/>
          </w:tcPr>
          <w:p w14:paraId="4DFD8969" w14:textId="77777777" w:rsidR="00DD5D3A" w:rsidRDefault="00DD5D3A" w:rsidP="00874D7C">
            <w:pPr>
              <w:pStyle w:val="BodyText"/>
              <w:jc w:val="right"/>
            </w:pPr>
            <w:r>
              <w:t>15.3 million</w:t>
            </w:r>
          </w:p>
        </w:tc>
      </w:tr>
      <w:tr w:rsidR="00DD5D3A" w14:paraId="68AC08C9" w14:textId="77777777" w:rsidTr="006A0585">
        <w:trPr>
          <w:trHeight w:val="396"/>
        </w:trPr>
        <w:tc>
          <w:tcPr>
            <w:tcW w:w="2252" w:type="pct"/>
          </w:tcPr>
          <w:p w14:paraId="54EDDB73" w14:textId="77777777" w:rsidR="00DD5D3A" w:rsidRDefault="00DD5D3A" w:rsidP="00874D7C">
            <w:pPr>
              <w:pStyle w:val="BodyText"/>
            </w:pPr>
            <w:r>
              <w:rPr>
                <w:rStyle w:val="Bold"/>
                <w:b w:val="0"/>
                <w:bCs w:val="0"/>
              </w:rPr>
              <w:t>Patient claiming</w:t>
            </w:r>
          </w:p>
        </w:tc>
        <w:tc>
          <w:tcPr>
            <w:tcW w:w="916" w:type="pct"/>
          </w:tcPr>
          <w:p w14:paraId="4408ACC9" w14:textId="77777777" w:rsidR="00DD5D3A" w:rsidRDefault="00DD5D3A" w:rsidP="00874D7C">
            <w:pPr>
              <w:pStyle w:val="BodyText"/>
              <w:jc w:val="right"/>
            </w:pPr>
            <w:r>
              <w:t>15.2 million</w:t>
            </w:r>
          </w:p>
        </w:tc>
        <w:tc>
          <w:tcPr>
            <w:tcW w:w="916" w:type="pct"/>
          </w:tcPr>
          <w:p w14:paraId="1BD964FA" w14:textId="77777777" w:rsidR="00DD5D3A" w:rsidRDefault="00DD5D3A" w:rsidP="00874D7C">
            <w:pPr>
              <w:pStyle w:val="BodyText"/>
              <w:jc w:val="right"/>
            </w:pPr>
            <w:r>
              <w:t>17 million</w:t>
            </w:r>
          </w:p>
        </w:tc>
        <w:tc>
          <w:tcPr>
            <w:tcW w:w="916" w:type="pct"/>
          </w:tcPr>
          <w:p w14:paraId="7E038902" w14:textId="77777777" w:rsidR="00DD5D3A" w:rsidRDefault="00DD5D3A" w:rsidP="00874D7C">
            <w:pPr>
              <w:pStyle w:val="BodyText"/>
              <w:jc w:val="right"/>
            </w:pPr>
            <w:r>
              <w:t>16.3 million</w:t>
            </w:r>
          </w:p>
        </w:tc>
      </w:tr>
      <w:tr w:rsidR="00DD5D3A" w14:paraId="457C4B20" w14:textId="77777777" w:rsidTr="006A0585">
        <w:trPr>
          <w:trHeight w:val="396"/>
        </w:trPr>
        <w:tc>
          <w:tcPr>
            <w:tcW w:w="2252" w:type="pct"/>
          </w:tcPr>
          <w:p w14:paraId="2AD9F8FD" w14:textId="77777777" w:rsidR="00DD5D3A" w:rsidRDefault="00DD5D3A" w:rsidP="00874D7C">
            <w:pPr>
              <w:pStyle w:val="BodyText"/>
            </w:pPr>
            <w:r>
              <w:rPr>
                <w:rStyle w:val="Bold"/>
              </w:rPr>
              <w:t>ECLIPSE</w:t>
            </w:r>
            <w:r>
              <w:rPr>
                <w:rStyle w:val="Bold"/>
                <w:vertAlign w:val="superscript"/>
              </w:rPr>
              <w:t>(a)</w:t>
            </w:r>
          </w:p>
        </w:tc>
        <w:tc>
          <w:tcPr>
            <w:tcW w:w="916" w:type="pct"/>
          </w:tcPr>
          <w:p w14:paraId="0731BFF4"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1A9DB668"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2F6B6130"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r>
      <w:tr w:rsidR="00DD5D3A" w14:paraId="5CEEF12E" w14:textId="77777777" w:rsidTr="006A0585">
        <w:trPr>
          <w:trHeight w:val="396"/>
        </w:trPr>
        <w:tc>
          <w:tcPr>
            <w:tcW w:w="2252" w:type="pct"/>
          </w:tcPr>
          <w:p w14:paraId="4C5AD88D" w14:textId="77777777" w:rsidR="00DD5D3A" w:rsidRDefault="00DD5D3A" w:rsidP="00874D7C">
            <w:pPr>
              <w:pStyle w:val="BodyText"/>
            </w:pPr>
            <w:r>
              <w:rPr>
                <w:rStyle w:val="Bold"/>
                <w:b w:val="0"/>
                <w:bCs w:val="0"/>
              </w:rPr>
              <w:t>Simplified billing</w:t>
            </w:r>
          </w:p>
        </w:tc>
        <w:tc>
          <w:tcPr>
            <w:tcW w:w="916" w:type="pct"/>
          </w:tcPr>
          <w:p w14:paraId="54326F77" w14:textId="77777777" w:rsidR="00DD5D3A" w:rsidRDefault="00DD5D3A" w:rsidP="00874D7C">
            <w:pPr>
              <w:pStyle w:val="BodyText"/>
              <w:jc w:val="right"/>
            </w:pPr>
            <w:r>
              <w:t>33.7 million</w:t>
            </w:r>
          </w:p>
        </w:tc>
        <w:tc>
          <w:tcPr>
            <w:tcW w:w="916" w:type="pct"/>
          </w:tcPr>
          <w:p w14:paraId="2DEB04B2" w14:textId="77777777" w:rsidR="00DD5D3A" w:rsidRDefault="00DD5D3A" w:rsidP="00874D7C">
            <w:pPr>
              <w:pStyle w:val="BodyText"/>
              <w:jc w:val="right"/>
            </w:pPr>
            <w:r>
              <w:t>35.6 million</w:t>
            </w:r>
          </w:p>
        </w:tc>
        <w:tc>
          <w:tcPr>
            <w:tcW w:w="916" w:type="pct"/>
          </w:tcPr>
          <w:p w14:paraId="2C1FD9B0" w14:textId="77777777" w:rsidR="00DD5D3A" w:rsidRDefault="00DD5D3A" w:rsidP="00874D7C">
            <w:pPr>
              <w:pStyle w:val="BodyText"/>
              <w:jc w:val="right"/>
            </w:pPr>
            <w:r>
              <w:t>36.8 million</w:t>
            </w:r>
          </w:p>
        </w:tc>
      </w:tr>
      <w:tr w:rsidR="00DD5D3A" w14:paraId="51FF8B31" w14:textId="77777777" w:rsidTr="006A0585">
        <w:trPr>
          <w:trHeight w:val="396"/>
        </w:trPr>
        <w:tc>
          <w:tcPr>
            <w:tcW w:w="2252" w:type="pct"/>
          </w:tcPr>
          <w:p w14:paraId="55A74D0C" w14:textId="77777777" w:rsidR="00DD5D3A" w:rsidRDefault="00DD5D3A" w:rsidP="00874D7C">
            <w:pPr>
              <w:pStyle w:val="BodyText"/>
            </w:pPr>
            <w:r>
              <w:rPr>
                <w:rStyle w:val="Bold"/>
              </w:rPr>
              <w:t>Simple File Transfer Protocol</w:t>
            </w:r>
          </w:p>
        </w:tc>
        <w:tc>
          <w:tcPr>
            <w:tcW w:w="916" w:type="pct"/>
          </w:tcPr>
          <w:p w14:paraId="0E43AF50"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55A93D65"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58A52168"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r>
      <w:tr w:rsidR="00DD5D3A" w14:paraId="70A4EA07" w14:textId="77777777" w:rsidTr="006A0585">
        <w:trPr>
          <w:trHeight w:val="396"/>
        </w:trPr>
        <w:tc>
          <w:tcPr>
            <w:tcW w:w="2252" w:type="pct"/>
          </w:tcPr>
          <w:p w14:paraId="538BACAB" w14:textId="77777777" w:rsidR="00DD5D3A" w:rsidRDefault="00DD5D3A" w:rsidP="00874D7C">
            <w:pPr>
              <w:pStyle w:val="BodyText"/>
            </w:pPr>
            <w:r>
              <w:rPr>
                <w:rStyle w:val="Bold"/>
                <w:b w:val="0"/>
                <w:bCs w:val="0"/>
              </w:rPr>
              <w:t>Simplified billing</w:t>
            </w:r>
          </w:p>
        </w:tc>
        <w:tc>
          <w:tcPr>
            <w:tcW w:w="916" w:type="pct"/>
          </w:tcPr>
          <w:p w14:paraId="306BFC1B" w14:textId="77777777" w:rsidR="00DD5D3A" w:rsidRDefault="00DD5D3A" w:rsidP="00874D7C">
            <w:pPr>
              <w:pStyle w:val="BodyText"/>
              <w:jc w:val="right"/>
            </w:pPr>
            <w:r>
              <w:t>1.1 million</w:t>
            </w:r>
          </w:p>
        </w:tc>
        <w:tc>
          <w:tcPr>
            <w:tcW w:w="916" w:type="pct"/>
          </w:tcPr>
          <w:p w14:paraId="39B3656F" w14:textId="77777777" w:rsidR="00DD5D3A" w:rsidRDefault="00DD5D3A" w:rsidP="00874D7C">
            <w:pPr>
              <w:pStyle w:val="BodyText"/>
              <w:jc w:val="right"/>
            </w:pPr>
            <w:r>
              <w:t>0.5 million</w:t>
            </w:r>
          </w:p>
        </w:tc>
        <w:tc>
          <w:tcPr>
            <w:tcW w:w="916" w:type="pct"/>
          </w:tcPr>
          <w:p w14:paraId="3247340F" w14:textId="77777777" w:rsidR="00DD5D3A" w:rsidRDefault="00DD5D3A" w:rsidP="00874D7C">
            <w:pPr>
              <w:pStyle w:val="BodyText"/>
              <w:jc w:val="right"/>
            </w:pPr>
            <w:r>
              <w:t>0.1 million</w:t>
            </w:r>
          </w:p>
        </w:tc>
      </w:tr>
      <w:tr w:rsidR="00DD5D3A" w14:paraId="1A7E680F" w14:textId="77777777" w:rsidTr="006A0585">
        <w:trPr>
          <w:trHeight w:val="396"/>
        </w:trPr>
        <w:tc>
          <w:tcPr>
            <w:tcW w:w="2252" w:type="pct"/>
          </w:tcPr>
          <w:p w14:paraId="01B312CC" w14:textId="77777777" w:rsidR="00DD5D3A" w:rsidRDefault="00DD5D3A" w:rsidP="00874D7C">
            <w:pPr>
              <w:pStyle w:val="BodyText"/>
            </w:pPr>
            <w:r>
              <w:rPr>
                <w:rStyle w:val="Bold"/>
              </w:rPr>
              <w:t>Medicare online account</w:t>
            </w:r>
          </w:p>
        </w:tc>
        <w:tc>
          <w:tcPr>
            <w:tcW w:w="916" w:type="pct"/>
          </w:tcPr>
          <w:p w14:paraId="4DE4C026"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5BAC59CE"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7DFE292C"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r>
      <w:tr w:rsidR="00DD5D3A" w14:paraId="55003E32" w14:textId="77777777" w:rsidTr="006A0585">
        <w:trPr>
          <w:trHeight w:val="396"/>
        </w:trPr>
        <w:tc>
          <w:tcPr>
            <w:tcW w:w="2252" w:type="pct"/>
          </w:tcPr>
          <w:p w14:paraId="7E6AD0A7" w14:textId="77777777" w:rsidR="00DD5D3A" w:rsidRDefault="00DD5D3A" w:rsidP="00874D7C">
            <w:pPr>
              <w:pStyle w:val="BodyText"/>
            </w:pPr>
            <w:r>
              <w:rPr>
                <w:rStyle w:val="Bold"/>
                <w:b w:val="0"/>
                <w:bCs w:val="0"/>
              </w:rPr>
              <w:t>Patient claiming</w:t>
            </w:r>
          </w:p>
        </w:tc>
        <w:tc>
          <w:tcPr>
            <w:tcW w:w="916" w:type="pct"/>
          </w:tcPr>
          <w:p w14:paraId="62D38243" w14:textId="77777777" w:rsidR="00DD5D3A" w:rsidRDefault="00DD5D3A" w:rsidP="00874D7C">
            <w:pPr>
              <w:pStyle w:val="BodyText"/>
              <w:jc w:val="right"/>
            </w:pPr>
            <w:r>
              <w:t>1.7 million</w:t>
            </w:r>
          </w:p>
        </w:tc>
        <w:tc>
          <w:tcPr>
            <w:tcW w:w="916" w:type="pct"/>
          </w:tcPr>
          <w:p w14:paraId="67393E3F" w14:textId="77777777" w:rsidR="00DD5D3A" w:rsidRDefault="00DD5D3A" w:rsidP="00874D7C">
            <w:pPr>
              <w:pStyle w:val="BodyText"/>
              <w:jc w:val="right"/>
            </w:pPr>
            <w:r>
              <w:t>1.8 million</w:t>
            </w:r>
          </w:p>
        </w:tc>
        <w:tc>
          <w:tcPr>
            <w:tcW w:w="916" w:type="pct"/>
          </w:tcPr>
          <w:p w14:paraId="1A15E509" w14:textId="77777777" w:rsidR="00DD5D3A" w:rsidRDefault="00DD5D3A" w:rsidP="00874D7C">
            <w:pPr>
              <w:pStyle w:val="BodyText"/>
              <w:jc w:val="right"/>
            </w:pPr>
            <w:r>
              <w:t>1.5 million</w:t>
            </w:r>
          </w:p>
        </w:tc>
      </w:tr>
      <w:tr w:rsidR="00DD5D3A" w14:paraId="6524F444" w14:textId="77777777" w:rsidTr="006A0585">
        <w:trPr>
          <w:trHeight w:val="396"/>
        </w:trPr>
        <w:tc>
          <w:tcPr>
            <w:tcW w:w="2252" w:type="pct"/>
          </w:tcPr>
          <w:p w14:paraId="055ED949" w14:textId="77777777" w:rsidR="00DD5D3A" w:rsidRDefault="00DD5D3A" w:rsidP="00874D7C">
            <w:pPr>
              <w:pStyle w:val="BodyText"/>
            </w:pPr>
            <w:r>
              <w:rPr>
                <w:rStyle w:val="Bold"/>
              </w:rPr>
              <w:t>Express Plus Medicare mobile app</w:t>
            </w:r>
          </w:p>
        </w:tc>
        <w:tc>
          <w:tcPr>
            <w:tcW w:w="916" w:type="pct"/>
          </w:tcPr>
          <w:p w14:paraId="22C2862F"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1BA2898D"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45839CD8"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r>
      <w:tr w:rsidR="00DD5D3A" w14:paraId="11F50137" w14:textId="77777777" w:rsidTr="006A0585">
        <w:trPr>
          <w:trHeight w:val="396"/>
        </w:trPr>
        <w:tc>
          <w:tcPr>
            <w:tcW w:w="2252" w:type="pct"/>
          </w:tcPr>
          <w:p w14:paraId="55BBC0D3" w14:textId="77777777" w:rsidR="00DD5D3A" w:rsidRDefault="00DD5D3A" w:rsidP="00874D7C">
            <w:pPr>
              <w:pStyle w:val="BodyText"/>
            </w:pPr>
            <w:r>
              <w:rPr>
                <w:rStyle w:val="Bold"/>
                <w:b w:val="0"/>
                <w:bCs w:val="0"/>
              </w:rPr>
              <w:t>Patient claiming</w:t>
            </w:r>
          </w:p>
        </w:tc>
        <w:tc>
          <w:tcPr>
            <w:tcW w:w="916" w:type="pct"/>
          </w:tcPr>
          <w:p w14:paraId="1EE13C9D" w14:textId="77777777" w:rsidR="00DD5D3A" w:rsidRDefault="00DD5D3A" w:rsidP="00874D7C">
            <w:pPr>
              <w:pStyle w:val="BodyText"/>
              <w:jc w:val="right"/>
            </w:pPr>
            <w:r>
              <w:t>1.3 million</w:t>
            </w:r>
          </w:p>
        </w:tc>
        <w:tc>
          <w:tcPr>
            <w:tcW w:w="916" w:type="pct"/>
          </w:tcPr>
          <w:p w14:paraId="41DF2455" w14:textId="77777777" w:rsidR="00DD5D3A" w:rsidRDefault="00DD5D3A" w:rsidP="00874D7C">
            <w:pPr>
              <w:pStyle w:val="BodyText"/>
              <w:jc w:val="right"/>
            </w:pPr>
            <w:r>
              <w:t>1.2 million</w:t>
            </w:r>
          </w:p>
        </w:tc>
        <w:tc>
          <w:tcPr>
            <w:tcW w:w="916" w:type="pct"/>
          </w:tcPr>
          <w:p w14:paraId="2881ADCB" w14:textId="77777777" w:rsidR="00DD5D3A" w:rsidRDefault="00DD5D3A" w:rsidP="00874D7C">
            <w:pPr>
              <w:pStyle w:val="BodyText"/>
              <w:jc w:val="right"/>
            </w:pPr>
            <w:r>
              <w:t>1.2 million</w:t>
            </w:r>
          </w:p>
        </w:tc>
      </w:tr>
      <w:tr w:rsidR="00DD5D3A" w14:paraId="7163646F" w14:textId="77777777" w:rsidTr="006A0585">
        <w:trPr>
          <w:trHeight w:val="396"/>
        </w:trPr>
        <w:tc>
          <w:tcPr>
            <w:tcW w:w="2252" w:type="pct"/>
          </w:tcPr>
          <w:p w14:paraId="7F3C64DB" w14:textId="77777777" w:rsidR="00DD5D3A" w:rsidRDefault="00DD5D3A" w:rsidP="00874D7C">
            <w:pPr>
              <w:pStyle w:val="BodyText"/>
            </w:pPr>
            <w:r>
              <w:rPr>
                <w:rStyle w:val="Bold"/>
              </w:rPr>
              <w:t>Health Professionals Online Service</w:t>
            </w:r>
          </w:p>
        </w:tc>
        <w:tc>
          <w:tcPr>
            <w:tcW w:w="916" w:type="pct"/>
          </w:tcPr>
          <w:p w14:paraId="4AF62982"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60A3351E"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7039B861"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r>
      <w:tr w:rsidR="00DD5D3A" w14:paraId="17A1C273" w14:textId="77777777" w:rsidTr="006A0585">
        <w:trPr>
          <w:trHeight w:val="396"/>
        </w:trPr>
        <w:tc>
          <w:tcPr>
            <w:tcW w:w="2252" w:type="pct"/>
          </w:tcPr>
          <w:p w14:paraId="0D10F8A1" w14:textId="77777777" w:rsidR="00DD5D3A" w:rsidRDefault="00DD5D3A" w:rsidP="00874D7C">
            <w:pPr>
              <w:pStyle w:val="BodyText"/>
            </w:pPr>
            <w:r>
              <w:rPr>
                <w:rStyle w:val="Bold"/>
                <w:b w:val="0"/>
                <w:bCs w:val="0"/>
              </w:rPr>
              <w:t>Bulk-billing</w:t>
            </w:r>
          </w:p>
        </w:tc>
        <w:tc>
          <w:tcPr>
            <w:tcW w:w="916" w:type="pct"/>
          </w:tcPr>
          <w:p w14:paraId="5F1EE72B" w14:textId="77777777" w:rsidR="00DD5D3A" w:rsidRDefault="00DD5D3A" w:rsidP="00874D7C">
            <w:pPr>
              <w:pStyle w:val="BodyText"/>
              <w:jc w:val="right"/>
            </w:pPr>
            <w:r>
              <w:t>3.6 million</w:t>
            </w:r>
          </w:p>
        </w:tc>
        <w:tc>
          <w:tcPr>
            <w:tcW w:w="916" w:type="pct"/>
          </w:tcPr>
          <w:p w14:paraId="3F973CAE" w14:textId="77777777" w:rsidR="00DD5D3A" w:rsidRDefault="00DD5D3A" w:rsidP="00874D7C">
            <w:pPr>
              <w:pStyle w:val="BodyText"/>
              <w:jc w:val="right"/>
            </w:pPr>
            <w:r>
              <w:t>3.7 million</w:t>
            </w:r>
          </w:p>
        </w:tc>
        <w:tc>
          <w:tcPr>
            <w:tcW w:w="916" w:type="pct"/>
          </w:tcPr>
          <w:p w14:paraId="27FFB3CF" w14:textId="77777777" w:rsidR="00DD5D3A" w:rsidRDefault="00DD5D3A" w:rsidP="00874D7C">
            <w:pPr>
              <w:pStyle w:val="BodyText"/>
              <w:jc w:val="right"/>
            </w:pPr>
            <w:r>
              <w:t>3.8 million</w:t>
            </w:r>
          </w:p>
        </w:tc>
      </w:tr>
      <w:tr w:rsidR="00DD5D3A" w14:paraId="323B1FB4" w14:textId="77777777" w:rsidTr="006A0585">
        <w:trPr>
          <w:trHeight w:val="396"/>
        </w:trPr>
        <w:tc>
          <w:tcPr>
            <w:tcW w:w="2252" w:type="pct"/>
          </w:tcPr>
          <w:p w14:paraId="33AD7CBC" w14:textId="77777777" w:rsidR="00DD5D3A" w:rsidRDefault="00DD5D3A" w:rsidP="00874D7C">
            <w:pPr>
              <w:pStyle w:val="BodyText"/>
            </w:pPr>
            <w:r>
              <w:rPr>
                <w:rStyle w:val="Bold"/>
                <w:b w:val="0"/>
                <w:bCs w:val="0"/>
              </w:rPr>
              <w:lastRenderedPageBreak/>
              <w:t>Patient claiming</w:t>
            </w:r>
          </w:p>
        </w:tc>
        <w:tc>
          <w:tcPr>
            <w:tcW w:w="916" w:type="pct"/>
          </w:tcPr>
          <w:p w14:paraId="219712AA" w14:textId="77777777" w:rsidR="00DD5D3A" w:rsidRDefault="00DD5D3A" w:rsidP="00874D7C">
            <w:pPr>
              <w:pStyle w:val="BodyText"/>
              <w:jc w:val="right"/>
            </w:pPr>
            <w:r>
              <w:t>0.4 million</w:t>
            </w:r>
          </w:p>
        </w:tc>
        <w:tc>
          <w:tcPr>
            <w:tcW w:w="916" w:type="pct"/>
          </w:tcPr>
          <w:p w14:paraId="3BB3B97B" w14:textId="77777777" w:rsidR="00DD5D3A" w:rsidRDefault="00DD5D3A" w:rsidP="00874D7C">
            <w:pPr>
              <w:pStyle w:val="BodyText"/>
              <w:jc w:val="right"/>
            </w:pPr>
            <w:r>
              <w:t>0.5 million</w:t>
            </w:r>
          </w:p>
        </w:tc>
        <w:tc>
          <w:tcPr>
            <w:tcW w:w="916" w:type="pct"/>
          </w:tcPr>
          <w:p w14:paraId="78DF8696" w14:textId="77777777" w:rsidR="00DD5D3A" w:rsidRDefault="00DD5D3A" w:rsidP="00874D7C">
            <w:pPr>
              <w:pStyle w:val="BodyText"/>
              <w:jc w:val="right"/>
            </w:pPr>
            <w:r>
              <w:t>0.5 million</w:t>
            </w:r>
          </w:p>
        </w:tc>
      </w:tr>
      <w:tr w:rsidR="00DD5D3A" w14:paraId="41B0D464" w14:textId="77777777" w:rsidTr="006A0585">
        <w:trPr>
          <w:trHeight w:val="396"/>
        </w:trPr>
        <w:tc>
          <w:tcPr>
            <w:tcW w:w="2252" w:type="pct"/>
          </w:tcPr>
          <w:p w14:paraId="213C15EF" w14:textId="77777777" w:rsidR="00DD5D3A" w:rsidRDefault="00DD5D3A" w:rsidP="00874D7C">
            <w:pPr>
              <w:pStyle w:val="BodyText"/>
            </w:pPr>
            <w:r>
              <w:rPr>
                <w:rStyle w:val="Bold"/>
              </w:rPr>
              <w:t>Total digital services</w:t>
            </w:r>
          </w:p>
        </w:tc>
        <w:tc>
          <w:tcPr>
            <w:tcW w:w="916" w:type="pct"/>
          </w:tcPr>
          <w:p w14:paraId="192227A0" w14:textId="77777777" w:rsidR="00DD5D3A" w:rsidRDefault="00DD5D3A" w:rsidP="00874D7C">
            <w:pPr>
              <w:pStyle w:val="BodyText"/>
              <w:jc w:val="right"/>
            </w:pPr>
            <w:r>
              <w:rPr>
                <w:rStyle w:val="Bold"/>
              </w:rPr>
              <w:t>458.3 million</w:t>
            </w:r>
          </w:p>
        </w:tc>
        <w:tc>
          <w:tcPr>
            <w:tcW w:w="916" w:type="pct"/>
          </w:tcPr>
          <w:p w14:paraId="4E56E8A3" w14:textId="77777777" w:rsidR="00DD5D3A" w:rsidRDefault="00DD5D3A" w:rsidP="00874D7C">
            <w:pPr>
              <w:pStyle w:val="BodyText"/>
              <w:jc w:val="right"/>
            </w:pPr>
            <w:r>
              <w:rPr>
                <w:rStyle w:val="Bold"/>
              </w:rPr>
              <w:t>463.5 million</w:t>
            </w:r>
          </w:p>
        </w:tc>
        <w:tc>
          <w:tcPr>
            <w:tcW w:w="916" w:type="pct"/>
          </w:tcPr>
          <w:p w14:paraId="772781F0" w14:textId="77777777" w:rsidR="00DD5D3A" w:rsidRDefault="00DD5D3A" w:rsidP="00874D7C">
            <w:pPr>
              <w:pStyle w:val="BodyText"/>
              <w:jc w:val="right"/>
            </w:pPr>
            <w:r>
              <w:rPr>
                <w:rStyle w:val="Bold"/>
              </w:rPr>
              <w:t>479.6 million</w:t>
            </w:r>
          </w:p>
        </w:tc>
      </w:tr>
      <w:tr w:rsidR="00DD5D3A" w14:paraId="50A2DCF3" w14:textId="77777777" w:rsidTr="006A0585">
        <w:trPr>
          <w:trHeight w:val="396"/>
        </w:trPr>
        <w:tc>
          <w:tcPr>
            <w:tcW w:w="2252" w:type="pct"/>
          </w:tcPr>
          <w:p w14:paraId="37D0D213" w14:textId="77777777" w:rsidR="00DD5D3A" w:rsidRDefault="00DD5D3A" w:rsidP="00874D7C">
            <w:pPr>
              <w:pStyle w:val="BodyText"/>
            </w:pPr>
            <w:r>
              <w:rPr>
                <w:rStyle w:val="Bold"/>
                <w:b w:val="0"/>
                <w:bCs w:val="0"/>
              </w:rPr>
              <w:t>Percentage of overall claims lodged digitally</w:t>
            </w:r>
          </w:p>
        </w:tc>
        <w:tc>
          <w:tcPr>
            <w:tcW w:w="916" w:type="pct"/>
          </w:tcPr>
          <w:p w14:paraId="61180342" w14:textId="77777777" w:rsidR="00DD5D3A" w:rsidRDefault="00DD5D3A" w:rsidP="00874D7C">
            <w:pPr>
              <w:pStyle w:val="BodyText"/>
              <w:jc w:val="right"/>
            </w:pPr>
            <w:r>
              <w:t>99.7%</w:t>
            </w:r>
          </w:p>
        </w:tc>
        <w:tc>
          <w:tcPr>
            <w:tcW w:w="916" w:type="pct"/>
          </w:tcPr>
          <w:p w14:paraId="7141EB71" w14:textId="77777777" w:rsidR="00DD5D3A" w:rsidRDefault="00DD5D3A" w:rsidP="00874D7C">
            <w:pPr>
              <w:pStyle w:val="BodyText"/>
              <w:jc w:val="right"/>
            </w:pPr>
            <w:r>
              <w:t>99.7%</w:t>
            </w:r>
          </w:p>
        </w:tc>
        <w:tc>
          <w:tcPr>
            <w:tcW w:w="916" w:type="pct"/>
          </w:tcPr>
          <w:p w14:paraId="08F2408B" w14:textId="77777777" w:rsidR="00DD5D3A" w:rsidRDefault="00DD5D3A" w:rsidP="00874D7C">
            <w:pPr>
              <w:pStyle w:val="BodyText"/>
              <w:jc w:val="right"/>
            </w:pPr>
            <w:r>
              <w:t>99.8%</w:t>
            </w:r>
          </w:p>
        </w:tc>
      </w:tr>
    </w:tbl>
    <w:p w14:paraId="001135C5" w14:textId="79D9B09E" w:rsidR="00DD5D3A" w:rsidRDefault="001D281E" w:rsidP="001D281E">
      <w:pPr>
        <w:pStyle w:val="ProductCode"/>
      </w:pPr>
      <w:r>
        <w:t xml:space="preserve">(a) </w:t>
      </w:r>
      <w:r w:rsidR="00DD5D3A">
        <w:t xml:space="preserve">ECLIPSE: Electronic Claim Lodgement Information Processing Service Environment. </w:t>
      </w:r>
    </w:p>
    <w:p w14:paraId="073A4F4F" w14:textId="77777777" w:rsidR="00DD5D3A" w:rsidRDefault="00DD5D3A" w:rsidP="00DD5D3A">
      <w:pPr>
        <w:pStyle w:val="Heading3"/>
      </w:pPr>
      <w:r>
        <w:t>Medicare eligible health professionals</w:t>
      </w:r>
    </w:p>
    <w:p w14:paraId="63012DF6" w14:textId="77777777" w:rsidR="00DD5D3A" w:rsidRDefault="00DD5D3A" w:rsidP="00DD5D3A">
      <w:pPr>
        <w:pStyle w:val="BodyText"/>
      </w:pPr>
      <w:r>
        <w:t>Health professionals who deliver services covered by Medicare are given a Medicare provider number for each practice location. The provider number allows health professionals to refer or request health services for patients and claim benefits under the MBS and on behalf of the DVA.</w:t>
      </w:r>
    </w:p>
    <w:p w14:paraId="3F4D3346" w14:textId="77777777" w:rsidR="00DD5D3A" w:rsidRDefault="00DD5D3A" w:rsidP="00DD5D3A">
      <w:pPr>
        <w:pStyle w:val="BodyText"/>
      </w:pPr>
      <w:r>
        <w:t xml:space="preserve">In 2024–25, 201,662 new Medicare provider numbers were issued. </w:t>
      </w:r>
    </w:p>
    <w:p w14:paraId="0FB4D668" w14:textId="77777777" w:rsidR="00DD5D3A" w:rsidRDefault="00DD5D3A" w:rsidP="00DD5D3A">
      <w:pPr>
        <w:pStyle w:val="BodyText"/>
      </w:pPr>
      <w:r>
        <w:t xml:space="preserve">Practices that deliver diagnostic imaging or radiation oncology services are required to register with the agency and have a location-specific practice number to claim Medicare benefits. Pathology authorities, practitioners, collection centres and laboratories must be approved by the agency before performing Medicare eligible pathology services. </w:t>
      </w:r>
    </w:p>
    <w:p w14:paraId="2791FC52" w14:textId="77777777" w:rsidR="00DD5D3A" w:rsidRDefault="00DD5D3A" w:rsidP="00DD5D3A">
      <w:pPr>
        <w:pStyle w:val="BodyText"/>
      </w:pPr>
      <w:r>
        <w:t>Table 9 shows the number of each type of health professional under Medicare from 2022–23 to 2024–25.</w:t>
      </w:r>
    </w:p>
    <w:p w14:paraId="26899388" w14:textId="4B136FD4" w:rsidR="00DD5D3A" w:rsidRPr="00DD5D3A" w:rsidRDefault="001D281E" w:rsidP="00DD5D3A">
      <w:pPr>
        <w:pStyle w:val="BodyText"/>
        <w:rPr>
          <w:b/>
          <w:bCs/>
        </w:rPr>
      </w:pPr>
      <w:r>
        <w:rPr>
          <w:b/>
          <w:bCs/>
        </w:rPr>
        <w:t>Table 9:</w:t>
      </w:r>
      <w:r w:rsidR="00DD5D3A" w:rsidRPr="00DD5D3A">
        <w:rPr>
          <w:b/>
          <w:bCs/>
        </w:rPr>
        <w:t xml:space="preserve"> Health professionals under Medicare </w:t>
      </w:r>
    </w:p>
    <w:tbl>
      <w:tblPr>
        <w:tblStyle w:val="TableGrid"/>
        <w:tblW w:w="5000" w:type="pct"/>
        <w:tblLook w:val="04A0" w:firstRow="1" w:lastRow="0" w:firstColumn="1" w:lastColumn="0" w:noHBand="0" w:noVBand="1"/>
        <w:tblCaption w:val="Health professionals under Medicare "/>
      </w:tblPr>
      <w:tblGrid>
        <w:gridCol w:w="5758"/>
        <w:gridCol w:w="1780"/>
        <w:gridCol w:w="1778"/>
        <w:gridCol w:w="1780"/>
      </w:tblGrid>
      <w:tr w:rsidR="00DD5D3A" w14:paraId="5A6FC724" w14:textId="77777777" w:rsidTr="005875A4">
        <w:trPr>
          <w:trHeight w:val="396"/>
          <w:tblHeader/>
        </w:trPr>
        <w:tc>
          <w:tcPr>
            <w:tcW w:w="2595" w:type="pct"/>
          </w:tcPr>
          <w:p w14:paraId="06ED95A9" w14:textId="77777777" w:rsidR="00DD5D3A" w:rsidRPr="004E5AE5" w:rsidRDefault="00DD5D3A" w:rsidP="004E5AE5">
            <w:pPr>
              <w:pStyle w:val="BodyText"/>
              <w:jc w:val="right"/>
              <w:rPr>
                <w:b/>
                <w:bCs/>
              </w:rPr>
            </w:pPr>
          </w:p>
        </w:tc>
        <w:tc>
          <w:tcPr>
            <w:tcW w:w="802" w:type="pct"/>
          </w:tcPr>
          <w:p w14:paraId="63933249" w14:textId="77777777" w:rsidR="00DD5D3A" w:rsidRPr="004E5AE5" w:rsidRDefault="00DD5D3A" w:rsidP="004E5AE5">
            <w:pPr>
              <w:pStyle w:val="BodyText"/>
              <w:jc w:val="right"/>
              <w:rPr>
                <w:b/>
                <w:bCs/>
              </w:rPr>
            </w:pPr>
            <w:r w:rsidRPr="004E5AE5">
              <w:rPr>
                <w:b/>
                <w:bCs/>
              </w:rPr>
              <w:t xml:space="preserve">2022–23 </w:t>
            </w:r>
          </w:p>
        </w:tc>
        <w:tc>
          <w:tcPr>
            <w:tcW w:w="801" w:type="pct"/>
          </w:tcPr>
          <w:p w14:paraId="20FCF5B6" w14:textId="77777777" w:rsidR="00DD5D3A" w:rsidRPr="004E5AE5" w:rsidRDefault="00DD5D3A" w:rsidP="004E5AE5">
            <w:pPr>
              <w:pStyle w:val="BodyText"/>
              <w:jc w:val="right"/>
              <w:rPr>
                <w:b/>
                <w:bCs/>
              </w:rPr>
            </w:pPr>
            <w:r w:rsidRPr="004E5AE5">
              <w:rPr>
                <w:b/>
                <w:bCs/>
              </w:rPr>
              <w:t xml:space="preserve">2023–24 </w:t>
            </w:r>
          </w:p>
        </w:tc>
        <w:tc>
          <w:tcPr>
            <w:tcW w:w="802" w:type="pct"/>
          </w:tcPr>
          <w:p w14:paraId="236AFCC5" w14:textId="77777777" w:rsidR="00DD5D3A" w:rsidRPr="004E5AE5" w:rsidRDefault="00DD5D3A" w:rsidP="004E5AE5">
            <w:pPr>
              <w:pStyle w:val="BodyText"/>
              <w:jc w:val="right"/>
              <w:rPr>
                <w:b/>
                <w:bCs/>
              </w:rPr>
            </w:pPr>
            <w:r w:rsidRPr="004E5AE5">
              <w:rPr>
                <w:b/>
                <w:bCs/>
              </w:rPr>
              <w:t>2024–25</w:t>
            </w:r>
          </w:p>
        </w:tc>
      </w:tr>
      <w:tr w:rsidR="00DD5D3A" w14:paraId="4F32C591" w14:textId="77777777" w:rsidTr="006A0585">
        <w:trPr>
          <w:trHeight w:val="396"/>
        </w:trPr>
        <w:tc>
          <w:tcPr>
            <w:tcW w:w="2595" w:type="pct"/>
          </w:tcPr>
          <w:p w14:paraId="0D37850D" w14:textId="77777777" w:rsidR="00DD5D3A" w:rsidRDefault="00DD5D3A" w:rsidP="00874D7C">
            <w:pPr>
              <w:pStyle w:val="BodyText"/>
            </w:pPr>
            <w:r>
              <w:rPr>
                <w:rStyle w:val="Bold"/>
                <w:b w:val="0"/>
                <w:bCs w:val="0"/>
              </w:rPr>
              <w:t>Medicare provider numbers issued</w:t>
            </w:r>
            <w:r>
              <w:rPr>
                <w:rStyle w:val="Bold"/>
                <w:b w:val="0"/>
                <w:bCs w:val="0"/>
                <w:vertAlign w:val="superscript"/>
              </w:rPr>
              <w:t>(a)(b)</w:t>
            </w:r>
          </w:p>
        </w:tc>
        <w:tc>
          <w:tcPr>
            <w:tcW w:w="802" w:type="pct"/>
          </w:tcPr>
          <w:p w14:paraId="25F7F673" w14:textId="77777777" w:rsidR="00DD5D3A" w:rsidRDefault="00DD5D3A" w:rsidP="00874D7C">
            <w:pPr>
              <w:pStyle w:val="BodyText"/>
              <w:jc w:val="right"/>
            </w:pPr>
            <w:r>
              <w:t>201,836</w:t>
            </w:r>
          </w:p>
        </w:tc>
        <w:tc>
          <w:tcPr>
            <w:tcW w:w="801" w:type="pct"/>
          </w:tcPr>
          <w:p w14:paraId="34B6727E" w14:textId="77777777" w:rsidR="00DD5D3A" w:rsidRDefault="00DD5D3A" w:rsidP="00874D7C">
            <w:pPr>
              <w:pStyle w:val="BodyText"/>
              <w:jc w:val="right"/>
            </w:pPr>
            <w:r>
              <w:t>208,607</w:t>
            </w:r>
          </w:p>
        </w:tc>
        <w:tc>
          <w:tcPr>
            <w:tcW w:w="802" w:type="pct"/>
          </w:tcPr>
          <w:p w14:paraId="56532802" w14:textId="77777777" w:rsidR="00DD5D3A" w:rsidRDefault="00DD5D3A" w:rsidP="00874D7C">
            <w:pPr>
              <w:pStyle w:val="BodyText"/>
              <w:jc w:val="right"/>
            </w:pPr>
            <w:r>
              <w:t>201,662</w:t>
            </w:r>
          </w:p>
        </w:tc>
      </w:tr>
      <w:tr w:rsidR="00DD5D3A" w14:paraId="31AA4985" w14:textId="77777777" w:rsidTr="006A0585">
        <w:trPr>
          <w:trHeight w:val="396"/>
        </w:trPr>
        <w:tc>
          <w:tcPr>
            <w:tcW w:w="2595" w:type="pct"/>
          </w:tcPr>
          <w:p w14:paraId="69D23AA4" w14:textId="77777777" w:rsidR="00DD5D3A" w:rsidRDefault="00DD5D3A" w:rsidP="00874D7C">
            <w:pPr>
              <w:pStyle w:val="BodyText"/>
            </w:pPr>
            <w:r>
              <w:t>Diagnostic imaging or radiation oncology practices registered</w:t>
            </w:r>
          </w:p>
        </w:tc>
        <w:tc>
          <w:tcPr>
            <w:tcW w:w="802" w:type="pct"/>
          </w:tcPr>
          <w:p w14:paraId="4120A628" w14:textId="77777777" w:rsidR="00DD5D3A" w:rsidRDefault="00DD5D3A" w:rsidP="00874D7C">
            <w:pPr>
              <w:pStyle w:val="BodyText"/>
              <w:jc w:val="right"/>
            </w:pPr>
            <w:r>
              <w:t xml:space="preserve">5,285 </w:t>
            </w:r>
          </w:p>
        </w:tc>
        <w:tc>
          <w:tcPr>
            <w:tcW w:w="801" w:type="pct"/>
          </w:tcPr>
          <w:p w14:paraId="1C931AAF" w14:textId="77777777" w:rsidR="00DD5D3A" w:rsidRDefault="00DD5D3A" w:rsidP="00874D7C">
            <w:pPr>
              <w:pStyle w:val="BodyText"/>
              <w:jc w:val="right"/>
            </w:pPr>
            <w:r>
              <w:t xml:space="preserve">5,322 </w:t>
            </w:r>
          </w:p>
        </w:tc>
        <w:tc>
          <w:tcPr>
            <w:tcW w:w="802" w:type="pct"/>
          </w:tcPr>
          <w:p w14:paraId="5273705C" w14:textId="77777777" w:rsidR="00DD5D3A" w:rsidRDefault="00DD5D3A" w:rsidP="00874D7C">
            <w:pPr>
              <w:pStyle w:val="BodyText"/>
              <w:jc w:val="right"/>
            </w:pPr>
            <w:r>
              <w:t>5,483</w:t>
            </w:r>
          </w:p>
        </w:tc>
      </w:tr>
      <w:tr w:rsidR="00DD5D3A" w14:paraId="3212C52A" w14:textId="77777777" w:rsidTr="006A0585">
        <w:trPr>
          <w:trHeight w:val="396"/>
        </w:trPr>
        <w:tc>
          <w:tcPr>
            <w:tcW w:w="2595" w:type="pct"/>
          </w:tcPr>
          <w:p w14:paraId="6CD353D2" w14:textId="77777777" w:rsidR="00DD5D3A" w:rsidRDefault="00DD5D3A" w:rsidP="00874D7C">
            <w:pPr>
              <w:pStyle w:val="BodyText"/>
            </w:pPr>
            <w:r>
              <w:rPr>
                <w:rStyle w:val="Bold"/>
                <w:b w:val="0"/>
                <w:bCs w:val="0"/>
              </w:rPr>
              <w:t>Approved Pathology Authorities (APAs)</w:t>
            </w:r>
          </w:p>
        </w:tc>
        <w:tc>
          <w:tcPr>
            <w:tcW w:w="802" w:type="pct"/>
          </w:tcPr>
          <w:p w14:paraId="02439DB2" w14:textId="77777777" w:rsidR="00DD5D3A" w:rsidRDefault="00DD5D3A" w:rsidP="00874D7C">
            <w:pPr>
              <w:pStyle w:val="BodyText"/>
              <w:jc w:val="right"/>
            </w:pPr>
            <w:r>
              <w:t xml:space="preserve">97 </w:t>
            </w:r>
          </w:p>
        </w:tc>
        <w:tc>
          <w:tcPr>
            <w:tcW w:w="801" w:type="pct"/>
          </w:tcPr>
          <w:p w14:paraId="7705799F" w14:textId="77777777" w:rsidR="00DD5D3A" w:rsidRDefault="00DD5D3A" w:rsidP="00874D7C">
            <w:pPr>
              <w:pStyle w:val="BodyText"/>
              <w:jc w:val="right"/>
            </w:pPr>
            <w:r>
              <w:t xml:space="preserve">92 </w:t>
            </w:r>
          </w:p>
        </w:tc>
        <w:tc>
          <w:tcPr>
            <w:tcW w:w="802" w:type="pct"/>
          </w:tcPr>
          <w:p w14:paraId="2817BF4D" w14:textId="77777777" w:rsidR="00DD5D3A" w:rsidRDefault="00DD5D3A" w:rsidP="00874D7C">
            <w:pPr>
              <w:pStyle w:val="BodyText"/>
              <w:jc w:val="right"/>
            </w:pPr>
            <w:r>
              <w:t>81</w:t>
            </w:r>
          </w:p>
        </w:tc>
      </w:tr>
      <w:tr w:rsidR="00DD5D3A" w14:paraId="3B5AC35E" w14:textId="77777777" w:rsidTr="006A0585">
        <w:trPr>
          <w:trHeight w:val="396"/>
        </w:trPr>
        <w:tc>
          <w:tcPr>
            <w:tcW w:w="2595" w:type="pct"/>
          </w:tcPr>
          <w:p w14:paraId="1522AE15" w14:textId="77777777" w:rsidR="00DD5D3A" w:rsidRDefault="00DD5D3A" w:rsidP="00874D7C">
            <w:pPr>
              <w:pStyle w:val="BodyText"/>
            </w:pPr>
            <w:r>
              <w:rPr>
                <w:rStyle w:val="Bold"/>
                <w:b w:val="0"/>
                <w:bCs w:val="0"/>
              </w:rPr>
              <w:t>Approved Pathology Practitioners (APPs)</w:t>
            </w:r>
          </w:p>
        </w:tc>
        <w:tc>
          <w:tcPr>
            <w:tcW w:w="802" w:type="pct"/>
          </w:tcPr>
          <w:p w14:paraId="6E7D1C97" w14:textId="77777777" w:rsidR="00DD5D3A" w:rsidRDefault="00DD5D3A" w:rsidP="00874D7C">
            <w:pPr>
              <w:pStyle w:val="BodyText"/>
              <w:jc w:val="right"/>
            </w:pPr>
            <w:r>
              <w:t xml:space="preserve">344 </w:t>
            </w:r>
          </w:p>
        </w:tc>
        <w:tc>
          <w:tcPr>
            <w:tcW w:w="801" w:type="pct"/>
          </w:tcPr>
          <w:p w14:paraId="50BEB933" w14:textId="77777777" w:rsidR="00DD5D3A" w:rsidRDefault="00DD5D3A" w:rsidP="00874D7C">
            <w:pPr>
              <w:pStyle w:val="BodyText"/>
              <w:jc w:val="right"/>
            </w:pPr>
            <w:r>
              <w:t xml:space="preserve">319 </w:t>
            </w:r>
          </w:p>
        </w:tc>
        <w:tc>
          <w:tcPr>
            <w:tcW w:w="802" w:type="pct"/>
          </w:tcPr>
          <w:p w14:paraId="3FD3CC8B" w14:textId="77777777" w:rsidR="00DD5D3A" w:rsidRDefault="00DD5D3A" w:rsidP="00874D7C">
            <w:pPr>
              <w:pStyle w:val="BodyText"/>
              <w:jc w:val="right"/>
            </w:pPr>
            <w:r>
              <w:t>296</w:t>
            </w:r>
          </w:p>
        </w:tc>
      </w:tr>
      <w:tr w:rsidR="00DD5D3A" w14:paraId="0C4E2054" w14:textId="77777777" w:rsidTr="006A0585">
        <w:trPr>
          <w:trHeight w:val="396"/>
        </w:trPr>
        <w:tc>
          <w:tcPr>
            <w:tcW w:w="2595" w:type="pct"/>
          </w:tcPr>
          <w:p w14:paraId="2405C2F2" w14:textId="77777777" w:rsidR="00DD5D3A" w:rsidRDefault="00DD5D3A" w:rsidP="00874D7C">
            <w:pPr>
              <w:pStyle w:val="BodyText"/>
            </w:pPr>
            <w:r>
              <w:rPr>
                <w:rStyle w:val="Bold"/>
                <w:b w:val="0"/>
                <w:bCs w:val="0"/>
              </w:rPr>
              <w:t>Accredited Pathology Laboratories (APLs)</w:t>
            </w:r>
          </w:p>
        </w:tc>
        <w:tc>
          <w:tcPr>
            <w:tcW w:w="802" w:type="pct"/>
          </w:tcPr>
          <w:p w14:paraId="0C147092" w14:textId="77777777" w:rsidR="00DD5D3A" w:rsidRDefault="00DD5D3A" w:rsidP="00874D7C">
            <w:pPr>
              <w:pStyle w:val="BodyText"/>
              <w:jc w:val="right"/>
            </w:pPr>
            <w:r>
              <w:t xml:space="preserve">716 </w:t>
            </w:r>
          </w:p>
        </w:tc>
        <w:tc>
          <w:tcPr>
            <w:tcW w:w="801" w:type="pct"/>
          </w:tcPr>
          <w:p w14:paraId="072F3C6D" w14:textId="77777777" w:rsidR="00DD5D3A" w:rsidRDefault="00DD5D3A" w:rsidP="00874D7C">
            <w:pPr>
              <w:pStyle w:val="BodyText"/>
              <w:jc w:val="right"/>
            </w:pPr>
            <w:r>
              <w:t xml:space="preserve">709 </w:t>
            </w:r>
          </w:p>
        </w:tc>
        <w:tc>
          <w:tcPr>
            <w:tcW w:w="802" w:type="pct"/>
          </w:tcPr>
          <w:p w14:paraId="3A2DDB98" w14:textId="77777777" w:rsidR="00DD5D3A" w:rsidRDefault="00DD5D3A" w:rsidP="00874D7C">
            <w:pPr>
              <w:pStyle w:val="BodyText"/>
              <w:jc w:val="right"/>
            </w:pPr>
            <w:r>
              <w:t>664</w:t>
            </w:r>
          </w:p>
        </w:tc>
      </w:tr>
      <w:tr w:rsidR="00DD5D3A" w14:paraId="4258948A" w14:textId="77777777" w:rsidTr="006A0585">
        <w:trPr>
          <w:trHeight w:val="396"/>
        </w:trPr>
        <w:tc>
          <w:tcPr>
            <w:tcW w:w="2595" w:type="pct"/>
          </w:tcPr>
          <w:p w14:paraId="2C3ADC48" w14:textId="77777777" w:rsidR="00DD5D3A" w:rsidRDefault="00DD5D3A" w:rsidP="00874D7C">
            <w:pPr>
              <w:pStyle w:val="BodyText"/>
            </w:pPr>
            <w:r>
              <w:rPr>
                <w:rStyle w:val="Bold"/>
                <w:b w:val="0"/>
                <w:bCs w:val="0"/>
              </w:rPr>
              <w:t>Approved Collection Centres (ACCs)</w:t>
            </w:r>
            <w:r>
              <w:rPr>
                <w:rStyle w:val="Bold"/>
                <w:b w:val="0"/>
                <w:bCs w:val="0"/>
                <w:vertAlign w:val="superscript"/>
              </w:rPr>
              <w:t>(c)(d)</w:t>
            </w:r>
          </w:p>
        </w:tc>
        <w:tc>
          <w:tcPr>
            <w:tcW w:w="802" w:type="pct"/>
          </w:tcPr>
          <w:p w14:paraId="69217E9C" w14:textId="77777777" w:rsidR="00DD5D3A" w:rsidRDefault="00DD5D3A" w:rsidP="00874D7C">
            <w:pPr>
              <w:pStyle w:val="BodyText"/>
              <w:jc w:val="right"/>
            </w:pPr>
            <w:r>
              <w:t>4,508</w:t>
            </w:r>
            <w:r>
              <w:rPr>
                <w:vertAlign w:val="superscript"/>
              </w:rPr>
              <w:t>(c)</w:t>
            </w:r>
          </w:p>
        </w:tc>
        <w:tc>
          <w:tcPr>
            <w:tcW w:w="801" w:type="pct"/>
          </w:tcPr>
          <w:p w14:paraId="45031950" w14:textId="77777777" w:rsidR="00DD5D3A" w:rsidRDefault="00DD5D3A" w:rsidP="00874D7C">
            <w:pPr>
              <w:pStyle w:val="BodyText"/>
              <w:jc w:val="right"/>
            </w:pPr>
            <w:r>
              <w:t>4,326</w:t>
            </w:r>
            <w:r>
              <w:rPr>
                <w:vertAlign w:val="superscript"/>
              </w:rPr>
              <w:t>(c)</w:t>
            </w:r>
          </w:p>
        </w:tc>
        <w:tc>
          <w:tcPr>
            <w:tcW w:w="802" w:type="pct"/>
          </w:tcPr>
          <w:p w14:paraId="22EEE875" w14:textId="77777777" w:rsidR="00DD5D3A" w:rsidRDefault="00DD5D3A" w:rsidP="00874D7C">
            <w:pPr>
              <w:pStyle w:val="BodyText"/>
              <w:jc w:val="right"/>
            </w:pPr>
            <w:r>
              <w:t>7,327</w:t>
            </w:r>
            <w:r>
              <w:rPr>
                <w:vertAlign w:val="superscript"/>
              </w:rPr>
              <w:t>(d)</w:t>
            </w:r>
            <w:r>
              <w:t xml:space="preserve"> </w:t>
            </w:r>
          </w:p>
        </w:tc>
      </w:tr>
    </w:tbl>
    <w:p w14:paraId="58D2E5C9" w14:textId="46AD6511" w:rsidR="00DD5D3A" w:rsidRDefault="00DD5D3A" w:rsidP="001D281E">
      <w:pPr>
        <w:pStyle w:val="ProductCode"/>
      </w:pPr>
      <w:r>
        <w:t>(a)</w:t>
      </w:r>
      <w:r w:rsidR="004E5AE5">
        <w:t xml:space="preserve"> </w:t>
      </w:r>
      <w:r>
        <w:t xml:space="preserve">These numbers do not equate to individual health professionals, as health professionals are issued more than one provider number if providing services at multiple locations. </w:t>
      </w:r>
    </w:p>
    <w:p w14:paraId="2DC62451" w14:textId="1661DBE9" w:rsidR="00DD5D3A" w:rsidRDefault="00DD5D3A" w:rsidP="001D281E">
      <w:pPr>
        <w:pStyle w:val="ProductCode"/>
      </w:pPr>
      <w:r>
        <w:t>(b)</w:t>
      </w:r>
      <w:r w:rsidR="004E5AE5">
        <w:t xml:space="preserve"> </w:t>
      </w:r>
      <w:r>
        <w:t xml:space="preserve">A new methodology for counting Medicare provider numbers issued has been used in 2024–25 which provides a more accurate representation of provider registration based on location(s) rather than original registration. Figures for 2022–23 and 2023–24 will not match previous annual reports due to this. </w:t>
      </w:r>
    </w:p>
    <w:p w14:paraId="256BF82A" w14:textId="46388EB2" w:rsidR="00DD5D3A" w:rsidRDefault="00DD5D3A" w:rsidP="001D281E">
      <w:pPr>
        <w:pStyle w:val="ProductCode"/>
      </w:pPr>
      <w:r>
        <w:t>(c)</w:t>
      </w:r>
      <w:r w:rsidR="004E5AE5">
        <w:t xml:space="preserve"> </w:t>
      </w:r>
      <w:r>
        <w:t xml:space="preserve">These numbers represent relationships between APAs and ACCs. </w:t>
      </w:r>
    </w:p>
    <w:p w14:paraId="3A1C3AB3" w14:textId="2DCDD951" w:rsidR="00DD5D3A" w:rsidRDefault="00DD5D3A" w:rsidP="001D281E">
      <w:pPr>
        <w:pStyle w:val="ProductCode"/>
      </w:pPr>
      <w:r>
        <w:t>(d)</w:t>
      </w:r>
      <w:r w:rsidR="004E5AE5">
        <w:t xml:space="preserve"> </w:t>
      </w:r>
      <w:r>
        <w:t>These numbers represent the total number of unique ACC locations.</w:t>
      </w:r>
    </w:p>
    <w:p w14:paraId="6804BDE4" w14:textId="77777777" w:rsidR="00DD5D3A" w:rsidRDefault="00DD5D3A" w:rsidP="00DD5D3A">
      <w:pPr>
        <w:pStyle w:val="Heading3"/>
      </w:pPr>
      <w:r>
        <w:lastRenderedPageBreak/>
        <w:t>Medicare compensation recovery</w:t>
      </w:r>
    </w:p>
    <w:p w14:paraId="18F5BE01" w14:textId="77777777" w:rsidR="00DD5D3A" w:rsidRDefault="00DD5D3A" w:rsidP="00DD5D3A">
      <w:pPr>
        <w:pStyle w:val="BodyText"/>
        <w:rPr>
          <w:spacing w:val="-2"/>
        </w:rPr>
      </w:pPr>
      <w:r>
        <w:t xml:space="preserve">Medicare compensation recovery aims to recover any Medicare benefits, nursing home </w:t>
      </w:r>
      <w:r>
        <w:rPr>
          <w:spacing w:val="-2"/>
        </w:rPr>
        <w:t xml:space="preserve">benefits, residential care, or home care government subsidies paid to a claimant resulting </w:t>
      </w:r>
      <w:r>
        <w:t>from compensable injury or illness. When a person receives a lump sum compensation payment of more than $5,000 they may have to repay these benefits or subsidies to the Australian Government before they receive their compensation payment.</w:t>
      </w:r>
    </w:p>
    <w:p w14:paraId="217C534D" w14:textId="77777777" w:rsidR="00DD5D3A" w:rsidRDefault="00DD5D3A" w:rsidP="00DD5D3A">
      <w:pPr>
        <w:pStyle w:val="BodyText"/>
      </w:pPr>
      <w:r>
        <w:rPr>
          <w:spacing w:val="-3"/>
        </w:rPr>
        <w:t>Table 10 shows the compensation recovery activity completed from 2022–23 to 2024–25.</w:t>
      </w:r>
    </w:p>
    <w:p w14:paraId="39948425" w14:textId="50D7F03E" w:rsidR="00DD5D3A" w:rsidRPr="00DD5D3A" w:rsidRDefault="001D281E" w:rsidP="00DD5D3A">
      <w:pPr>
        <w:pStyle w:val="BodyText"/>
        <w:rPr>
          <w:b/>
          <w:bCs/>
        </w:rPr>
      </w:pPr>
      <w:r>
        <w:rPr>
          <w:b/>
          <w:bCs/>
        </w:rPr>
        <w:t>Table 10:</w:t>
      </w:r>
      <w:r w:rsidR="00DD5D3A" w:rsidRPr="00DD5D3A">
        <w:rPr>
          <w:b/>
          <w:bCs/>
        </w:rPr>
        <w:t xml:space="preserve"> Compensation recovery</w:t>
      </w:r>
    </w:p>
    <w:tbl>
      <w:tblPr>
        <w:tblStyle w:val="TableGrid"/>
        <w:tblW w:w="5000" w:type="pct"/>
        <w:tblLook w:val="04A0" w:firstRow="1" w:lastRow="0" w:firstColumn="1" w:lastColumn="0" w:noHBand="0" w:noVBand="1"/>
        <w:tblCaption w:val="Compensation recovery"/>
      </w:tblPr>
      <w:tblGrid>
        <w:gridCol w:w="4997"/>
        <w:gridCol w:w="2033"/>
        <w:gridCol w:w="2033"/>
        <w:gridCol w:w="2033"/>
      </w:tblGrid>
      <w:tr w:rsidR="00DD5D3A" w14:paraId="3FA40064" w14:textId="77777777" w:rsidTr="005875A4">
        <w:trPr>
          <w:trHeight w:val="396"/>
          <w:tblHeader/>
        </w:trPr>
        <w:tc>
          <w:tcPr>
            <w:tcW w:w="2252" w:type="pct"/>
          </w:tcPr>
          <w:p w14:paraId="119E4ABF" w14:textId="77777777" w:rsidR="00DD5D3A" w:rsidRPr="004E5AE5" w:rsidRDefault="00DD5D3A" w:rsidP="004E5AE5">
            <w:pPr>
              <w:pStyle w:val="BodyText"/>
              <w:jc w:val="right"/>
              <w:rPr>
                <w:b/>
                <w:bCs/>
              </w:rPr>
            </w:pPr>
          </w:p>
        </w:tc>
        <w:tc>
          <w:tcPr>
            <w:tcW w:w="916" w:type="pct"/>
          </w:tcPr>
          <w:p w14:paraId="00A649EC" w14:textId="77777777" w:rsidR="00DD5D3A" w:rsidRPr="004E5AE5" w:rsidRDefault="00DD5D3A" w:rsidP="004E5AE5">
            <w:pPr>
              <w:pStyle w:val="BodyText"/>
              <w:jc w:val="right"/>
              <w:rPr>
                <w:b/>
                <w:bCs/>
              </w:rPr>
            </w:pPr>
            <w:r w:rsidRPr="004E5AE5">
              <w:rPr>
                <w:b/>
                <w:bCs/>
              </w:rPr>
              <w:t>2022–23</w:t>
            </w:r>
          </w:p>
        </w:tc>
        <w:tc>
          <w:tcPr>
            <w:tcW w:w="916" w:type="pct"/>
          </w:tcPr>
          <w:p w14:paraId="066E8F9F" w14:textId="77777777" w:rsidR="00DD5D3A" w:rsidRPr="004E5AE5" w:rsidRDefault="00DD5D3A" w:rsidP="004E5AE5">
            <w:pPr>
              <w:pStyle w:val="BodyText"/>
              <w:jc w:val="right"/>
              <w:rPr>
                <w:b/>
                <w:bCs/>
              </w:rPr>
            </w:pPr>
            <w:r w:rsidRPr="004E5AE5">
              <w:rPr>
                <w:b/>
                <w:bCs/>
              </w:rPr>
              <w:t>2023–24</w:t>
            </w:r>
          </w:p>
        </w:tc>
        <w:tc>
          <w:tcPr>
            <w:tcW w:w="916" w:type="pct"/>
          </w:tcPr>
          <w:p w14:paraId="5A8872AB" w14:textId="77777777" w:rsidR="00DD5D3A" w:rsidRPr="004E5AE5" w:rsidRDefault="00DD5D3A" w:rsidP="004E5AE5">
            <w:pPr>
              <w:pStyle w:val="BodyText"/>
              <w:jc w:val="right"/>
              <w:rPr>
                <w:b/>
                <w:bCs/>
              </w:rPr>
            </w:pPr>
            <w:r w:rsidRPr="004E5AE5">
              <w:rPr>
                <w:b/>
                <w:bCs/>
              </w:rPr>
              <w:t>2024–25</w:t>
            </w:r>
          </w:p>
        </w:tc>
      </w:tr>
      <w:tr w:rsidR="00DD5D3A" w14:paraId="7BD6B5DC" w14:textId="77777777" w:rsidTr="006A0585">
        <w:trPr>
          <w:trHeight w:val="396"/>
        </w:trPr>
        <w:tc>
          <w:tcPr>
            <w:tcW w:w="2252" w:type="pct"/>
          </w:tcPr>
          <w:p w14:paraId="11AFD6FF" w14:textId="77777777" w:rsidR="00DD5D3A" w:rsidRDefault="00DD5D3A" w:rsidP="00874D7C">
            <w:pPr>
              <w:pStyle w:val="BodyText"/>
            </w:pPr>
            <w:r>
              <w:t>Cases finalised</w:t>
            </w:r>
          </w:p>
        </w:tc>
        <w:tc>
          <w:tcPr>
            <w:tcW w:w="916" w:type="pct"/>
          </w:tcPr>
          <w:p w14:paraId="21D79FDF" w14:textId="77777777" w:rsidR="00DD5D3A" w:rsidRDefault="00DD5D3A" w:rsidP="00874D7C">
            <w:pPr>
              <w:pStyle w:val="BodyText"/>
              <w:jc w:val="right"/>
            </w:pPr>
            <w:r>
              <w:t>50,928</w:t>
            </w:r>
          </w:p>
        </w:tc>
        <w:tc>
          <w:tcPr>
            <w:tcW w:w="916" w:type="pct"/>
          </w:tcPr>
          <w:p w14:paraId="681D006E" w14:textId="77777777" w:rsidR="00DD5D3A" w:rsidRDefault="00DD5D3A" w:rsidP="00874D7C">
            <w:pPr>
              <w:pStyle w:val="BodyText"/>
              <w:jc w:val="right"/>
            </w:pPr>
            <w:r>
              <w:t>46,634</w:t>
            </w:r>
          </w:p>
        </w:tc>
        <w:tc>
          <w:tcPr>
            <w:tcW w:w="916" w:type="pct"/>
          </w:tcPr>
          <w:p w14:paraId="3BA674AC" w14:textId="77777777" w:rsidR="00DD5D3A" w:rsidRDefault="00DD5D3A" w:rsidP="00874D7C">
            <w:pPr>
              <w:pStyle w:val="BodyText"/>
              <w:jc w:val="right"/>
            </w:pPr>
            <w:r>
              <w:t>49,610</w:t>
            </w:r>
            <w:r>
              <w:rPr>
                <w:vertAlign w:val="superscript"/>
              </w:rPr>
              <w:t>(a)</w:t>
            </w:r>
          </w:p>
        </w:tc>
      </w:tr>
      <w:tr w:rsidR="00DD5D3A" w14:paraId="1B40F2FF" w14:textId="77777777" w:rsidTr="006A0585">
        <w:trPr>
          <w:trHeight w:val="396"/>
        </w:trPr>
        <w:tc>
          <w:tcPr>
            <w:tcW w:w="2252" w:type="pct"/>
          </w:tcPr>
          <w:p w14:paraId="770BAEC8" w14:textId="77777777" w:rsidR="00DD5D3A" w:rsidRDefault="00DD5D3A" w:rsidP="00874D7C">
            <w:pPr>
              <w:pStyle w:val="BodyText"/>
            </w:pPr>
            <w:r>
              <w:rPr>
                <w:rStyle w:val="Bold"/>
                <w:b w:val="0"/>
                <w:bCs w:val="0"/>
              </w:rPr>
              <w:t>Benefits recovered</w:t>
            </w:r>
          </w:p>
        </w:tc>
        <w:tc>
          <w:tcPr>
            <w:tcW w:w="916" w:type="pct"/>
          </w:tcPr>
          <w:p w14:paraId="163D2439" w14:textId="77777777" w:rsidR="00DD5D3A" w:rsidRDefault="00DD5D3A" w:rsidP="00874D7C">
            <w:pPr>
              <w:pStyle w:val="BodyText"/>
              <w:jc w:val="right"/>
            </w:pPr>
            <w:r>
              <w:t>$47.1 million</w:t>
            </w:r>
          </w:p>
        </w:tc>
        <w:tc>
          <w:tcPr>
            <w:tcW w:w="916" w:type="pct"/>
          </w:tcPr>
          <w:p w14:paraId="42A35208" w14:textId="77777777" w:rsidR="00DD5D3A" w:rsidRDefault="00DD5D3A" w:rsidP="00874D7C">
            <w:pPr>
              <w:pStyle w:val="BodyText"/>
              <w:jc w:val="right"/>
            </w:pPr>
            <w:r>
              <w:t>$29.2 million</w:t>
            </w:r>
          </w:p>
        </w:tc>
        <w:tc>
          <w:tcPr>
            <w:tcW w:w="916" w:type="pct"/>
          </w:tcPr>
          <w:p w14:paraId="0E8EE702" w14:textId="77777777" w:rsidR="00DD5D3A" w:rsidRDefault="00DD5D3A" w:rsidP="00874D7C">
            <w:pPr>
              <w:pStyle w:val="BodyText"/>
              <w:jc w:val="right"/>
            </w:pPr>
            <w:r>
              <w:t>$53.4 million</w:t>
            </w:r>
          </w:p>
        </w:tc>
      </w:tr>
    </w:tbl>
    <w:p w14:paraId="75D9A154" w14:textId="29CAFE71" w:rsidR="00DD5D3A" w:rsidRDefault="001D281E" w:rsidP="001D281E">
      <w:pPr>
        <w:pStyle w:val="ProductCode"/>
      </w:pPr>
      <w:r>
        <w:t xml:space="preserve">(a) </w:t>
      </w:r>
      <w:r w:rsidR="00DD5D3A">
        <w:t>The methodology used to calculate the ‘Cases finalised’ has been updated to better reflect the unique number of cases. The 2024–25 result is not comparable to previous results.</w:t>
      </w:r>
    </w:p>
    <w:p w14:paraId="390F08B4" w14:textId="77777777" w:rsidR="00DD5D3A" w:rsidRDefault="00DD5D3A" w:rsidP="00DD5D3A">
      <w:pPr>
        <w:pStyle w:val="Heading2"/>
      </w:pPr>
      <w:r>
        <w:t>Access to medicines</w:t>
      </w:r>
    </w:p>
    <w:p w14:paraId="10CDBE88" w14:textId="77777777" w:rsidR="00DD5D3A" w:rsidRDefault="00DD5D3A" w:rsidP="00DD5D3A">
      <w:pPr>
        <w:pStyle w:val="BodyText"/>
        <w:spacing w:after="57"/>
      </w:pPr>
      <w:r>
        <w:t>The agency administers 2 schemes that subsidise access to medicines:</w:t>
      </w:r>
    </w:p>
    <w:p w14:paraId="4013126A" w14:textId="77777777" w:rsidR="00DD5D3A" w:rsidRDefault="00DD5D3A" w:rsidP="00DD5D3A">
      <w:pPr>
        <w:pStyle w:val="ListBullet"/>
      </w:pPr>
      <w:r>
        <w:t>The PBS – gives access to a wide range of medicines at a reduced cost to Australian residents and eligible overseas visitors.</w:t>
      </w:r>
    </w:p>
    <w:p w14:paraId="36B65063" w14:textId="77777777" w:rsidR="00DD5D3A" w:rsidRDefault="00DD5D3A" w:rsidP="00DD5D3A">
      <w:pPr>
        <w:pStyle w:val="ListBullet"/>
      </w:pPr>
      <w:r>
        <w:t>The Repatriation Pharmaceutical Benefits Scheme (RPBS) – gives eligible veterans and their widows, widowers and dependants subsidised access to some additional medicines and dressings at concession rates, and if clinically justified, items not listed under either scheme.</w:t>
      </w:r>
    </w:p>
    <w:p w14:paraId="0B36C4AE" w14:textId="77777777" w:rsidR="00DD5D3A" w:rsidRDefault="00DD5D3A" w:rsidP="00DD5D3A">
      <w:pPr>
        <w:pStyle w:val="BodyText"/>
      </w:pPr>
      <w:r>
        <w:t xml:space="preserve">Table 11 shows agency expenditure of each scheme from 2022–23 to 2024–25. </w:t>
      </w:r>
    </w:p>
    <w:p w14:paraId="4F23EB1A" w14:textId="4FBE64AE" w:rsidR="00DD5D3A" w:rsidRPr="00DD5D3A" w:rsidRDefault="001D281E" w:rsidP="00DD5D3A">
      <w:pPr>
        <w:pStyle w:val="BodyText"/>
        <w:rPr>
          <w:b/>
          <w:bCs/>
        </w:rPr>
      </w:pPr>
      <w:r>
        <w:rPr>
          <w:b/>
          <w:bCs/>
        </w:rPr>
        <w:t>Table 11:</w:t>
      </w:r>
      <w:r w:rsidR="00DD5D3A" w:rsidRPr="00DD5D3A">
        <w:rPr>
          <w:b/>
          <w:bCs/>
        </w:rPr>
        <w:t xml:space="preserve"> PBS and RPBS expenditure</w:t>
      </w:r>
    </w:p>
    <w:tbl>
      <w:tblPr>
        <w:tblStyle w:val="TableGrid"/>
        <w:tblW w:w="5000" w:type="pct"/>
        <w:tblLook w:val="04A0" w:firstRow="1" w:lastRow="0" w:firstColumn="1" w:lastColumn="0" w:noHBand="0" w:noVBand="1"/>
        <w:tblCaption w:val="PBS and RPBS expenditure"/>
      </w:tblPr>
      <w:tblGrid>
        <w:gridCol w:w="4997"/>
        <w:gridCol w:w="2033"/>
        <w:gridCol w:w="2033"/>
        <w:gridCol w:w="2033"/>
      </w:tblGrid>
      <w:tr w:rsidR="00DD5D3A" w14:paraId="4E4DED67" w14:textId="77777777" w:rsidTr="005875A4">
        <w:trPr>
          <w:trHeight w:val="396"/>
          <w:tblHeader/>
        </w:trPr>
        <w:tc>
          <w:tcPr>
            <w:tcW w:w="2252" w:type="pct"/>
          </w:tcPr>
          <w:p w14:paraId="2FFF1E83" w14:textId="77777777" w:rsidR="00DD5D3A" w:rsidRPr="00434700" w:rsidRDefault="00DD5D3A" w:rsidP="00434700">
            <w:pPr>
              <w:pStyle w:val="BodyText"/>
              <w:jc w:val="right"/>
              <w:rPr>
                <w:b/>
                <w:bCs/>
              </w:rPr>
            </w:pPr>
          </w:p>
        </w:tc>
        <w:tc>
          <w:tcPr>
            <w:tcW w:w="916" w:type="pct"/>
          </w:tcPr>
          <w:p w14:paraId="694247CD" w14:textId="77777777" w:rsidR="00DD5D3A" w:rsidRPr="00434700" w:rsidRDefault="00DD5D3A" w:rsidP="00434700">
            <w:pPr>
              <w:pStyle w:val="BodyText"/>
              <w:jc w:val="right"/>
              <w:rPr>
                <w:b/>
                <w:bCs/>
              </w:rPr>
            </w:pPr>
            <w:r w:rsidRPr="00434700">
              <w:rPr>
                <w:b/>
                <w:bCs/>
              </w:rPr>
              <w:t>2022–23</w:t>
            </w:r>
          </w:p>
        </w:tc>
        <w:tc>
          <w:tcPr>
            <w:tcW w:w="916" w:type="pct"/>
          </w:tcPr>
          <w:p w14:paraId="2EC976DD" w14:textId="77777777" w:rsidR="00DD5D3A" w:rsidRPr="00434700" w:rsidRDefault="00DD5D3A" w:rsidP="00434700">
            <w:pPr>
              <w:pStyle w:val="BodyText"/>
              <w:jc w:val="right"/>
              <w:rPr>
                <w:b/>
                <w:bCs/>
              </w:rPr>
            </w:pPr>
            <w:r w:rsidRPr="00434700">
              <w:rPr>
                <w:b/>
                <w:bCs/>
              </w:rPr>
              <w:t>2023–24</w:t>
            </w:r>
          </w:p>
        </w:tc>
        <w:tc>
          <w:tcPr>
            <w:tcW w:w="916" w:type="pct"/>
          </w:tcPr>
          <w:p w14:paraId="01E1CBA3" w14:textId="77777777" w:rsidR="00DD5D3A" w:rsidRPr="00434700" w:rsidRDefault="00DD5D3A" w:rsidP="00434700">
            <w:pPr>
              <w:pStyle w:val="BodyText"/>
              <w:jc w:val="right"/>
              <w:rPr>
                <w:b/>
                <w:bCs/>
              </w:rPr>
            </w:pPr>
            <w:r w:rsidRPr="00434700">
              <w:rPr>
                <w:b/>
                <w:bCs/>
              </w:rPr>
              <w:t>2024–25</w:t>
            </w:r>
          </w:p>
        </w:tc>
      </w:tr>
      <w:tr w:rsidR="00DD5D3A" w14:paraId="3CABC9BD" w14:textId="77777777" w:rsidTr="006A0585">
        <w:trPr>
          <w:trHeight w:val="396"/>
        </w:trPr>
        <w:tc>
          <w:tcPr>
            <w:tcW w:w="2252" w:type="pct"/>
          </w:tcPr>
          <w:p w14:paraId="1E996350" w14:textId="77777777" w:rsidR="00DD5D3A" w:rsidRDefault="00DD5D3A" w:rsidP="00874D7C">
            <w:pPr>
              <w:pStyle w:val="BodyText"/>
            </w:pPr>
            <w:r>
              <w:t>PBS benefits paid</w:t>
            </w:r>
            <w:r>
              <w:rPr>
                <w:vertAlign w:val="superscript"/>
              </w:rPr>
              <w:t>(a)</w:t>
            </w:r>
          </w:p>
        </w:tc>
        <w:tc>
          <w:tcPr>
            <w:tcW w:w="916" w:type="pct"/>
          </w:tcPr>
          <w:p w14:paraId="7D83A4D6" w14:textId="77777777" w:rsidR="00DD5D3A" w:rsidRDefault="00DD5D3A" w:rsidP="00874D7C">
            <w:pPr>
              <w:pStyle w:val="BodyText"/>
              <w:jc w:val="right"/>
            </w:pPr>
            <w:r>
              <w:t>$17.2 billion</w:t>
            </w:r>
          </w:p>
        </w:tc>
        <w:tc>
          <w:tcPr>
            <w:tcW w:w="916" w:type="pct"/>
          </w:tcPr>
          <w:p w14:paraId="3E57AF76" w14:textId="77777777" w:rsidR="00DD5D3A" w:rsidRDefault="00DD5D3A" w:rsidP="00874D7C">
            <w:pPr>
              <w:pStyle w:val="BodyText"/>
              <w:jc w:val="right"/>
            </w:pPr>
            <w:r>
              <w:t>$17.9 billion</w:t>
            </w:r>
          </w:p>
        </w:tc>
        <w:tc>
          <w:tcPr>
            <w:tcW w:w="916" w:type="pct"/>
          </w:tcPr>
          <w:p w14:paraId="44F31650" w14:textId="77777777" w:rsidR="00DD5D3A" w:rsidRDefault="00DD5D3A" w:rsidP="00874D7C">
            <w:pPr>
              <w:pStyle w:val="BodyText"/>
              <w:jc w:val="right"/>
            </w:pPr>
            <w:r>
              <w:t>$19.4 billion</w:t>
            </w:r>
          </w:p>
        </w:tc>
      </w:tr>
      <w:tr w:rsidR="00DD5D3A" w14:paraId="7146CD4D" w14:textId="77777777" w:rsidTr="006A0585">
        <w:trPr>
          <w:trHeight w:val="396"/>
        </w:trPr>
        <w:tc>
          <w:tcPr>
            <w:tcW w:w="2252" w:type="pct"/>
          </w:tcPr>
          <w:p w14:paraId="256726DC" w14:textId="77777777" w:rsidR="00DD5D3A" w:rsidRDefault="00DD5D3A" w:rsidP="00874D7C">
            <w:pPr>
              <w:pStyle w:val="BodyText"/>
            </w:pPr>
            <w:r>
              <w:rPr>
                <w:rStyle w:val="Bold"/>
                <w:b w:val="0"/>
                <w:bCs w:val="0"/>
              </w:rPr>
              <w:t>RPBS benefits paid</w:t>
            </w:r>
            <w:r>
              <w:rPr>
                <w:rStyle w:val="Bold"/>
                <w:b w:val="0"/>
                <w:bCs w:val="0"/>
                <w:vertAlign w:val="superscript"/>
              </w:rPr>
              <w:t>(a)(b)</w:t>
            </w:r>
          </w:p>
        </w:tc>
        <w:tc>
          <w:tcPr>
            <w:tcW w:w="916" w:type="pct"/>
          </w:tcPr>
          <w:p w14:paraId="014A9F8A" w14:textId="77777777" w:rsidR="00DD5D3A" w:rsidRDefault="00DD5D3A" w:rsidP="00874D7C">
            <w:pPr>
              <w:pStyle w:val="BodyText"/>
              <w:jc w:val="right"/>
            </w:pPr>
            <w:r>
              <w:t>$0.4 billion</w:t>
            </w:r>
          </w:p>
        </w:tc>
        <w:tc>
          <w:tcPr>
            <w:tcW w:w="916" w:type="pct"/>
          </w:tcPr>
          <w:p w14:paraId="26D72DE7" w14:textId="77777777" w:rsidR="00DD5D3A" w:rsidRDefault="00DD5D3A" w:rsidP="00874D7C">
            <w:pPr>
              <w:pStyle w:val="BodyText"/>
              <w:jc w:val="right"/>
            </w:pPr>
            <w:r>
              <w:t>$0.4 billion</w:t>
            </w:r>
          </w:p>
        </w:tc>
        <w:tc>
          <w:tcPr>
            <w:tcW w:w="916" w:type="pct"/>
          </w:tcPr>
          <w:p w14:paraId="2808B64F" w14:textId="77777777" w:rsidR="00DD5D3A" w:rsidRDefault="00DD5D3A" w:rsidP="00874D7C">
            <w:pPr>
              <w:pStyle w:val="BodyText"/>
              <w:jc w:val="right"/>
            </w:pPr>
            <w:r>
              <w:t>$0.5 billion</w:t>
            </w:r>
          </w:p>
        </w:tc>
      </w:tr>
      <w:tr w:rsidR="00DD5D3A" w14:paraId="3E715AE8" w14:textId="77777777" w:rsidTr="006A0585">
        <w:trPr>
          <w:trHeight w:val="396"/>
        </w:trPr>
        <w:tc>
          <w:tcPr>
            <w:tcW w:w="2252" w:type="pct"/>
          </w:tcPr>
          <w:p w14:paraId="443EE7F0" w14:textId="77777777" w:rsidR="00DD5D3A" w:rsidRDefault="00DD5D3A" w:rsidP="00874D7C">
            <w:pPr>
              <w:pStyle w:val="BodyText"/>
            </w:pPr>
            <w:r>
              <w:rPr>
                <w:rStyle w:val="Bold"/>
              </w:rPr>
              <w:t>Total benefits paid</w:t>
            </w:r>
            <w:r>
              <w:rPr>
                <w:rStyle w:val="Bold"/>
                <w:vertAlign w:val="superscript"/>
              </w:rPr>
              <w:t>(c)</w:t>
            </w:r>
          </w:p>
        </w:tc>
        <w:tc>
          <w:tcPr>
            <w:tcW w:w="916" w:type="pct"/>
          </w:tcPr>
          <w:p w14:paraId="3C54C611" w14:textId="77777777" w:rsidR="00DD5D3A" w:rsidRDefault="00DD5D3A" w:rsidP="00874D7C">
            <w:pPr>
              <w:pStyle w:val="BodyText"/>
              <w:jc w:val="right"/>
            </w:pPr>
            <w:r>
              <w:rPr>
                <w:rStyle w:val="Bold"/>
              </w:rPr>
              <w:t>$17.5 billion</w:t>
            </w:r>
          </w:p>
        </w:tc>
        <w:tc>
          <w:tcPr>
            <w:tcW w:w="916" w:type="pct"/>
          </w:tcPr>
          <w:p w14:paraId="1B3F58E3" w14:textId="77777777" w:rsidR="00DD5D3A" w:rsidRDefault="00DD5D3A" w:rsidP="00874D7C">
            <w:pPr>
              <w:pStyle w:val="BodyText"/>
              <w:jc w:val="right"/>
            </w:pPr>
            <w:r>
              <w:rPr>
                <w:rStyle w:val="Bold"/>
                <w:spacing w:val="-4"/>
              </w:rPr>
              <w:t>$18.3 billion</w:t>
            </w:r>
            <w:r>
              <w:rPr>
                <w:rStyle w:val="Bold"/>
                <w:spacing w:val="-4"/>
                <w:vertAlign w:val="superscript"/>
              </w:rPr>
              <w:t>(e)</w:t>
            </w:r>
          </w:p>
        </w:tc>
        <w:tc>
          <w:tcPr>
            <w:tcW w:w="916" w:type="pct"/>
          </w:tcPr>
          <w:p w14:paraId="6841C6B7" w14:textId="77777777" w:rsidR="00DD5D3A" w:rsidRDefault="00DD5D3A" w:rsidP="00874D7C">
            <w:pPr>
              <w:pStyle w:val="BodyText"/>
              <w:jc w:val="right"/>
            </w:pPr>
            <w:r>
              <w:rPr>
                <w:rStyle w:val="Bold"/>
              </w:rPr>
              <w:t>$19.9 billion</w:t>
            </w:r>
          </w:p>
        </w:tc>
      </w:tr>
      <w:tr w:rsidR="00DD5D3A" w14:paraId="560D159B" w14:textId="77777777" w:rsidTr="006A0585">
        <w:trPr>
          <w:trHeight w:val="396"/>
        </w:trPr>
        <w:tc>
          <w:tcPr>
            <w:tcW w:w="2252" w:type="pct"/>
          </w:tcPr>
          <w:p w14:paraId="1DB95CDC" w14:textId="77777777" w:rsidR="00DD5D3A" w:rsidRDefault="00DD5D3A" w:rsidP="00874D7C">
            <w:pPr>
              <w:pStyle w:val="BodyText"/>
            </w:pPr>
            <w:r>
              <w:t>PBS services processed</w:t>
            </w:r>
            <w:r>
              <w:rPr>
                <w:vertAlign w:val="superscript"/>
              </w:rPr>
              <w:t>(d)</w:t>
            </w:r>
          </w:p>
        </w:tc>
        <w:tc>
          <w:tcPr>
            <w:tcW w:w="916" w:type="pct"/>
          </w:tcPr>
          <w:p w14:paraId="6B2C30F2" w14:textId="77777777" w:rsidR="00DD5D3A" w:rsidRDefault="00DD5D3A" w:rsidP="00874D7C">
            <w:pPr>
              <w:pStyle w:val="BodyText"/>
              <w:jc w:val="right"/>
            </w:pPr>
            <w:r>
              <w:t>219 million</w:t>
            </w:r>
          </w:p>
        </w:tc>
        <w:tc>
          <w:tcPr>
            <w:tcW w:w="916" w:type="pct"/>
          </w:tcPr>
          <w:p w14:paraId="195EA9A1" w14:textId="77777777" w:rsidR="00DD5D3A" w:rsidRDefault="00DD5D3A" w:rsidP="00874D7C">
            <w:pPr>
              <w:pStyle w:val="BodyText"/>
              <w:jc w:val="right"/>
            </w:pPr>
            <w:r>
              <w:t>224.4 million</w:t>
            </w:r>
          </w:p>
        </w:tc>
        <w:tc>
          <w:tcPr>
            <w:tcW w:w="916" w:type="pct"/>
          </w:tcPr>
          <w:p w14:paraId="5F9E46C0" w14:textId="77777777" w:rsidR="00DD5D3A" w:rsidRDefault="00DD5D3A" w:rsidP="00874D7C">
            <w:pPr>
              <w:pStyle w:val="BodyText"/>
              <w:jc w:val="right"/>
            </w:pPr>
            <w:r>
              <w:t>243.4 million</w:t>
            </w:r>
          </w:p>
        </w:tc>
      </w:tr>
      <w:tr w:rsidR="00DD5D3A" w14:paraId="73CC64C9" w14:textId="77777777" w:rsidTr="006A0585">
        <w:trPr>
          <w:trHeight w:val="396"/>
        </w:trPr>
        <w:tc>
          <w:tcPr>
            <w:tcW w:w="2252" w:type="pct"/>
          </w:tcPr>
          <w:p w14:paraId="4F02BDB0" w14:textId="77777777" w:rsidR="00DD5D3A" w:rsidRDefault="00DD5D3A" w:rsidP="00874D7C">
            <w:pPr>
              <w:pStyle w:val="BodyText"/>
            </w:pPr>
            <w:r>
              <w:t>RPBS services processed</w:t>
            </w:r>
            <w:r>
              <w:rPr>
                <w:vertAlign w:val="superscript"/>
              </w:rPr>
              <w:t>(b)(d)</w:t>
            </w:r>
          </w:p>
        </w:tc>
        <w:tc>
          <w:tcPr>
            <w:tcW w:w="916" w:type="pct"/>
          </w:tcPr>
          <w:p w14:paraId="3733F5BC" w14:textId="77777777" w:rsidR="00DD5D3A" w:rsidRDefault="00DD5D3A" w:rsidP="00874D7C">
            <w:pPr>
              <w:pStyle w:val="BodyText"/>
              <w:jc w:val="right"/>
            </w:pPr>
            <w:r>
              <w:t>7 million</w:t>
            </w:r>
          </w:p>
        </w:tc>
        <w:tc>
          <w:tcPr>
            <w:tcW w:w="916" w:type="pct"/>
          </w:tcPr>
          <w:p w14:paraId="5F66FD3E" w14:textId="77777777" w:rsidR="00DD5D3A" w:rsidRDefault="00DD5D3A" w:rsidP="00874D7C">
            <w:pPr>
              <w:pStyle w:val="BodyText"/>
              <w:jc w:val="right"/>
            </w:pPr>
            <w:r>
              <w:t>6.9 million</w:t>
            </w:r>
          </w:p>
        </w:tc>
        <w:tc>
          <w:tcPr>
            <w:tcW w:w="916" w:type="pct"/>
          </w:tcPr>
          <w:p w14:paraId="0D0E2C76" w14:textId="77777777" w:rsidR="00DD5D3A" w:rsidRDefault="00DD5D3A" w:rsidP="00874D7C">
            <w:pPr>
              <w:pStyle w:val="BodyText"/>
              <w:jc w:val="right"/>
            </w:pPr>
            <w:r>
              <w:t>7.5 million</w:t>
            </w:r>
          </w:p>
        </w:tc>
      </w:tr>
      <w:tr w:rsidR="00DD5D3A" w14:paraId="7474DEB9" w14:textId="77777777" w:rsidTr="006A0585">
        <w:trPr>
          <w:trHeight w:val="396"/>
        </w:trPr>
        <w:tc>
          <w:tcPr>
            <w:tcW w:w="2252" w:type="pct"/>
          </w:tcPr>
          <w:p w14:paraId="03435C86" w14:textId="77777777" w:rsidR="00DD5D3A" w:rsidRDefault="00DD5D3A" w:rsidP="00874D7C">
            <w:pPr>
              <w:pStyle w:val="BodyText"/>
            </w:pPr>
            <w:r>
              <w:rPr>
                <w:rStyle w:val="Bold"/>
              </w:rPr>
              <w:t>Total services processed</w:t>
            </w:r>
            <w:r>
              <w:rPr>
                <w:rStyle w:val="Bold"/>
                <w:vertAlign w:val="superscript"/>
              </w:rPr>
              <w:t>(c)</w:t>
            </w:r>
          </w:p>
        </w:tc>
        <w:tc>
          <w:tcPr>
            <w:tcW w:w="916" w:type="pct"/>
          </w:tcPr>
          <w:p w14:paraId="4A412A90" w14:textId="77777777" w:rsidR="00DD5D3A" w:rsidRDefault="00DD5D3A" w:rsidP="00874D7C">
            <w:pPr>
              <w:pStyle w:val="BodyText"/>
              <w:jc w:val="right"/>
            </w:pPr>
            <w:r>
              <w:rPr>
                <w:rStyle w:val="Bold"/>
              </w:rPr>
              <w:t>226 million</w:t>
            </w:r>
          </w:p>
        </w:tc>
        <w:tc>
          <w:tcPr>
            <w:tcW w:w="916" w:type="pct"/>
          </w:tcPr>
          <w:p w14:paraId="410AC4C2" w14:textId="77777777" w:rsidR="00DD5D3A" w:rsidRDefault="00DD5D3A" w:rsidP="00874D7C">
            <w:pPr>
              <w:pStyle w:val="BodyText"/>
              <w:jc w:val="right"/>
            </w:pPr>
            <w:r>
              <w:rPr>
                <w:rStyle w:val="Bold"/>
              </w:rPr>
              <w:t>231.3 million</w:t>
            </w:r>
          </w:p>
        </w:tc>
        <w:tc>
          <w:tcPr>
            <w:tcW w:w="916" w:type="pct"/>
          </w:tcPr>
          <w:p w14:paraId="552B2D47" w14:textId="77777777" w:rsidR="00DD5D3A" w:rsidRDefault="00DD5D3A" w:rsidP="00874D7C">
            <w:pPr>
              <w:pStyle w:val="BodyText"/>
              <w:jc w:val="right"/>
            </w:pPr>
            <w:r>
              <w:rPr>
                <w:rStyle w:val="Bold"/>
              </w:rPr>
              <w:t>250.9 million</w:t>
            </w:r>
          </w:p>
        </w:tc>
      </w:tr>
    </w:tbl>
    <w:p w14:paraId="5A995869" w14:textId="7D5E3AD3" w:rsidR="00DD5D3A" w:rsidRDefault="00DD5D3A" w:rsidP="001D281E">
      <w:pPr>
        <w:pStyle w:val="ProductCode"/>
      </w:pPr>
      <w:r>
        <w:t>(a)</w:t>
      </w:r>
      <w:r w:rsidR="00434700">
        <w:t xml:space="preserve"> </w:t>
      </w:r>
      <w:r>
        <w:t>Excludes electronic prescription fee payments.</w:t>
      </w:r>
    </w:p>
    <w:p w14:paraId="47E19267" w14:textId="5DCD2883" w:rsidR="00DD5D3A" w:rsidRDefault="00DD5D3A" w:rsidP="001D281E">
      <w:pPr>
        <w:pStyle w:val="ProductCode"/>
      </w:pPr>
      <w:r>
        <w:t>(b)</w:t>
      </w:r>
      <w:r w:rsidR="00434700">
        <w:t xml:space="preserve"> </w:t>
      </w:r>
      <w:r>
        <w:t>Includes payments/services processed on behalf of DVA.</w:t>
      </w:r>
    </w:p>
    <w:p w14:paraId="33BA6697" w14:textId="07A2262F" w:rsidR="00DD5D3A" w:rsidRDefault="00DD5D3A" w:rsidP="001D281E">
      <w:pPr>
        <w:pStyle w:val="ProductCode"/>
      </w:pPr>
      <w:r>
        <w:lastRenderedPageBreak/>
        <w:t>(c)</w:t>
      </w:r>
      <w:r w:rsidR="00434700">
        <w:t xml:space="preserve">  </w:t>
      </w:r>
      <w:r>
        <w:t>Rounding has been applied.</w:t>
      </w:r>
    </w:p>
    <w:p w14:paraId="10FE7B49" w14:textId="6BC36735" w:rsidR="00DD5D3A" w:rsidRDefault="00DD5D3A" w:rsidP="001D281E">
      <w:pPr>
        <w:pStyle w:val="ProductCode"/>
      </w:pPr>
      <w:r>
        <w:t>(d)</w:t>
      </w:r>
      <w:r w:rsidR="00434700">
        <w:t xml:space="preserve"> </w:t>
      </w:r>
      <w:r>
        <w:t>Excludes services under co-payment prescriptions, patient refund claims, Aboriginal Health Service claims under section 100, and claims that are yet to be closed by approved suppliers.</w:t>
      </w:r>
    </w:p>
    <w:p w14:paraId="0DCC5D7D" w14:textId="414AFC0D" w:rsidR="00DD5D3A" w:rsidRDefault="00DD5D3A" w:rsidP="001D281E">
      <w:pPr>
        <w:pStyle w:val="ProductCode"/>
      </w:pPr>
      <w:r>
        <w:t>(e)</w:t>
      </w:r>
      <w:r w:rsidR="00434700">
        <w:t xml:space="preserve"> </w:t>
      </w:r>
      <w:r>
        <w:t>The total benefits paid in 2023–24 published in the 2023–24 annual report has been corrected to $18.3 billion.</w:t>
      </w:r>
    </w:p>
    <w:p w14:paraId="3A4AE2C8" w14:textId="77777777" w:rsidR="00DD5D3A" w:rsidRDefault="00DD5D3A" w:rsidP="00DD5D3A">
      <w:pPr>
        <w:pStyle w:val="Heading3"/>
      </w:pPr>
      <w:r>
        <w:t>Pharmaceutical Benefits Scheme concessions</w:t>
      </w:r>
    </w:p>
    <w:p w14:paraId="65EAEF0A" w14:textId="77777777" w:rsidR="00DD5D3A" w:rsidRDefault="00DD5D3A" w:rsidP="00DD5D3A">
      <w:pPr>
        <w:pStyle w:val="BodyText"/>
        <w:spacing w:after="57"/>
      </w:pPr>
      <w:r>
        <w:t>There are 2 patient contribution levels for PBS listed medicines:</w:t>
      </w:r>
    </w:p>
    <w:p w14:paraId="00E1516A" w14:textId="77777777" w:rsidR="00DD5D3A" w:rsidRDefault="00DD5D3A" w:rsidP="00DD5D3A">
      <w:pPr>
        <w:pStyle w:val="ListBullet"/>
      </w:pPr>
      <w:r>
        <w:t xml:space="preserve">The maximum cost for a pharmaceutical benefit item at the general rate for 2025 is $31.60. All Australian residents and eligible overseas visitors can access PBS medicines at the general rate. </w:t>
      </w:r>
    </w:p>
    <w:p w14:paraId="5EFD0FDF" w14:textId="77777777" w:rsidR="00DD5D3A" w:rsidRDefault="00DD5D3A" w:rsidP="00DD5D3A">
      <w:pPr>
        <w:pStyle w:val="ListBullet"/>
      </w:pPr>
      <w:r>
        <w:t xml:space="preserve">Patients with a valid concession card from the agency or the DVA are eligible for the concession rate of $7.70 as the maximum cost for a pharmaceutical benefit item. </w:t>
      </w:r>
    </w:p>
    <w:p w14:paraId="2D56B8FA" w14:textId="77777777" w:rsidR="00DD5D3A" w:rsidRDefault="00DD5D3A" w:rsidP="00DD5D3A">
      <w:pPr>
        <w:pStyle w:val="BodyText"/>
      </w:pPr>
      <w:r>
        <w:t>The patient must still pay any applicable special patient contributions, brand premiums or therapeutic group premiums.</w:t>
      </w:r>
    </w:p>
    <w:p w14:paraId="73032163" w14:textId="77777777" w:rsidR="00DD5D3A" w:rsidRDefault="00DD5D3A" w:rsidP="00DD5D3A">
      <w:pPr>
        <w:pStyle w:val="Heading3"/>
      </w:pPr>
      <w:r>
        <w:t>Pharmaceutical Benefits Scheme Safety Net</w:t>
      </w:r>
    </w:p>
    <w:p w14:paraId="5A24D99C" w14:textId="77777777" w:rsidR="00DD5D3A" w:rsidRDefault="00DD5D3A" w:rsidP="00DD5D3A">
      <w:pPr>
        <w:pStyle w:val="BodyText"/>
      </w:pPr>
      <w:r>
        <w:t xml:space="preserve">The PBS Safety Net helps patients with the cost of their medicines when they or their families need a large number of PBS prescription medicines in a calendar year. </w:t>
      </w:r>
    </w:p>
    <w:p w14:paraId="52BD1F3F" w14:textId="77777777" w:rsidR="00DD5D3A" w:rsidRDefault="00DD5D3A" w:rsidP="00DD5D3A">
      <w:pPr>
        <w:pStyle w:val="BodyText"/>
        <w:spacing w:after="57"/>
      </w:pPr>
      <w:r>
        <w:t>The 2025 thresholds are:</w:t>
      </w:r>
    </w:p>
    <w:p w14:paraId="3C648B1B" w14:textId="77777777" w:rsidR="00DD5D3A" w:rsidRDefault="00DD5D3A" w:rsidP="00DD5D3A">
      <w:pPr>
        <w:pStyle w:val="ListBullet"/>
      </w:pPr>
      <w:r>
        <w:t>$277.20 for concession card holders</w:t>
      </w:r>
    </w:p>
    <w:p w14:paraId="78394EC4" w14:textId="77777777" w:rsidR="00DD5D3A" w:rsidRDefault="00DD5D3A" w:rsidP="00DD5D3A">
      <w:pPr>
        <w:pStyle w:val="ListBullet"/>
      </w:pPr>
      <w:r>
        <w:t xml:space="preserve">$1,694 for general patients. </w:t>
      </w:r>
    </w:p>
    <w:p w14:paraId="498FABBD" w14:textId="77777777" w:rsidR="00DD5D3A" w:rsidRDefault="00DD5D3A" w:rsidP="00DD5D3A">
      <w:pPr>
        <w:pStyle w:val="BodyText"/>
        <w:spacing w:after="57"/>
        <w:rPr>
          <w:spacing w:val="-2"/>
        </w:rPr>
      </w:pPr>
      <w:r>
        <w:rPr>
          <w:spacing w:val="-2"/>
        </w:rPr>
        <w:t>When people meet the relevant threshold, a pharmacist can issue them with a PBS Safety Net card. Their contribution for PBS medicines for the rest of the calendar year is then:</w:t>
      </w:r>
    </w:p>
    <w:p w14:paraId="27BC594A" w14:textId="77777777" w:rsidR="00DD5D3A" w:rsidRDefault="00DD5D3A" w:rsidP="00DD5D3A">
      <w:pPr>
        <w:pStyle w:val="ListBullet"/>
      </w:pPr>
      <w:r>
        <w:t>free for concession card holders</w:t>
      </w:r>
    </w:p>
    <w:p w14:paraId="7FBA275F" w14:textId="77777777" w:rsidR="00DD5D3A" w:rsidRDefault="00DD5D3A" w:rsidP="00DD5D3A">
      <w:pPr>
        <w:pStyle w:val="ListBullet"/>
      </w:pPr>
      <w:r>
        <w:t>up to $7.70 for general patients.</w:t>
      </w:r>
    </w:p>
    <w:p w14:paraId="23857042" w14:textId="77777777" w:rsidR="00DD5D3A" w:rsidRDefault="00DD5D3A" w:rsidP="00DD5D3A">
      <w:pPr>
        <w:pStyle w:val="BodyText"/>
      </w:pPr>
      <w:r>
        <w:t>The patient must still pay any applicable special patient contributions, brand premiums or therapeutic group premiums.</w:t>
      </w:r>
    </w:p>
    <w:p w14:paraId="51305A7C" w14:textId="77777777" w:rsidR="00DD5D3A" w:rsidRDefault="00DD5D3A" w:rsidP="00DD5D3A">
      <w:pPr>
        <w:pStyle w:val="Heading3"/>
      </w:pPr>
      <w:r>
        <w:t>Aboriginal and Torres Strait Islander Australians’ access to the PBS</w:t>
      </w:r>
    </w:p>
    <w:p w14:paraId="470C1DF7" w14:textId="77777777" w:rsidR="00DD5D3A" w:rsidRDefault="00DD5D3A" w:rsidP="00DD5D3A">
      <w:pPr>
        <w:pStyle w:val="BodyText"/>
      </w:pPr>
      <w:r>
        <w:t xml:space="preserve">Special PBS arrangements are administered to people in remote Indigenous communities through Aboriginal Health Services and some state and territory-funded health services. Patients of approved remote area Aboriginal Health Services can access PBS medicines directly from these services at no cost. </w:t>
      </w:r>
    </w:p>
    <w:p w14:paraId="36E65B2E" w14:textId="77777777" w:rsidR="00DD5D3A" w:rsidRDefault="00DD5D3A" w:rsidP="00DD5D3A">
      <w:pPr>
        <w:pStyle w:val="BodyText"/>
      </w:pPr>
      <w:r>
        <w:t xml:space="preserve">As at 30 June 2025 there were 167 approved Aboriginal Health Services around the country. </w:t>
      </w:r>
    </w:p>
    <w:p w14:paraId="3E44D45E" w14:textId="77777777" w:rsidR="00DD5D3A" w:rsidRDefault="00DD5D3A" w:rsidP="00DD5D3A">
      <w:pPr>
        <w:pStyle w:val="BodyText"/>
      </w:pPr>
      <w:r>
        <w:t>The agency also supports Aboriginal and Torres Strait Islander Australians living with chronic disease, or at risk of it, by helping with the cost of PBS medicines through the Closing the Gap PBS co-payment measure.</w:t>
      </w:r>
    </w:p>
    <w:p w14:paraId="55D5ADA1" w14:textId="77777777" w:rsidR="00DD5D3A" w:rsidRDefault="00DD5D3A" w:rsidP="00DD5D3A">
      <w:pPr>
        <w:pStyle w:val="Heading3"/>
      </w:pPr>
      <w:r>
        <w:t>Travelling with PBS medicines</w:t>
      </w:r>
    </w:p>
    <w:p w14:paraId="0172E9CF" w14:textId="77777777" w:rsidR="00DD5D3A" w:rsidRDefault="00DD5D3A" w:rsidP="00DD5D3A">
      <w:pPr>
        <w:pStyle w:val="BodyText"/>
      </w:pPr>
      <w:r>
        <w:t xml:space="preserve">It is illegal to take or send PBS subsidised medicines out of Australia unless they are for the personal use of the person for whom it was prescribed. </w:t>
      </w:r>
    </w:p>
    <w:p w14:paraId="30806864" w14:textId="77777777" w:rsidR="00DD5D3A" w:rsidRDefault="00DD5D3A" w:rsidP="00DD5D3A">
      <w:pPr>
        <w:pStyle w:val="BodyText"/>
      </w:pPr>
      <w:r>
        <w:lastRenderedPageBreak/>
        <w:t xml:space="preserve">The PBS – taking or sending medicines overseas enquiry line and the Services Australia website give information and advice to people about their responsibilities and rights when travelling overseas with PBS medicines. </w:t>
      </w:r>
    </w:p>
    <w:p w14:paraId="49319507" w14:textId="77777777" w:rsidR="00DD5D3A" w:rsidRDefault="00DD5D3A" w:rsidP="00DD5D3A">
      <w:pPr>
        <w:pStyle w:val="BodyText"/>
      </w:pPr>
      <w:r>
        <w:rPr>
          <w:spacing w:val="-2"/>
        </w:rPr>
        <w:t xml:space="preserve">In 2024–25 the enquiry line received around 1,800 calls (compared to 1,200 in 2023–24). The ‘How to manage PBS medicines overseas’ web page was viewed 24,276 times across 19,472 visits. </w:t>
      </w:r>
    </w:p>
    <w:p w14:paraId="0E2F0493" w14:textId="77777777" w:rsidR="00DD5D3A" w:rsidRDefault="00DD5D3A" w:rsidP="00DD5D3A">
      <w:pPr>
        <w:pStyle w:val="Heading3"/>
      </w:pPr>
      <w:r>
        <w:t>Online claiming and payments for the PBS</w:t>
      </w:r>
    </w:p>
    <w:p w14:paraId="3CCF4116" w14:textId="77777777" w:rsidR="00DD5D3A" w:rsidRDefault="00DD5D3A" w:rsidP="00DD5D3A">
      <w:pPr>
        <w:pStyle w:val="BodyText"/>
      </w:pPr>
      <w:r>
        <w:t>Online claiming for the PBS allows approved suppliers to lodge prescription claims with the agency each time a PBS or RPBS medicine is supplied. Payments are made to approved suppliers within 2 to 9 days of the claim submission. As at 30 June 2025, 99.9% of approved suppliers of PBS and RPBS medicines used online claiming.</w:t>
      </w:r>
    </w:p>
    <w:p w14:paraId="7600BFFB" w14:textId="77777777" w:rsidR="00DD5D3A" w:rsidRDefault="00DD5D3A" w:rsidP="00DD5D3A">
      <w:pPr>
        <w:pStyle w:val="Heading3"/>
      </w:pPr>
      <w:r>
        <w:t>Authority-required medicines</w:t>
      </w:r>
    </w:p>
    <w:p w14:paraId="15D1FBF8" w14:textId="77777777" w:rsidR="00DD5D3A" w:rsidRDefault="00DD5D3A" w:rsidP="00DD5D3A">
      <w:pPr>
        <w:pStyle w:val="BodyText"/>
      </w:pPr>
      <w:r>
        <w:t>The Pharmaceutical Benefits Schedule lists medicines that can be dispensed for a subsidised price. Some of these medicines need prior authority approval from the agency before they can be prescribed to patients as PBS benefits. These medicines are subsidised for the treatment of specific conditions.</w:t>
      </w:r>
    </w:p>
    <w:p w14:paraId="33BC0F45" w14:textId="77777777" w:rsidR="00DD5D3A" w:rsidRDefault="00DD5D3A" w:rsidP="00DD5D3A">
      <w:pPr>
        <w:pStyle w:val="BodyText"/>
      </w:pPr>
      <w:r>
        <w:rPr>
          <w:spacing w:val="-3"/>
        </w:rPr>
        <w:t>In 2024–25, 7.9 million authority approval requests were received, including 461,761 RPBS</w:t>
      </w:r>
      <w:r>
        <w:t xml:space="preserve"> authority requests processed by the DVA.</w:t>
      </w:r>
    </w:p>
    <w:p w14:paraId="50A28A0E" w14:textId="77777777" w:rsidR="00DD5D3A" w:rsidRDefault="00DD5D3A" w:rsidP="00DD5D3A">
      <w:pPr>
        <w:pStyle w:val="BodyText"/>
      </w:pPr>
      <w:r>
        <w:t>For more information about health programs, payments and services, go to the Services Australia website and the 2024–25 DHDA annual report on the DHDA website.</w:t>
      </w:r>
    </w:p>
    <w:p w14:paraId="06971993" w14:textId="77777777" w:rsidR="00DD5D3A" w:rsidRDefault="00DD5D3A" w:rsidP="00DD5D3A">
      <w:pPr>
        <w:pStyle w:val="Heading2"/>
      </w:pPr>
      <w:r>
        <w:t>Aged care</w:t>
      </w:r>
    </w:p>
    <w:p w14:paraId="6DBCD1C0" w14:textId="77777777" w:rsidR="00DD5D3A" w:rsidRDefault="00DD5D3A" w:rsidP="00DD5D3A">
      <w:pPr>
        <w:pStyle w:val="Heading3"/>
      </w:pPr>
      <w:r>
        <w:t>Aged care programs</w:t>
      </w:r>
    </w:p>
    <w:p w14:paraId="7FC7992C" w14:textId="77777777" w:rsidR="00DD5D3A" w:rsidRDefault="00DD5D3A" w:rsidP="00DD5D3A">
      <w:pPr>
        <w:pStyle w:val="BodyText"/>
      </w:pPr>
      <w:r>
        <w:t>The agency delivers subsidies and supplements to approved aged care providers on behalf of the DHDA and the DVA. We also conduct income and means assessments for people entering aged care to determine the amount of government-subsidised funding a person is eligible for and any co-contribution they need to make to the cost of their care.</w:t>
      </w:r>
    </w:p>
    <w:p w14:paraId="322EC803" w14:textId="77777777" w:rsidR="00DD5D3A" w:rsidRDefault="00DD5D3A" w:rsidP="00DD5D3A">
      <w:pPr>
        <w:pStyle w:val="BodyText"/>
      </w:pPr>
      <w:r>
        <w:t>Table 12 details claims and services provided under aged care programs from 2022–23 to 2024–25.</w:t>
      </w:r>
    </w:p>
    <w:p w14:paraId="47BBDE60" w14:textId="70F9B564" w:rsidR="00DD5D3A" w:rsidRPr="00DD5D3A" w:rsidRDefault="001D281E" w:rsidP="00DD5D3A">
      <w:pPr>
        <w:pStyle w:val="BodyText"/>
        <w:rPr>
          <w:rFonts w:ascii="Roboto-Regular" w:hAnsi="Roboto-Regular" w:cs="Roboto-Regular"/>
          <w:b/>
          <w:bCs/>
        </w:rPr>
      </w:pPr>
      <w:r>
        <w:rPr>
          <w:b/>
          <w:bCs/>
        </w:rPr>
        <w:t>Table 12:</w:t>
      </w:r>
      <w:r w:rsidR="00DD5D3A" w:rsidRPr="00DD5D3A">
        <w:rPr>
          <w:b/>
          <w:bCs/>
        </w:rPr>
        <w:t xml:space="preserve"> Aged care overview</w:t>
      </w:r>
    </w:p>
    <w:tbl>
      <w:tblPr>
        <w:tblStyle w:val="TableGrid"/>
        <w:tblW w:w="5000" w:type="pct"/>
        <w:tblLook w:val="04A0" w:firstRow="1" w:lastRow="0" w:firstColumn="1" w:lastColumn="0" w:noHBand="0" w:noVBand="1"/>
        <w:tblCaption w:val=" Aged care overview"/>
      </w:tblPr>
      <w:tblGrid>
        <w:gridCol w:w="4997"/>
        <w:gridCol w:w="2033"/>
        <w:gridCol w:w="2033"/>
        <w:gridCol w:w="2033"/>
      </w:tblGrid>
      <w:tr w:rsidR="00DD5D3A" w14:paraId="15C3D281" w14:textId="77777777" w:rsidTr="005875A4">
        <w:trPr>
          <w:trHeight w:val="396"/>
          <w:tblHeader/>
        </w:trPr>
        <w:tc>
          <w:tcPr>
            <w:tcW w:w="2252" w:type="pct"/>
          </w:tcPr>
          <w:p w14:paraId="0D4EE710" w14:textId="77777777" w:rsidR="00DD5D3A" w:rsidRPr="00434700" w:rsidRDefault="00DD5D3A" w:rsidP="00434700">
            <w:pPr>
              <w:pStyle w:val="BodyText"/>
              <w:jc w:val="right"/>
              <w:rPr>
                <w:b/>
                <w:bCs/>
              </w:rPr>
            </w:pPr>
          </w:p>
        </w:tc>
        <w:tc>
          <w:tcPr>
            <w:tcW w:w="916" w:type="pct"/>
          </w:tcPr>
          <w:p w14:paraId="270310A7" w14:textId="77777777" w:rsidR="00DD5D3A" w:rsidRPr="00434700" w:rsidRDefault="00DD5D3A" w:rsidP="00434700">
            <w:pPr>
              <w:pStyle w:val="BodyText"/>
              <w:jc w:val="right"/>
              <w:rPr>
                <w:b/>
                <w:bCs/>
              </w:rPr>
            </w:pPr>
            <w:r w:rsidRPr="00434700">
              <w:rPr>
                <w:b/>
                <w:bCs/>
              </w:rPr>
              <w:t>2022–23</w:t>
            </w:r>
          </w:p>
        </w:tc>
        <w:tc>
          <w:tcPr>
            <w:tcW w:w="916" w:type="pct"/>
          </w:tcPr>
          <w:p w14:paraId="3BA2A737" w14:textId="77777777" w:rsidR="00DD5D3A" w:rsidRPr="00434700" w:rsidRDefault="00DD5D3A" w:rsidP="00434700">
            <w:pPr>
              <w:pStyle w:val="BodyText"/>
              <w:jc w:val="right"/>
              <w:rPr>
                <w:b/>
                <w:bCs/>
              </w:rPr>
            </w:pPr>
            <w:r w:rsidRPr="00434700">
              <w:rPr>
                <w:b/>
                <w:bCs/>
              </w:rPr>
              <w:t>2023–24</w:t>
            </w:r>
          </w:p>
        </w:tc>
        <w:tc>
          <w:tcPr>
            <w:tcW w:w="916" w:type="pct"/>
          </w:tcPr>
          <w:p w14:paraId="69F5CCEF" w14:textId="77777777" w:rsidR="00DD5D3A" w:rsidRPr="00434700" w:rsidRDefault="00DD5D3A" w:rsidP="00434700">
            <w:pPr>
              <w:pStyle w:val="BodyText"/>
              <w:jc w:val="right"/>
              <w:rPr>
                <w:b/>
                <w:bCs/>
              </w:rPr>
            </w:pPr>
            <w:r w:rsidRPr="00434700">
              <w:rPr>
                <w:b/>
                <w:bCs/>
              </w:rPr>
              <w:t>2024–25</w:t>
            </w:r>
          </w:p>
        </w:tc>
      </w:tr>
      <w:tr w:rsidR="00DD5D3A" w14:paraId="2A2903AF" w14:textId="77777777" w:rsidTr="006A0585">
        <w:trPr>
          <w:trHeight w:val="396"/>
        </w:trPr>
        <w:tc>
          <w:tcPr>
            <w:tcW w:w="2252" w:type="pct"/>
          </w:tcPr>
          <w:p w14:paraId="146F6500" w14:textId="77777777" w:rsidR="00DD5D3A" w:rsidRDefault="00DD5D3A" w:rsidP="00874D7C">
            <w:pPr>
              <w:pStyle w:val="BodyText"/>
            </w:pPr>
            <w:r>
              <w:t>Residential care provider claims processed</w:t>
            </w:r>
          </w:p>
        </w:tc>
        <w:tc>
          <w:tcPr>
            <w:tcW w:w="916" w:type="pct"/>
          </w:tcPr>
          <w:p w14:paraId="10826514" w14:textId="77777777" w:rsidR="00DD5D3A" w:rsidRDefault="00DD5D3A" w:rsidP="00874D7C">
            <w:pPr>
              <w:pStyle w:val="BodyText"/>
              <w:jc w:val="right"/>
            </w:pPr>
            <w:r>
              <w:t>32,159</w:t>
            </w:r>
          </w:p>
        </w:tc>
        <w:tc>
          <w:tcPr>
            <w:tcW w:w="916" w:type="pct"/>
          </w:tcPr>
          <w:p w14:paraId="756C6CF4" w14:textId="77777777" w:rsidR="00DD5D3A" w:rsidRDefault="00DD5D3A" w:rsidP="00874D7C">
            <w:pPr>
              <w:pStyle w:val="BodyText"/>
              <w:jc w:val="right"/>
            </w:pPr>
            <w:r>
              <w:t>31,648</w:t>
            </w:r>
          </w:p>
        </w:tc>
        <w:tc>
          <w:tcPr>
            <w:tcW w:w="916" w:type="pct"/>
          </w:tcPr>
          <w:p w14:paraId="5B9CD1C9" w14:textId="77777777" w:rsidR="00DD5D3A" w:rsidRDefault="00DD5D3A" w:rsidP="00874D7C">
            <w:pPr>
              <w:pStyle w:val="BodyText"/>
              <w:jc w:val="right"/>
            </w:pPr>
            <w:r>
              <w:t>31,563</w:t>
            </w:r>
          </w:p>
        </w:tc>
      </w:tr>
      <w:tr w:rsidR="00DD5D3A" w14:paraId="17FCCEBE" w14:textId="77777777" w:rsidTr="006A0585">
        <w:trPr>
          <w:trHeight w:val="396"/>
        </w:trPr>
        <w:tc>
          <w:tcPr>
            <w:tcW w:w="2252" w:type="pct"/>
          </w:tcPr>
          <w:p w14:paraId="027F0720" w14:textId="77777777" w:rsidR="00DD5D3A" w:rsidRDefault="00DD5D3A" w:rsidP="00874D7C">
            <w:pPr>
              <w:pStyle w:val="BodyText"/>
            </w:pPr>
            <w:r>
              <w:rPr>
                <w:rStyle w:val="Bold"/>
                <w:b w:val="0"/>
                <w:bCs w:val="0"/>
              </w:rPr>
              <w:t>Home care package provider claims processed</w:t>
            </w:r>
          </w:p>
        </w:tc>
        <w:tc>
          <w:tcPr>
            <w:tcW w:w="916" w:type="pct"/>
          </w:tcPr>
          <w:p w14:paraId="5E411317" w14:textId="77777777" w:rsidR="00DD5D3A" w:rsidRDefault="00DD5D3A" w:rsidP="00874D7C">
            <w:pPr>
              <w:pStyle w:val="BodyText"/>
              <w:jc w:val="right"/>
            </w:pPr>
            <w:r>
              <w:t>26,010</w:t>
            </w:r>
          </w:p>
        </w:tc>
        <w:tc>
          <w:tcPr>
            <w:tcW w:w="916" w:type="pct"/>
          </w:tcPr>
          <w:p w14:paraId="0186499B" w14:textId="77777777" w:rsidR="00DD5D3A" w:rsidRDefault="00DD5D3A" w:rsidP="00874D7C">
            <w:pPr>
              <w:pStyle w:val="BodyText"/>
              <w:jc w:val="right"/>
            </w:pPr>
            <w:r>
              <w:t>25,588</w:t>
            </w:r>
          </w:p>
        </w:tc>
        <w:tc>
          <w:tcPr>
            <w:tcW w:w="916" w:type="pct"/>
          </w:tcPr>
          <w:p w14:paraId="17C2672C" w14:textId="77777777" w:rsidR="00DD5D3A" w:rsidRDefault="00DD5D3A" w:rsidP="00874D7C">
            <w:pPr>
              <w:pStyle w:val="BodyText"/>
              <w:jc w:val="right"/>
            </w:pPr>
            <w:r>
              <w:t>25,241</w:t>
            </w:r>
          </w:p>
        </w:tc>
      </w:tr>
      <w:tr w:rsidR="00DD5D3A" w14:paraId="74848E18" w14:textId="77777777" w:rsidTr="006A0585">
        <w:trPr>
          <w:trHeight w:val="396"/>
        </w:trPr>
        <w:tc>
          <w:tcPr>
            <w:tcW w:w="2252" w:type="pct"/>
          </w:tcPr>
          <w:p w14:paraId="58940023" w14:textId="77777777" w:rsidR="00DD5D3A" w:rsidRDefault="00DD5D3A" w:rsidP="00874D7C">
            <w:pPr>
              <w:pStyle w:val="BodyText"/>
            </w:pPr>
            <w:r>
              <w:rPr>
                <w:rStyle w:val="Bold"/>
                <w:b w:val="0"/>
                <w:bCs w:val="0"/>
              </w:rPr>
              <w:t>Transition care provider claims processed</w:t>
            </w:r>
          </w:p>
        </w:tc>
        <w:tc>
          <w:tcPr>
            <w:tcW w:w="916" w:type="pct"/>
          </w:tcPr>
          <w:p w14:paraId="40D62E3F" w14:textId="77777777" w:rsidR="00DD5D3A" w:rsidRDefault="00DD5D3A" w:rsidP="00874D7C">
            <w:pPr>
              <w:pStyle w:val="BodyText"/>
              <w:jc w:val="right"/>
            </w:pPr>
            <w:r>
              <w:t>924</w:t>
            </w:r>
          </w:p>
        </w:tc>
        <w:tc>
          <w:tcPr>
            <w:tcW w:w="916" w:type="pct"/>
          </w:tcPr>
          <w:p w14:paraId="73B8FBDA" w14:textId="77777777" w:rsidR="00DD5D3A" w:rsidRDefault="00DD5D3A" w:rsidP="00874D7C">
            <w:pPr>
              <w:pStyle w:val="BodyText"/>
              <w:jc w:val="right"/>
            </w:pPr>
            <w:r>
              <w:t>906</w:t>
            </w:r>
          </w:p>
        </w:tc>
        <w:tc>
          <w:tcPr>
            <w:tcW w:w="916" w:type="pct"/>
          </w:tcPr>
          <w:p w14:paraId="1AA2D9A7" w14:textId="77777777" w:rsidR="00DD5D3A" w:rsidRDefault="00DD5D3A" w:rsidP="00874D7C">
            <w:pPr>
              <w:pStyle w:val="BodyText"/>
              <w:jc w:val="right"/>
            </w:pPr>
            <w:r>
              <w:t>864</w:t>
            </w:r>
          </w:p>
        </w:tc>
      </w:tr>
      <w:tr w:rsidR="00DD5D3A" w14:paraId="4FC1FD91" w14:textId="77777777" w:rsidTr="006A0585">
        <w:trPr>
          <w:trHeight w:val="396"/>
        </w:trPr>
        <w:tc>
          <w:tcPr>
            <w:tcW w:w="2252" w:type="pct"/>
          </w:tcPr>
          <w:p w14:paraId="1C4C11ED" w14:textId="77777777" w:rsidR="00DD5D3A" w:rsidRDefault="00DD5D3A" w:rsidP="00874D7C">
            <w:pPr>
              <w:pStyle w:val="BodyText"/>
            </w:pPr>
            <w:r>
              <w:rPr>
                <w:rStyle w:val="Bold"/>
                <w:b w:val="0"/>
                <w:bCs w:val="0"/>
              </w:rPr>
              <w:t>Short-term restorative care provider claims processed</w:t>
            </w:r>
          </w:p>
        </w:tc>
        <w:tc>
          <w:tcPr>
            <w:tcW w:w="916" w:type="pct"/>
          </w:tcPr>
          <w:p w14:paraId="2D587775" w14:textId="77777777" w:rsidR="00DD5D3A" w:rsidRDefault="00DD5D3A" w:rsidP="00874D7C">
            <w:pPr>
              <w:pStyle w:val="BodyText"/>
              <w:jc w:val="right"/>
            </w:pPr>
            <w:r>
              <w:t>1,430</w:t>
            </w:r>
          </w:p>
        </w:tc>
        <w:tc>
          <w:tcPr>
            <w:tcW w:w="916" w:type="pct"/>
          </w:tcPr>
          <w:p w14:paraId="35EB8C7C" w14:textId="77777777" w:rsidR="00DD5D3A" w:rsidRDefault="00DD5D3A" w:rsidP="00874D7C">
            <w:pPr>
              <w:pStyle w:val="BodyText"/>
              <w:jc w:val="right"/>
            </w:pPr>
            <w:r>
              <w:t>1,659</w:t>
            </w:r>
          </w:p>
        </w:tc>
        <w:tc>
          <w:tcPr>
            <w:tcW w:w="916" w:type="pct"/>
          </w:tcPr>
          <w:p w14:paraId="287947BE" w14:textId="77777777" w:rsidR="00DD5D3A" w:rsidRDefault="00DD5D3A" w:rsidP="00874D7C">
            <w:pPr>
              <w:pStyle w:val="BodyText"/>
              <w:jc w:val="right"/>
            </w:pPr>
            <w:r>
              <w:t>1,517</w:t>
            </w:r>
          </w:p>
        </w:tc>
      </w:tr>
      <w:tr w:rsidR="00DD5D3A" w14:paraId="470B41ED" w14:textId="77777777" w:rsidTr="006A0585">
        <w:trPr>
          <w:trHeight w:val="396"/>
        </w:trPr>
        <w:tc>
          <w:tcPr>
            <w:tcW w:w="2252" w:type="pct"/>
          </w:tcPr>
          <w:p w14:paraId="602990B2" w14:textId="77777777" w:rsidR="00DD5D3A" w:rsidRDefault="00DD5D3A" w:rsidP="00874D7C">
            <w:pPr>
              <w:pStyle w:val="BodyText"/>
            </w:pPr>
            <w:r>
              <w:rPr>
                <w:rStyle w:val="Bold"/>
              </w:rPr>
              <w:t>Total provider claims processed</w:t>
            </w:r>
          </w:p>
        </w:tc>
        <w:tc>
          <w:tcPr>
            <w:tcW w:w="916" w:type="pct"/>
          </w:tcPr>
          <w:p w14:paraId="35A0E185" w14:textId="77777777" w:rsidR="00DD5D3A" w:rsidRDefault="00DD5D3A" w:rsidP="00874D7C">
            <w:pPr>
              <w:pStyle w:val="BodyText"/>
              <w:jc w:val="right"/>
            </w:pPr>
            <w:r>
              <w:rPr>
                <w:rStyle w:val="Bold"/>
              </w:rPr>
              <w:t>60,523</w:t>
            </w:r>
          </w:p>
        </w:tc>
        <w:tc>
          <w:tcPr>
            <w:tcW w:w="916" w:type="pct"/>
          </w:tcPr>
          <w:p w14:paraId="77F87185" w14:textId="77777777" w:rsidR="00DD5D3A" w:rsidRDefault="00DD5D3A" w:rsidP="00874D7C">
            <w:pPr>
              <w:pStyle w:val="BodyText"/>
              <w:jc w:val="right"/>
            </w:pPr>
            <w:r>
              <w:rPr>
                <w:rStyle w:val="Bold"/>
              </w:rPr>
              <w:t>59,801</w:t>
            </w:r>
          </w:p>
        </w:tc>
        <w:tc>
          <w:tcPr>
            <w:tcW w:w="916" w:type="pct"/>
          </w:tcPr>
          <w:p w14:paraId="11280317" w14:textId="77777777" w:rsidR="00DD5D3A" w:rsidRDefault="00DD5D3A" w:rsidP="00874D7C">
            <w:pPr>
              <w:pStyle w:val="BodyText"/>
              <w:jc w:val="right"/>
            </w:pPr>
            <w:r>
              <w:rPr>
                <w:rStyle w:val="Bold"/>
              </w:rPr>
              <w:t>59,185</w:t>
            </w:r>
          </w:p>
        </w:tc>
      </w:tr>
      <w:tr w:rsidR="00DD5D3A" w14:paraId="0C5F77D7" w14:textId="77777777" w:rsidTr="006A0585">
        <w:trPr>
          <w:trHeight w:val="396"/>
        </w:trPr>
        <w:tc>
          <w:tcPr>
            <w:tcW w:w="2252" w:type="pct"/>
          </w:tcPr>
          <w:p w14:paraId="15ED0042" w14:textId="77777777" w:rsidR="00DD5D3A" w:rsidRDefault="00DD5D3A" w:rsidP="00874D7C">
            <w:pPr>
              <w:pStyle w:val="BodyText"/>
            </w:pPr>
            <w:r>
              <w:rPr>
                <w:rStyle w:val="Bold"/>
              </w:rPr>
              <w:lastRenderedPageBreak/>
              <w:t>Total amount paid</w:t>
            </w:r>
            <w:r>
              <w:rPr>
                <w:rStyle w:val="Bold"/>
                <w:vertAlign w:val="superscript"/>
              </w:rPr>
              <w:t>(a)</w:t>
            </w:r>
            <w:r>
              <w:rPr>
                <w:rStyle w:val="Bold"/>
              </w:rPr>
              <w:t xml:space="preserve"> </w:t>
            </w:r>
          </w:p>
        </w:tc>
        <w:tc>
          <w:tcPr>
            <w:tcW w:w="916" w:type="pct"/>
          </w:tcPr>
          <w:p w14:paraId="402FB1AD" w14:textId="77777777" w:rsidR="00DD5D3A" w:rsidRDefault="00DD5D3A" w:rsidP="00874D7C">
            <w:pPr>
              <w:pStyle w:val="BodyText"/>
              <w:jc w:val="right"/>
            </w:pPr>
            <w:r>
              <w:rPr>
                <w:rStyle w:val="Bold"/>
              </w:rPr>
              <w:t>$21.8 billion</w:t>
            </w:r>
          </w:p>
        </w:tc>
        <w:tc>
          <w:tcPr>
            <w:tcW w:w="916" w:type="pct"/>
          </w:tcPr>
          <w:p w14:paraId="00C0218D" w14:textId="77777777" w:rsidR="00DD5D3A" w:rsidRDefault="00DD5D3A" w:rsidP="00874D7C">
            <w:pPr>
              <w:pStyle w:val="BodyText"/>
              <w:jc w:val="right"/>
            </w:pPr>
            <w:r>
              <w:rPr>
                <w:rStyle w:val="Bold"/>
              </w:rPr>
              <w:t>$28.7 billion</w:t>
            </w:r>
          </w:p>
        </w:tc>
        <w:tc>
          <w:tcPr>
            <w:tcW w:w="916" w:type="pct"/>
          </w:tcPr>
          <w:p w14:paraId="65D3E0AF" w14:textId="77777777" w:rsidR="00DD5D3A" w:rsidRDefault="00DD5D3A" w:rsidP="00874D7C">
            <w:pPr>
              <w:pStyle w:val="BodyText"/>
              <w:jc w:val="right"/>
            </w:pPr>
            <w:r>
              <w:rPr>
                <w:rStyle w:val="Bold"/>
              </w:rPr>
              <w:t xml:space="preserve">$32.9 billion </w:t>
            </w:r>
          </w:p>
        </w:tc>
      </w:tr>
      <w:tr w:rsidR="00DD5D3A" w14:paraId="6C39C912" w14:textId="77777777" w:rsidTr="006A0585">
        <w:trPr>
          <w:trHeight w:val="396"/>
        </w:trPr>
        <w:tc>
          <w:tcPr>
            <w:tcW w:w="2252" w:type="pct"/>
          </w:tcPr>
          <w:p w14:paraId="45851F03" w14:textId="77777777" w:rsidR="00DD5D3A" w:rsidRDefault="00DD5D3A" w:rsidP="00874D7C">
            <w:pPr>
              <w:pStyle w:val="BodyText"/>
            </w:pPr>
            <w:r>
              <w:rPr>
                <w:rStyle w:val="Bold"/>
              </w:rPr>
              <w:t>Total number of providers</w:t>
            </w:r>
          </w:p>
        </w:tc>
        <w:tc>
          <w:tcPr>
            <w:tcW w:w="916" w:type="pct"/>
          </w:tcPr>
          <w:p w14:paraId="1F03A0DD" w14:textId="77777777" w:rsidR="00DD5D3A" w:rsidRDefault="00DD5D3A" w:rsidP="00874D7C">
            <w:pPr>
              <w:pStyle w:val="BodyText"/>
              <w:jc w:val="right"/>
            </w:pPr>
            <w:r>
              <w:rPr>
                <w:rStyle w:val="Bold"/>
              </w:rPr>
              <w:t>1,437</w:t>
            </w:r>
          </w:p>
        </w:tc>
        <w:tc>
          <w:tcPr>
            <w:tcW w:w="916" w:type="pct"/>
          </w:tcPr>
          <w:p w14:paraId="693F11E7" w14:textId="77777777" w:rsidR="00DD5D3A" w:rsidRDefault="00DD5D3A" w:rsidP="00874D7C">
            <w:pPr>
              <w:pStyle w:val="BodyText"/>
              <w:jc w:val="right"/>
            </w:pPr>
            <w:r>
              <w:rPr>
                <w:rStyle w:val="Bold"/>
              </w:rPr>
              <w:t>1,401</w:t>
            </w:r>
          </w:p>
        </w:tc>
        <w:tc>
          <w:tcPr>
            <w:tcW w:w="916" w:type="pct"/>
          </w:tcPr>
          <w:p w14:paraId="339EC008" w14:textId="77777777" w:rsidR="00DD5D3A" w:rsidRDefault="00DD5D3A" w:rsidP="00874D7C">
            <w:pPr>
              <w:pStyle w:val="BodyText"/>
              <w:jc w:val="right"/>
            </w:pPr>
            <w:r>
              <w:rPr>
                <w:rStyle w:val="Bold"/>
              </w:rPr>
              <w:t>1,387</w:t>
            </w:r>
          </w:p>
        </w:tc>
      </w:tr>
      <w:tr w:rsidR="00DD5D3A" w14:paraId="400CB182" w14:textId="77777777" w:rsidTr="006A0585">
        <w:trPr>
          <w:trHeight w:val="396"/>
        </w:trPr>
        <w:tc>
          <w:tcPr>
            <w:tcW w:w="2252" w:type="pct"/>
          </w:tcPr>
          <w:p w14:paraId="7FE3B364" w14:textId="77777777" w:rsidR="00DD5D3A" w:rsidRDefault="00DD5D3A" w:rsidP="00874D7C">
            <w:pPr>
              <w:pStyle w:val="BodyText"/>
            </w:pPr>
            <w:r>
              <w:rPr>
                <w:rStyle w:val="Bold"/>
                <w:b w:val="0"/>
                <w:bCs w:val="0"/>
              </w:rPr>
              <w:t>Residential care services</w:t>
            </w:r>
          </w:p>
        </w:tc>
        <w:tc>
          <w:tcPr>
            <w:tcW w:w="916" w:type="pct"/>
          </w:tcPr>
          <w:p w14:paraId="5D660D45" w14:textId="77777777" w:rsidR="00DD5D3A" w:rsidRDefault="00DD5D3A" w:rsidP="00874D7C">
            <w:pPr>
              <w:pStyle w:val="BodyText"/>
              <w:jc w:val="right"/>
            </w:pPr>
            <w:r>
              <w:t>2,643</w:t>
            </w:r>
          </w:p>
        </w:tc>
        <w:tc>
          <w:tcPr>
            <w:tcW w:w="916" w:type="pct"/>
          </w:tcPr>
          <w:p w14:paraId="2F17F958" w14:textId="77777777" w:rsidR="00DD5D3A" w:rsidRDefault="00DD5D3A" w:rsidP="00874D7C">
            <w:pPr>
              <w:pStyle w:val="BodyText"/>
              <w:jc w:val="right"/>
            </w:pPr>
            <w:r>
              <w:t>2,616</w:t>
            </w:r>
          </w:p>
        </w:tc>
        <w:tc>
          <w:tcPr>
            <w:tcW w:w="916" w:type="pct"/>
          </w:tcPr>
          <w:p w14:paraId="45C56050" w14:textId="77777777" w:rsidR="00DD5D3A" w:rsidRDefault="00DD5D3A" w:rsidP="00874D7C">
            <w:pPr>
              <w:pStyle w:val="BodyText"/>
              <w:jc w:val="right"/>
            </w:pPr>
            <w:r>
              <w:t>2,592</w:t>
            </w:r>
          </w:p>
        </w:tc>
      </w:tr>
      <w:tr w:rsidR="00DD5D3A" w14:paraId="1AB21B99" w14:textId="77777777" w:rsidTr="006A0585">
        <w:trPr>
          <w:trHeight w:val="396"/>
        </w:trPr>
        <w:tc>
          <w:tcPr>
            <w:tcW w:w="2252" w:type="pct"/>
          </w:tcPr>
          <w:p w14:paraId="420296E7" w14:textId="77777777" w:rsidR="00DD5D3A" w:rsidRDefault="00DD5D3A" w:rsidP="00874D7C">
            <w:pPr>
              <w:pStyle w:val="BodyText"/>
            </w:pPr>
            <w:r>
              <w:rPr>
                <w:rStyle w:val="Bold"/>
                <w:b w:val="0"/>
                <w:bCs w:val="0"/>
              </w:rPr>
              <w:t>Home care services</w:t>
            </w:r>
          </w:p>
        </w:tc>
        <w:tc>
          <w:tcPr>
            <w:tcW w:w="916" w:type="pct"/>
          </w:tcPr>
          <w:p w14:paraId="7863EB1D" w14:textId="77777777" w:rsidR="00DD5D3A" w:rsidRDefault="00DD5D3A" w:rsidP="00874D7C">
            <w:pPr>
              <w:pStyle w:val="BodyText"/>
              <w:jc w:val="right"/>
            </w:pPr>
            <w:r>
              <w:t>2,448</w:t>
            </w:r>
          </w:p>
        </w:tc>
        <w:tc>
          <w:tcPr>
            <w:tcW w:w="916" w:type="pct"/>
          </w:tcPr>
          <w:p w14:paraId="2C3FB784" w14:textId="77777777" w:rsidR="00DD5D3A" w:rsidRDefault="00DD5D3A" w:rsidP="00874D7C">
            <w:pPr>
              <w:pStyle w:val="BodyText"/>
              <w:jc w:val="right"/>
            </w:pPr>
            <w:r>
              <w:t>2,362</w:t>
            </w:r>
          </w:p>
        </w:tc>
        <w:tc>
          <w:tcPr>
            <w:tcW w:w="916" w:type="pct"/>
          </w:tcPr>
          <w:p w14:paraId="236FFFB9" w14:textId="77777777" w:rsidR="00DD5D3A" w:rsidRDefault="00DD5D3A" w:rsidP="00874D7C">
            <w:pPr>
              <w:pStyle w:val="BodyText"/>
              <w:jc w:val="right"/>
            </w:pPr>
            <w:r>
              <w:t>2,362</w:t>
            </w:r>
          </w:p>
        </w:tc>
      </w:tr>
      <w:tr w:rsidR="00DD5D3A" w14:paraId="672E8C23" w14:textId="77777777" w:rsidTr="006A0585">
        <w:trPr>
          <w:trHeight w:val="396"/>
        </w:trPr>
        <w:tc>
          <w:tcPr>
            <w:tcW w:w="2252" w:type="pct"/>
          </w:tcPr>
          <w:p w14:paraId="3DD989AF" w14:textId="77777777" w:rsidR="00DD5D3A" w:rsidRDefault="00DD5D3A" w:rsidP="00874D7C">
            <w:pPr>
              <w:pStyle w:val="BodyText"/>
            </w:pPr>
            <w:r>
              <w:rPr>
                <w:rStyle w:val="Bold"/>
                <w:b w:val="0"/>
                <w:bCs w:val="0"/>
              </w:rPr>
              <w:t>Transition care services</w:t>
            </w:r>
          </w:p>
        </w:tc>
        <w:tc>
          <w:tcPr>
            <w:tcW w:w="916" w:type="pct"/>
          </w:tcPr>
          <w:p w14:paraId="5D83D4E4" w14:textId="77777777" w:rsidR="00DD5D3A" w:rsidRDefault="00DD5D3A" w:rsidP="00874D7C">
            <w:pPr>
              <w:pStyle w:val="BodyText"/>
              <w:jc w:val="right"/>
            </w:pPr>
            <w:r>
              <w:t>75</w:t>
            </w:r>
          </w:p>
        </w:tc>
        <w:tc>
          <w:tcPr>
            <w:tcW w:w="916" w:type="pct"/>
          </w:tcPr>
          <w:p w14:paraId="258B1243" w14:textId="77777777" w:rsidR="00DD5D3A" w:rsidRDefault="00DD5D3A" w:rsidP="00874D7C">
            <w:pPr>
              <w:pStyle w:val="BodyText"/>
              <w:jc w:val="right"/>
            </w:pPr>
            <w:r>
              <w:t>73</w:t>
            </w:r>
          </w:p>
        </w:tc>
        <w:tc>
          <w:tcPr>
            <w:tcW w:w="916" w:type="pct"/>
          </w:tcPr>
          <w:p w14:paraId="6348493D" w14:textId="77777777" w:rsidR="00DD5D3A" w:rsidRDefault="00DD5D3A" w:rsidP="00874D7C">
            <w:pPr>
              <w:pStyle w:val="BodyText"/>
              <w:jc w:val="right"/>
            </w:pPr>
            <w:r>
              <w:t>67</w:t>
            </w:r>
          </w:p>
        </w:tc>
      </w:tr>
      <w:tr w:rsidR="00DD5D3A" w14:paraId="04A4685B" w14:textId="77777777" w:rsidTr="006A0585">
        <w:trPr>
          <w:trHeight w:val="396"/>
        </w:trPr>
        <w:tc>
          <w:tcPr>
            <w:tcW w:w="2252" w:type="pct"/>
          </w:tcPr>
          <w:p w14:paraId="7FC318E4" w14:textId="77777777" w:rsidR="00DD5D3A" w:rsidRDefault="00DD5D3A" w:rsidP="00874D7C">
            <w:pPr>
              <w:pStyle w:val="BodyText"/>
            </w:pPr>
            <w:r>
              <w:rPr>
                <w:rStyle w:val="Bold"/>
                <w:b w:val="0"/>
                <w:bCs w:val="0"/>
              </w:rPr>
              <w:t>Short-term restorative care services</w:t>
            </w:r>
          </w:p>
        </w:tc>
        <w:tc>
          <w:tcPr>
            <w:tcW w:w="916" w:type="pct"/>
          </w:tcPr>
          <w:p w14:paraId="7A9EDE88" w14:textId="77777777" w:rsidR="00DD5D3A" w:rsidRDefault="00DD5D3A" w:rsidP="00874D7C">
            <w:pPr>
              <w:pStyle w:val="BodyText"/>
              <w:jc w:val="right"/>
            </w:pPr>
            <w:r>
              <w:t>129</w:t>
            </w:r>
          </w:p>
        </w:tc>
        <w:tc>
          <w:tcPr>
            <w:tcW w:w="916" w:type="pct"/>
          </w:tcPr>
          <w:p w14:paraId="3BCC036A" w14:textId="77777777" w:rsidR="00DD5D3A" w:rsidRDefault="00DD5D3A" w:rsidP="00874D7C">
            <w:pPr>
              <w:pStyle w:val="BodyText"/>
              <w:jc w:val="right"/>
            </w:pPr>
            <w:r>
              <w:t>128</w:t>
            </w:r>
          </w:p>
        </w:tc>
        <w:tc>
          <w:tcPr>
            <w:tcW w:w="916" w:type="pct"/>
          </w:tcPr>
          <w:p w14:paraId="1CABC4AA" w14:textId="77777777" w:rsidR="00DD5D3A" w:rsidRDefault="00DD5D3A" w:rsidP="00874D7C">
            <w:pPr>
              <w:pStyle w:val="BodyText"/>
              <w:jc w:val="right"/>
            </w:pPr>
            <w:r>
              <w:t>126</w:t>
            </w:r>
          </w:p>
        </w:tc>
      </w:tr>
      <w:tr w:rsidR="00DD5D3A" w14:paraId="11AFBD8A" w14:textId="77777777" w:rsidTr="006A0585">
        <w:trPr>
          <w:trHeight w:val="396"/>
        </w:trPr>
        <w:tc>
          <w:tcPr>
            <w:tcW w:w="2252" w:type="pct"/>
          </w:tcPr>
          <w:p w14:paraId="3244202F" w14:textId="77777777" w:rsidR="00DD5D3A" w:rsidRDefault="00DD5D3A" w:rsidP="00874D7C">
            <w:pPr>
              <w:pStyle w:val="BodyText"/>
            </w:pPr>
            <w:r>
              <w:rPr>
                <w:rStyle w:val="Bold"/>
              </w:rPr>
              <w:t>Total number of services</w:t>
            </w:r>
          </w:p>
        </w:tc>
        <w:tc>
          <w:tcPr>
            <w:tcW w:w="916" w:type="pct"/>
          </w:tcPr>
          <w:p w14:paraId="7A937C98" w14:textId="77777777" w:rsidR="00DD5D3A" w:rsidRDefault="00DD5D3A" w:rsidP="00874D7C">
            <w:pPr>
              <w:pStyle w:val="BodyText"/>
              <w:jc w:val="right"/>
            </w:pPr>
            <w:r>
              <w:rPr>
                <w:rStyle w:val="Bold"/>
              </w:rPr>
              <w:t>5,295</w:t>
            </w:r>
          </w:p>
        </w:tc>
        <w:tc>
          <w:tcPr>
            <w:tcW w:w="916" w:type="pct"/>
          </w:tcPr>
          <w:p w14:paraId="071FC50A" w14:textId="77777777" w:rsidR="00DD5D3A" w:rsidRDefault="00DD5D3A" w:rsidP="00874D7C">
            <w:pPr>
              <w:pStyle w:val="BodyText"/>
              <w:jc w:val="right"/>
            </w:pPr>
            <w:r>
              <w:rPr>
                <w:rStyle w:val="Bold"/>
              </w:rPr>
              <w:t>5,179</w:t>
            </w:r>
          </w:p>
        </w:tc>
        <w:tc>
          <w:tcPr>
            <w:tcW w:w="916" w:type="pct"/>
          </w:tcPr>
          <w:p w14:paraId="68D6C0CF" w14:textId="77777777" w:rsidR="00DD5D3A" w:rsidRDefault="00DD5D3A" w:rsidP="00874D7C">
            <w:pPr>
              <w:pStyle w:val="BodyText"/>
              <w:jc w:val="right"/>
            </w:pPr>
            <w:r>
              <w:rPr>
                <w:rStyle w:val="Bold"/>
              </w:rPr>
              <w:t>5,147</w:t>
            </w:r>
          </w:p>
        </w:tc>
      </w:tr>
    </w:tbl>
    <w:p w14:paraId="0D8B273B" w14:textId="3B6F70B7" w:rsidR="00DD5D3A" w:rsidRDefault="001D281E" w:rsidP="001D281E">
      <w:pPr>
        <w:pStyle w:val="ProductCode"/>
      </w:pPr>
      <w:r>
        <w:t xml:space="preserve">(a) </w:t>
      </w:r>
      <w:r w:rsidR="00DD5D3A">
        <w:t>Includes $0.6 billion in 2022–23, $0.7 billion in 2023–24 and $0.7 billion in 2024–25 paid on behalf of DVA.</w:t>
      </w:r>
    </w:p>
    <w:p w14:paraId="2E6CA953" w14:textId="77777777" w:rsidR="00DD5D3A" w:rsidRDefault="00DD5D3A" w:rsidP="00DD5D3A">
      <w:pPr>
        <w:pStyle w:val="Heading3"/>
      </w:pPr>
      <w:r>
        <w:t>Improving services to the aged care sector</w:t>
      </w:r>
    </w:p>
    <w:p w14:paraId="19A8930C" w14:textId="77777777" w:rsidR="00DD5D3A" w:rsidRDefault="00DD5D3A" w:rsidP="00DD5D3A">
      <w:pPr>
        <w:pStyle w:val="BodyText"/>
      </w:pPr>
      <w:r>
        <w:t>The agency has implemented improvements to the way customers and nominees can book My Aged Care general service offer appointments. Appointments in all service centres can now be booked via myGov. Improving access to these appointments gives customers and nominees the flexibility to book and manage their appointments anytime, and from anywhere, reducing the need to travel or wait in a queue.</w:t>
      </w:r>
    </w:p>
    <w:p w14:paraId="731DE82E" w14:textId="77777777" w:rsidR="00DD5D3A" w:rsidRDefault="00DD5D3A" w:rsidP="00DD5D3A">
      <w:pPr>
        <w:pStyle w:val="BodyText"/>
      </w:pPr>
      <w:r>
        <w:t>The agency has also improved access to Aged Care Specialist Officer appointments. Customers and nominees can now have an appointment either face to face or via a virtual chat. These appointments give customers and nominees access to in-depth and financial information on aged care services.</w:t>
      </w:r>
    </w:p>
    <w:p w14:paraId="74583AED" w14:textId="77777777" w:rsidR="00DD5D3A" w:rsidRDefault="00DD5D3A" w:rsidP="00DD5D3A">
      <w:pPr>
        <w:pStyle w:val="BodyText"/>
      </w:pPr>
      <w:r>
        <w:t>Table 13 shows My Aged Care appointments provided from 2022–23 to 2024–25.</w:t>
      </w:r>
    </w:p>
    <w:p w14:paraId="77D9916D" w14:textId="4E9A86ED" w:rsidR="00DD5D3A" w:rsidRPr="00DD5D3A" w:rsidRDefault="001D281E" w:rsidP="00DD5D3A">
      <w:pPr>
        <w:pStyle w:val="BodyText"/>
        <w:rPr>
          <w:b/>
          <w:bCs/>
        </w:rPr>
      </w:pPr>
      <w:r>
        <w:rPr>
          <w:b/>
          <w:bCs/>
        </w:rPr>
        <w:t>Table 13:</w:t>
      </w:r>
      <w:r w:rsidR="00DD5D3A" w:rsidRPr="00DD5D3A">
        <w:rPr>
          <w:b/>
          <w:bCs/>
        </w:rPr>
        <w:t xml:space="preserve"> My Aged Care appointments</w:t>
      </w:r>
    </w:p>
    <w:tbl>
      <w:tblPr>
        <w:tblStyle w:val="TableGrid"/>
        <w:tblW w:w="5000" w:type="pct"/>
        <w:tblLook w:val="04A0" w:firstRow="1" w:lastRow="0" w:firstColumn="1" w:lastColumn="0" w:noHBand="0" w:noVBand="1"/>
        <w:tblCaption w:val="My Aged Care appointments"/>
      </w:tblPr>
      <w:tblGrid>
        <w:gridCol w:w="4997"/>
        <w:gridCol w:w="2033"/>
        <w:gridCol w:w="2033"/>
        <w:gridCol w:w="2033"/>
      </w:tblGrid>
      <w:tr w:rsidR="00DD5D3A" w14:paraId="6E601233" w14:textId="77777777" w:rsidTr="005875A4">
        <w:trPr>
          <w:trHeight w:val="396"/>
          <w:tblHeader/>
        </w:trPr>
        <w:tc>
          <w:tcPr>
            <w:tcW w:w="2252" w:type="pct"/>
          </w:tcPr>
          <w:p w14:paraId="70AD0233" w14:textId="77777777" w:rsidR="00DD5D3A" w:rsidRPr="00434700" w:rsidRDefault="00DD5D3A" w:rsidP="00434700">
            <w:pPr>
              <w:pStyle w:val="BodyText"/>
              <w:jc w:val="right"/>
              <w:rPr>
                <w:b/>
                <w:bCs/>
              </w:rPr>
            </w:pPr>
          </w:p>
        </w:tc>
        <w:tc>
          <w:tcPr>
            <w:tcW w:w="916" w:type="pct"/>
          </w:tcPr>
          <w:p w14:paraId="383A4541" w14:textId="77777777" w:rsidR="00DD5D3A" w:rsidRPr="00434700" w:rsidRDefault="00DD5D3A" w:rsidP="00434700">
            <w:pPr>
              <w:pStyle w:val="BodyText"/>
              <w:jc w:val="right"/>
              <w:rPr>
                <w:b/>
                <w:bCs/>
              </w:rPr>
            </w:pPr>
            <w:r w:rsidRPr="00434700">
              <w:rPr>
                <w:b/>
                <w:bCs/>
              </w:rPr>
              <w:t>2022–23</w:t>
            </w:r>
          </w:p>
        </w:tc>
        <w:tc>
          <w:tcPr>
            <w:tcW w:w="916" w:type="pct"/>
          </w:tcPr>
          <w:p w14:paraId="2E7FA9A7" w14:textId="77777777" w:rsidR="00DD5D3A" w:rsidRPr="00434700" w:rsidRDefault="00DD5D3A" w:rsidP="00434700">
            <w:pPr>
              <w:pStyle w:val="BodyText"/>
              <w:jc w:val="right"/>
              <w:rPr>
                <w:b/>
                <w:bCs/>
              </w:rPr>
            </w:pPr>
            <w:r w:rsidRPr="00434700">
              <w:rPr>
                <w:b/>
                <w:bCs/>
              </w:rPr>
              <w:t>2023–24</w:t>
            </w:r>
          </w:p>
        </w:tc>
        <w:tc>
          <w:tcPr>
            <w:tcW w:w="916" w:type="pct"/>
          </w:tcPr>
          <w:p w14:paraId="729C39BE" w14:textId="77777777" w:rsidR="00DD5D3A" w:rsidRPr="00434700" w:rsidRDefault="00DD5D3A" w:rsidP="00434700">
            <w:pPr>
              <w:pStyle w:val="BodyText"/>
              <w:jc w:val="right"/>
              <w:rPr>
                <w:b/>
                <w:bCs/>
              </w:rPr>
            </w:pPr>
            <w:r w:rsidRPr="00434700">
              <w:rPr>
                <w:b/>
                <w:bCs/>
              </w:rPr>
              <w:t>2024–25</w:t>
            </w:r>
          </w:p>
        </w:tc>
      </w:tr>
      <w:tr w:rsidR="00DD5D3A" w14:paraId="06932B28" w14:textId="77777777" w:rsidTr="006A0585">
        <w:trPr>
          <w:trHeight w:val="396"/>
        </w:trPr>
        <w:tc>
          <w:tcPr>
            <w:tcW w:w="2252" w:type="pct"/>
          </w:tcPr>
          <w:p w14:paraId="76A7292F" w14:textId="77777777" w:rsidR="00DD5D3A" w:rsidRDefault="00DD5D3A" w:rsidP="00874D7C">
            <w:pPr>
              <w:pStyle w:val="BodyText"/>
            </w:pPr>
            <w:r>
              <w:t>Aged Care Specialist Officer appointments</w:t>
            </w:r>
          </w:p>
        </w:tc>
        <w:tc>
          <w:tcPr>
            <w:tcW w:w="916" w:type="pct"/>
          </w:tcPr>
          <w:p w14:paraId="05E3D741" w14:textId="77777777" w:rsidR="00DD5D3A" w:rsidRDefault="00DD5D3A" w:rsidP="00874D7C">
            <w:pPr>
              <w:pStyle w:val="BodyText"/>
              <w:jc w:val="right"/>
            </w:pPr>
            <w:r>
              <w:t>18,616</w:t>
            </w:r>
          </w:p>
        </w:tc>
        <w:tc>
          <w:tcPr>
            <w:tcW w:w="916" w:type="pct"/>
          </w:tcPr>
          <w:p w14:paraId="10C590BD" w14:textId="77777777" w:rsidR="00DD5D3A" w:rsidRDefault="00DD5D3A" w:rsidP="00874D7C">
            <w:pPr>
              <w:pStyle w:val="BodyText"/>
              <w:jc w:val="right"/>
            </w:pPr>
            <w:r>
              <w:t xml:space="preserve">26,629 </w:t>
            </w:r>
          </w:p>
        </w:tc>
        <w:tc>
          <w:tcPr>
            <w:tcW w:w="916" w:type="pct"/>
          </w:tcPr>
          <w:p w14:paraId="064E5803" w14:textId="77777777" w:rsidR="00DD5D3A" w:rsidRDefault="00DD5D3A" w:rsidP="00874D7C">
            <w:pPr>
              <w:pStyle w:val="BodyText"/>
              <w:jc w:val="right"/>
            </w:pPr>
            <w:r>
              <w:t xml:space="preserve">30,540 </w:t>
            </w:r>
          </w:p>
        </w:tc>
      </w:tr>
    </w:tbl>
    <w:p w14:paraId="1E4D175B" w14:textId="77777777" w:rsidR="00DD5D3A" w:rsidRDefault="00DD5D3A" w:rsidP="00DD5D3A">
      <w:pPr>
        <w:pStyle w:val="BodyText"/>
      </w:pPr>
      <w:r>
        <w:t xml:space="preserve">In October 2024 the agency implemented new increased rates for the 24/7 Registered Nurse Supplement for eligible services in remote locations. This included a price adjustment to allow residential services in certain areas to receive an increased residential care subsidy for better alignment of care funding and costs. </w:t>
      </w:r>
    </w:p>
    <w:p w14:paraId="0E85BE80" w14:textId="77777777" w:rsidR="00DD5D3A" w:rsidRDefault="00DD5D3A" w:rsidP="00DD5D3A">
      <w:pPr>
        <w:pStyle w:val="BodyText"/>
      </w:pPr>
      <w:r>
        <w:t xml:space="preserve">The 2025 aged care reforms focus on improved care and providing a more person-centred approach. The agency received funding in the 2024–25 Budget to support the DHDA to deliver reforms for the </w:t>
      </w:r>
      <w:r>
        <w:rPr>
          <w:rStyle w:val="Italic"/>
        </w:rPr>
        <w:t>Aged Care Act 2024</w:t>
      </w:r>
      <w:r>
        <w:t>, to respond to the recommendations of the Aged Care Taskforce and implement a new Support at Home Program. We are collaborating with the DHDA to prepare for the delivery of the aged care reforms.</w:t>
      </w:r>
    </w:p>
    <w:p w14:paraId="3BE9F012" w14:textId="77777777" w:rsidR="00DD5D3A" w:rsidRDefault="00DD5D3A" w:rsidP="00DD5D3A">
      <w:pPr>
        <w:pStyle w:val="Heading2"/>
      </w:pPr>
      <w:r>
        <w:lastRenderedPageBreak/>
        <w:t>Health services for the Department of Veterans’ Affairs</w:t>
      </w:r>
    </w:p>
    <w:p w14:paraId="18ABA587" w14:textId="77777777" w:rsidR="00DD5D3A" w:rsidRDefault="00DD5D3A" w:rsidP="00DD5D3A">
      <w:pPr>
        <w:pStyle w:val="BodyText"/>
        <w:rPr>
          <w:rStyle w:val="Bold"/>
        </w:rPr>
      </w:pPr>
      <w:r>
        <w:t xml:space="preserve">The agency assesses claims and processes payments for providers treating eligible DVA clients. This includes medical, specialist, diagnostic imaging, pathology, allied health and dental services, private hospital admissions, and prostheses. We also produce DVA Gold, White and Orange health care cards for eligible veterans. For more information on veterans’ health care cards, go to </w:t>
      </w:r>
      <w:hyperlink r:id="rId11" w:history="1">
        <w:r>
          <w:rPr>
            <w:rStyle w:val="Bold"/>
          </w:rPr>
          <w:t>dva.gov.au</w:t>
        </w:r>
      </w:hyperlink>
    </w:p>
    <w:p w14:paraId="0BF9EE5C" w14:textId="77777777" w:rsidR="00DD5D3A" w:rsidRDefault="00DD5D3A" w:rsidP="00DD5D3A">
      <w:pPr>
        <w:pStyle w:val="BodyText"/>
      </w:pPr>
      <w:r>
        <w:t xml:space="preserve">The total number of services processed continues to grow with an additional 727,986 processed this financial year. In 2024–25, 198,345 provider locations claimed digitally for these services. In partnership with the DVA, the agency promoted the benefits of provider electronic claims resulting in an increase in electronic claiming. This means providers are paid quicker and staff can process claims more efficiently. </w:t>
      </w:r>
    </w:p>
    <w:p w14:paraId="0E39E963" w14:textId="77777777" w:rsidR="00DD5D3A" w:rsidRDefault="00DD5D3A" w:rsidP="00DD5D3A">
      <w:pPr>
        <w:pStyle w:val="BodyText"/>
        <w:spacing w:after="57"/>
      </w:pPr>
      <w:r>
        <w:t>In 2024–25:</w:t>
      </w:r>
    </w:p>
    <w:p w14:paraId="5EBB23A6" w14:textId="77777777" w:rsidR="00DD5D3A" w:rsidRDefault="00DD5D3A" w:rsidP="00DD5D3A">
      <w:pPr>
        <w:pStyle w:val="ListBullet"/>
      </w:pPr>
      <w:r>
        <w:t xml:space="preserve">electronic claiming increased to 98.8% </w:t>
      </w:r>
    </w:p>
    <w:p w14:paraId="4C538958" w14:textId="77777777" w:rsidR="00DD5D3A" w:rsidRDefault="00DD5D3A" w:rsidP="00DD5D3A">
      <w:pPr>
        <w:pStyle w:val="ListBullet"/>
      </w:pPr>
      <w:r>
        <w:t>electronic claiming for allied health services increased to 98.3%</w:t>
      </w:r>
    </w:p>
    <w:p w14:paraId="3BC8E057" w14:textId="77777777" w:rsidR="00DD5D3A" w:rsidRDefault="00DD5D3A" w:rsidP="00DD5D3A">
      <w:pPr>
        <w:pStyle w:val="ListBullet"/>
      </w:pPr>
      <w:r>
        <w:t>electronic claiming for medical services increased to 99.3%</w:t>
      </w:r>
    </w:p>
    <w:p w14:paraId="24534E9C" w14:textId="77777777" w:rsidR="00DD5D3A" w:rsidRDefault="00DD5D3A" w:rsidP="00DD5D3A">
      <w:pPr>
        <w:pStyle w:val="ListBullet"/>
      </w:pPr>
      <w:r>
        <w:t>electronic claiming for hospitals increased to 95.2%</w:t>
      </w:r>
    </w:p>
    <w:p w14:paraId="2AFB8AD1" w14:textId="77777777" w:rsidR="00DD5D3A" w:rsidRDefault="00DD5D3A" w:rsidP="00DD5D3A">
      <w:pPr>
        <w:pStyle w:val="ListBullet"/>
      </w:pPr>
      <w:r>
        <w:t>manual claiming for DVA decreased to 1.2%.</w:t>
      </w:r>
    </w:p>
    <w:p w14:paraId="72DF4B09" w14:textId="77777777" w:rsidR="00DD5D3A" w:rsidRDefault="00DD5D3A" w:rsidP="00DD5D3A">
      <w:pPr>
        <w:pStyle w:val="BodyText"/>
      </w:pPr>
      <w:r>
        <w:t>Table 14 shows the number of cards produced, and services processed, on behalf of the DVA from 2022–23 to 2024–25.</w:t>
      </w:r>
    </w:p>
    <w:p w14:paraId="7B4E96BF" w14:textId="6E4A2AF4" w:rsidR="00DD5D3A" w:rsidRPr="00DD5D3A" w:rsidRDefault="003157F9" w:rsidP="00DD5D3A">
      <w:pPr>
        <w:pStyle w:val="BodyText"/>
        <w:rPr>
          <w:b/>
          <w:bCs/>
        </w:rPr>
      </w:pPr>
      <w:r>
        <w:rPr>
          <w:b/>
          <w:bCs/>
        </w:rPr>
        <w:t>Table 14:</w:t>
      </w:r>
      <w:r w:rsidR="00DD5D3A" w:rsidRPr="00DD5D3A">
        <w:rPr>
          <w:b/>
          <w:bCs/>
        </w:rPr>
        <w:t xml:space="preserve"> DVA processing</w:t>
      </w:r>
    </w:p>
    <w:tbl>
      <w:tblPr>
        <w:tblStyle w:val="TableGrid"/>
        <w:tblW w:w="5000" w:type="pct"/>
        <w:tblLook w:val="04A0" w:firstRow="1" w:lastRow="0" w:firstColumn="1" w:lastColumn="0" w:noHBand="0" w:noVBand="1"/>
        <w:tblCaption w:val="DVA processing"/>
      </w:tblPr>
      <w:tblGrid>
        <w:gridCol w:w="4997"/>
        <w:gridCol w:w="2033"/>
        <w:gridCol w:w="2033"/>
        <w:gridCol w:w="2033"/>
      </w:tblGrid>
      <w:tr w:rsidR="00DD5D3A" w14:paraId="1A724662" w14:textId="77777777" w:rsidTr="005875A4">
        <w:trPr>
          <w:trHeight w:val="396"/>
          <w:tblHeader/>
        </w:trPr>
        <w:tc>
          <w:tcPr>
            <w:tcW w:w="2252" w:type="pct"/>
          </w:tcPr>
          <w:p w14:paraId="10FA0E9B" w14:textId="77777777" w:rsidR="00DD5D3A" w:rsidRPr="00434700" w:rsidRDefault="00DD5D3A" w:rsidP="00434700">
            <w:pPr>
              <w:pStyle w:val="BodyText"/>
              <w:jc w:val="right"/>
              <w:rPr>
                <w:b/>
                <w:bCs/>
              </w:rPr>
            </w:pPr>
          </w:p>
        </w:tc>
        <w:tc>
          <w:tcPr>
            <w:tcW w:w="916" w:type="pct"/>
          </w:tcPr>
          <w:p w14:paraId="640F1577" w14:textId="77777777" w:rsidR="00DD5D3A" w:rsidRPr="00434700" w:rsidRDefault="00DD5D3A" w:rsidP="00434700">
            <w:pPr>
              <w:pStyle w:val="BodyText"/>
              <w:jc w:val="right"/>
              <w:rPr>
                <w:b/>
                <w:bCs/>
              </w:rPr>
            </w:pPr>
            <w:r w:rsidRPr="00434700">
              <w:rPr>
                <w:b/>
                <w:bCs/>
              </w:rPr>
              <w:t>2022–23</w:t>
            </w:r>
          </w:p>
        </w:tc>
        <w:tc>
          <w:tcPr>
            <w:tcW w:w="916" w:type="pct"/>
          </w:tcPr>
          <w:p w14:paraId="31B7692C" w14:textId="77777777" w:rsidR="00DD5D3A" w:rsidRPr="00434700" w:rsidRDefault="00DD5D3A" w:rsidP="00434700">
            <w:pPr>
              <w:pStyle w:val="BodyText"/>
              <w:jc w:val="right"/>
              <w:rPr>
                <w:b/>
                <w:bCs/>
              </w:rPr>
            </w:pPr>
            <w:r w:rsidRPr="00434700">
              <w:rPr>
                <w:b/>
                <w:bCs/>
              </w:rPr>
              <w:t>2023–24</w:t>
            </w:r>
          </w:p>
        </w:tc>
        <w:tc>
          <w:tcPr>
            <w:tcW w:w="916" w:type="pct"/>
          </w:tcPr>
          <w:p w14:paraId="644A88E3" w14:textId="77777777" w:rsidR="00DD5D3A" w:rsidRPr="00434700" w:rsidRDefault="00DD5D3A" w:rsidP="00434700">
            <w:pPr>
              <w:pStyle w:val="BodyText"/>
              <w:jc w:val="right"/>
              <w:rPr>
                <w:b/>
                <w:bCs/>
              </w:rPr>
            </w:pPr>
            <w:r w:rsidRPr="00434700">
              <w:rPr>
                <w:b/>
                <w:bCs/>
              </w:rPr>
              <w:t>2024–25</w:t>
            </w:r>
          </w:p>
        </w:tc>
      </w:tr>
      <w:tr w:rsidR="00DD5D3A" w14:paraId="24329620" w14:textId="77777777" w:rsidTr="006A0585">
        <w:trPr>
          <w:trHeight w:val="396"/>
        </w:trPr>
        <w:tc>
          <w:tcPr>
            <w:tcW w:w="2252" w:type="pct"/>
          </w:tcPr>
          <w:p w14:paraId="2D02CFE1" w14:textId="77777777" w:rsidR="00DD5D3A" w:rsidRDefault="00DD5D3A" w:rsidP="00874D7C">
            <w:pPr>
              <w:pStyle w:val="BodyText"/>
            </w:pPr>
            <w:r>
              <w:t>Cards produced</w:t>
            </w:r>
          </w:p>
        </w:tc>
        <w:tc>
          <w:tcPr>
            <w:tcW w:w="916" w:type="pct"/>
          </w:tcPr>
          <w:p w14:paraId="5FEDC001" w14:textId="77777777" w:rsidR="00DD5D3A" w:rsidRDefault="00DD5D3A" w:rsidP="00874D7C">
            <w:pPr>
              <w:pStyle w:val="BodyText"/>
              <w:jc w:val="right"/>
            </w:pPr>
            <w:r>
              <w:t>33,439</w:t>
            </w:r>
          </w:p>
        </w:tc>
        <w:tc>
          <w:tcPr>
            <w:tcW w:w="916" w:type="pct"/>
          </w:tcPr>
          <w:p w14:paraId="3EEBDB54" w14:textId="77777777" w:rsidR="00DD5D3A" w:rsidRDefault="00DD5D3A" w:rsidP="00874D7C">
            <w:pPr>
              <w:pStyle w:val="BodyText"/>
              <w:jc w:val="right"/>
            </w:pPr>
            <w:r>
              <w:t>45,039</w:t>
            </w:r>
          </w:p>
        </w:tc>
        <w:tc>
          <w:tcPr>
            <w:tcW w:w="916" w:type="pct"/>
          </w:tcPr>
          <w:p w14:paraId="7949EDBE" w14:textId="77777777" w:rsidR="00DD5D3A" w:rsidRDefault="00DD5D3A" w:rsidP="00874D7C">
            <w:pPr>
              <w:pStyle w:val="BodyText"/>
              <w:jc w:val="right"/>
            </w:pPr>
            <w:r>
              <w:t xml:space="preserve">54,247 </w:t>
            </w:r>
          </w:p>
        </w:tc>
      </w:tr>
      <w:tr w:rsidR="00DD5D3A" w14:paraId="5C625B34" w14:textId="77777777" w:rsidTr="006A0585">
        <w:trPr>
          <w:trHeight w:val="396"/>
        </w:trPr>
        <w:tc>
          <w:tcPr>
            <w:tcW w:w="2252" w:type="pct"/>
          </w:tcPr>
          <w:p w14:paraId="43B60618" w14:textId="77777777" w:rsidR="00DD5D3A" w:rsidRDefault="00DD5D3A" w:rsidP="00874D7C">
            <w:pPr>
              <w:pStyle w:val="BodyText"/>
            </w:pPr>
            <w:r>
              <w:rPr>
                <w:rStyle w:val="Bold"/>
                <w:b w:val="0"/>
                <w:bCs w:val="0"/>
              </w:rPr>
              <w:t>Services processed</w:t>
            </w:r>
          </w:p>
        </w:tc>
        <w:tc>
          <w:tcPr>
            <w:tcW w:w="916" w:type="pct"/>
          </w:tcPr>
          <w:p w14:paraId="39149099" w14:textId="77777777" w:rsidR="00DD5D3A" w:rsidRDefault="00DD5D3A" w:rsidP="00874D7C">
            <w:pPr>
              <w:pStyle w:val="BodyText"/>
              <w:jc w:val="right"/>
            </w:pPr>
            <w:r>
              <w:t>15.2 million</w:t>
            </w:r>
          </w:p>
        </w:tc>
        <w:tc>
          <w:tcPr>
            <w:tcW w:w="916" w:type="pct"/>
          </w:tcPr>
          <w:p w14:paraId="64FC1B2A" w14:textId="77777777" w:rsidR="00DD5D3A" w:rsidRDefault="00DD5D3A" w:rsidP="00874D7C">
            <w:pPr>
              <w:pStyle w:val="BodyText"/>
              <w:jc w:val="right"/>
            </w:pPr>
            <w:r>
              <w:t>15.8 million</w:t>
            </w:r>
          </w:p>
        </w:tc>
        <w:tc>
          <w:tcPr>
            <w:tcW w:w="916" w:type="pct"/>
          </w:tcPr>
          <w:p w14:paraId="36AB1571" w14:textId="77777777" w:rsidR="00DD5D3A" w:rsidRDefault="00DD5D3A" w:rsidP="00874D7C">
            <w:pPr>
              <w:pStyle w:val="BodyText"/>
              <w:jc w:val="right"/>
            </w:pPr>
            <w:r>
              <w:t xml:space="preserve">16.5 million </w:t>
            </w:r>
          </w:p>
        </w:tc>
      </w:tr>
      <w:tr w:rsidR="00DD5D3A" w14:paraId="18E8337F" w14:textId="77777777" w:rsidTr="006A0585">
        <w:trPr>
          <w:trHeight w:val="396"/>
        </w:trPr>
        <w:tc>
          <w:tcPr>
            <w:tcW w:w="2252" w:type="pct"/>
          </w:tcPr>
          <w:p w14:paraId="4451BAD9" w14:textId="77777777" w:rsidR="00DD5D3A" w:rsidRDefault="00DD5D3A" w:rsidP="00874D7C">
            <w:pPr>
              <w:pStyle w:val="BodyText"/>
            </w:pPr>
            <w:r>
              <w:rPr>
                <w:rStyle w:val="Bold"/>
                <w:b w:val="0"/>
                <w:bCs w:val="0"/>
              </w:rPr>
              <w:t>Total benefits paid</w:t>
            </w:r>
          </w:p>
        </w:tc>
        <w:tc>
          <w:tcPr>
            <w:tcW w:w="916" w:type="pct"/>
          </w:tcPr>
          <w:p w14:paraId="0E79F253" w14:textId="77777777" w:rsidR="00DD5D3A" w:rsidRDefault="00DD5D3A" w:rsidP="00874D7C">
            <w:pPr>
              <w:pStyle w:val="BodyText"/>
              <w:jc w:val="right"/>
            </w:pPr>
            <w:r>
              <w:t>$1.8 billion</w:t>
            </w:r>
          </w:p>
        </w:tc>
        <w:tc>
          <w:tcPr>
            <w:tcW w:w="916" w:type="pct"/>
          </w:tcPr>
          <w:p w14:paraId="7752054F" w14:textId="77777777" w:rsidR="00DD5D3A" w:rsidRDefault="00DD5D3A" w:rsidP="00874D7C">
            <w:pPr>
              <w:pStyle w:val="BodyText"/>
              <w:jc w:val="right"/>
            </w:pPr>
            <w:r>
              <w:t>$2.1 billion</w:t>
            </w:r>
          </w:p>
        </w:tc>
        <w:tc>
          <w:tcPr>
            <w:tcW w:w="916" w:type="pct"/>
          </w:tcPr>
          <w:p w14:paraId="20A29984" w14:textId="77777777" w:rsidR="00DD5D3A" w:rsidRDefault="00DD5D3A" w:rsidP="00874D7C">
            <w:pPr>
              <w:pStyle w:val="BodyText"/>
              <w:jc w:val="right"/>
            </w:pPr>
            <w:r>
              <w:t>$2.3 billion</w:t>
            </w:r>
          </w:p>
        </w:tc>
      </w:tr>
    </w:tbl>
    <w:p w14:paraId="38F63E12" w14:textId="77777777" w:rsidR="00DD5D3A" w:rsidRDefault="00DD5D3A" w:rsidP="00DD5D3A">
      <w:pPr>
        <w:pStyle w:val="Heading2"/>
      </w:pPr>
      <w:r>
        <w:t>Australian Government Rebate on Private Health Insurance</w:t>
      </w:r>
    </w:p>
    <w:p w14:paraId="59B81CA4" w14:textId="77777777" w:rsidR="00DD5D3A" w:rsidRDefault="00DD5D3A" w:rsidP="00DD5D3A">
      <w:pPr>
        <w:pStyle w:val="BodyText"/>
      </w:pPr>
      <w:r>
        <w:t>The Australian Government Rebate on Private Health Insurance reimburses or discounts the cost of private health insurance cover. It is available to all people who are eligible for Medicare and have a complying health insurance policy.</w:t>
      </w:r>
    </w:p>
    <w:p w14:paraId="072FB332" w14:textId="77777777" w:rsidR="00DD5D3A" w:rsidRDefault="00DD5D3A" w:rsidP="00DD5D3A">
      <w:pPr>
        <w:pStyle w:val="BodyText"/>
        <w:spacing w:after="57"/>
      </w:pPr>
      <w:r>
        <w:t>The income tested rebate can be claimed in one of 2 ways:</w:t>
      </w:r>
    </w:p>
    <w:p w14:paraId="4BFA430E" w14:textId="77777777" w:rsidR="00DD5D3A" w:rsidRDefault="00DD5D3A" w:rsidP="00DD5D3A">
      <w:pPr>
        <w:pStyle w:val="ListBullet"/>
      </w:pPr>
      <w:r>
        <w:t>as an upfront reduction in the cost of premiums through the Premium Reduction Scheme (administered by the agency)</w:t>
      </w:r>
    </w:p>
    <w:p w14:paraId="5AEB4B46" w14:textId="77777777" w:rsidR="00DD5D3A" w:rsidRDefault="00DD5D3A" w:rsidP="00DD5D3A">
      <w:pPr>
        <w:pStyle w:val="ListBullet"/>
      </w:pPr>
      <w:r>
        <w:t>as a tax offset in annual income tax returns (administered by the ATO).</w:t>
      </w:r>
    </w:p>
    <w:p w14:paraId="0FB39872" w14:textId="77777777" w:rsidR="00DD5D3A" w:rsidRDefault="00DD5D3A" w:rsidP="00DD5D3A">
      <w:pPr>
        <w:pStyle w:val="BodyText"/>
      </w:pPr>
      <w:r>
        <w:t>Table 15 shows memberships registered and the amount reimbursed to private health funds from 2022–23 to 2024–25.</w:t>
      </w:r>
    </w:p>
    <w:p w14:paraId="77EC02FC" w14:textId="0ADF00B0" w:rsidR="00DD5D3A" w:rsidRPr="00DD5D3A" w:rsidRDefault="003157F9" w:rsidP="00DD5D3A">
      <w:pPr>
        <w:pStyle w:val="BodyText"/>
        <w:rPr>
          <w:b/>
          <w:bCs/>
        </w:rPr>
      </w:pPr>
      <w:r>
        <w:rPr>
          <w:b/>
          <w:bCs/>
        </w:rPr>
        <w:t>Table 15:</w:t>
      </w:r>
      <w:r w:rsidR="00DD5D3A" w:rsidRPr="00DD5D3A">
        <w:rPr>
          <w:b/>
          <w:bCs/>
        </w:rPr>
        <w:t xml:space="preserve"> Private Health Insurance Rebate memberships and reimbursements</w:t>
      </w:r>
    </w:p>
    <w:tbl>
      <w:tblPr>
        <w:tblStyle w:val="TableGrid"/>
        <w:tblW w:w="5000" w:type="pct"/>
        <w:tblLook w:val="04A0" w:firstRow="1" w:lastRow="0" w:firstColumn="1" w:lastColumn="0" w:noHBand="0" w:noVBand="1"/>
        <w:tblCaption w:val="Private Health Insurance Rebate memberships and reimbursements"/>
      </w:tblPr>
      <w:tblGrid>
        <w:gridCol w:w="4997"/>
        <w:gridCol w:w="2033"/>
        <w:gridCol w:w="2033"/>
        <w:gridCol w:w="2033"/>
      </w:tblGrid>
      <w:tr w:rsidR="00DD5D3A" w14:paraId="244029DF" w14:textId="77777777" w:rsidTr="005875A4">
        <w:trPr>
          <w:trHeight w:val="396"/>
          <w:tblHeader/>
        </w:trPr>
        <w:tc>
          <w:tcPr>
            <w:tcW w:w="2252" w:type="pct"/>
          </w:tcPr>
          <w:p w14:paraId="343B78E1" w14:textId="77777777" w:rsidR="00DD5D3A" w:rsidRPr="00434700" w:rsidRDefault="00DD5D3A" w:rsidP="00434700">
            <w:pPr>
              <w:pStyle w:val="BodyText"/>
              <w:jc w:val="right"/>
              <w:rPr>
                <w:b/>
                <w:bCs/>
              </w:rPr>
            </w:pPr>
          </w:p>
        </w:tc>
        <w:tc>
          <w:tcPr>
            <w:tcW w:w="916" w:type="pct"/>
          </w:tcPr>
          <w:p w14:paraId="689928FA" w14:textId="77777777" w:rsidR="00DD5D3A" w:rsidRPr="00434700" w:rsidRDefault="00DD5D3A" w:rsidP="00434700">
            <w:pPr>
              <w:pStyle w:val="BodyText"/>
              <w:jc w:val="right"/>
              <w:rPr>
                <w:b/>
                <w:bCs/>
              </w:rPr>
            </w:pPr>
            <w:r w:rsidRPr="00434700">
              <w:rPr>
                <w:b/>
                <w:bCs/>
              </w:rPr>
              <w:t>2022–23</w:t>
            </w:r>
          </w:p>
        </w:tc>
        <w:tc>
          <w:tcPr>
            <w:tcW w:w="916" w:type="pct"/>
          </w:tcPr>
          <w:p w14:paraId="56C5E579" w14:textId="77777777" w:rsidR="00DD5D3A" w:rsidRPr="00434700" w:rsidRDefault="00DD5D3A" w:rsidP="00434700">
            <w:pPr>
              <w:pStyle w:val="BodyText"/>
              <w:jc w:val="right"/>
              <w:rPr>
                <w:b/>
                <w:bCs/>
              </w:rPr>
            </w:pPr>
            <w:r w:rsidRPr="00434700">
              <w:rPr>
                <w:b/>
                <w:bCs/>
              </w:rPr>
              <w:t>2023–24</w:t>
            </w:r>
          </w:p>
        </w:tc>
        <w:tc>
          <w:tcPr>
            <w:tcW w:w="916" w:type="pct"/>
          </w:tcPr>
          <w:p w14:paraId="010126F5" w14:textId="77777777" w:rsidR="00DD5D3A" w:rsidRPr="00434700" w:rsidRDefault="00DD5D3A" w:rsidP="00434700">
            <w:pPr>
              <w:pStyle w:val="BodyText"/>
              <w:jc w:val="right"/>
              <w:rPr>
                <w:b/>
                <w:bCs/>
              </w:rPr>
            </w:pPr>
            <w:r w:rsidRPr="00434700">
              <w:rPr>
                <w:b/>
                <w:bCs/>
              </w:rPr>
              <w:t>2024–25</w:t>
            </w:r>
          </w:p>
        </w:tc>
      </w:tr>
      <w:tr w:rsidR="00DD5D3A" w14:paraId="121E7E4D" w14:textId="77777777" w:rsidTr="006A0585">
        <w:trPr>
          <w:trHeight w:val="396"/>
        </w:trPr>
        <w:tc>
          <w:tcPr>
            <w:tcW w:w="2252" w:type="pct"/>
          </w:tcPr>
          <w:p w14:paraId="4C931193" w14:textId="77777777" w:rsidR="00DD5D3A" w:rsidRDefault="00DD5D3A" w:rsidP="00874D7C">
            <w:pPr>
              <w:pStyle w:val="BodyText"/>
            </w:pPr>
            <w:r>
              <w:t>Memberships registered</w:t>
            </w:r>
          </w:p>
        </w:tc>
        <w:tc>
          <w:tcPr>
            <w:tcW w:w="916" w:type="pct"/>
          </w:tcPr>
          <w:p w14:paraId="41161745" w14:textId="77777777" w:rsidR="00DD5D3A" w:rsidRDefault="00DD5D3A" w:rsidP="00874D7C">
            <w:pPr>
              <w:pStyle w:val="BodyText"/>
              <w:jc w:val="right"/>
            </w:pPr>
            <w:r>
              <w:t>7.5 million</w:t>
            </w:r>
          </w:p>
        </w:tc>
        <w:tc>
          <w:tcPr>
            <w:tcW w:w="916" w:type="pct"/>
          </w:tcPr>
          <w:p w14:paraId="07879294" w14:textId="77777777" w:rsidR="00DD5D3A" w:rsidRDefault="00DD5D3A" w:rsidP="00874D7C">
            <w:pPr>
              <w:pStyle w:val="BodyText"/>
              <w:jc w:val="right"/>
            </w:pPr>
            <w:r>
              <w:t>7.5 million</w:t>
            </w:r>
          </w:p>
        </w:tc>
        <w:tc>
          <w:tcPr>
            <w:tcW w:w="916" w:type="pct"/>
          </w:tcPr>
          <w:p w14:paraId="770EE971" w14:textId="77777777" w:rsidR="00DD5D3A" w:rsidRDefault="00DD5D3A" w:rsidP="00874D7C">
            <w:pPr>
              <w:pStyle w:val="BodyText"/>
              <w:jc w:val="right"/>
            </w:pPr>
            <w:r>
              <w:t>7.7 million</w:t>
            </w:r>
          </w:p>
        </w:tc>
      </w:tr>
      <w:tr w:rsidR="00DD5D3A" w14:paraId="0DF00C56" w14:textId="77777777" w:rsidTr="006A0585">
        <w:trPr>
          <w:trHeight w:val="396"/>
        </w:trPr>
        <w:tc>
          <w:tcPr>
            <w:tcW w:w="2252" w:type="pct"/>
          </w:tcPr>
          <w:p w14:paraId="36E01954" w14:textId="77777777" w:rsidR="00DD5D3A" w:rsidRDefault="00DD5D3A" w:rsidP="00874D7C">
            <w:pPr>
              <w:pStyle w:val="BodyText"/>
            </w:pPr>
            <w:r>
              <w:t>Total paid to private health funds</w:t>
            </w:r>
          </w:p>
        </w:tc>
        <w:tc>
          <w:tcPr>
            <w:tcW w:w="916" w:type="pct"/>
          </w:tcPr>
          <w:p w14:paraId="4E387EAF" w14:textId="77777777" w:rsidR="00DD5D3A" w:rsidRDefault="00DD5D3A" w:rsidP="00874D7C">
            <w:pPr>
              <w:pStyle w:val="BodyText"/>
              <w:jc w:val="right"/>
            </w:pPr>
            <w:r>
              <w:t>$6.7 billion</w:t>
            </w:r>
          </w:p>
        </w:tc>
        <w:tc>
          <w:tcPr>
            <w:tcW w:w="916" w:type="pct"/>
          </w:tcPr>
          <w:p w14:paraId="6860F13D" w14:textId="77777777" w:rsidR="00DD5D3A" w:rsidRDefault="00DD5D3A" w:rsidP="00874D7C">
            <w:pPr>
              <w:pStyle w:val="BodyText"/>
              <w:jc w:val="right"/>
            </w:pPr>
            <w:r>
              <w:t>$7.1 billion</w:t>
            </w:r>
          </w:p>
        </w:tc>
        <w:tc>
          <w:tcPr>
            <w:tcW w:w="916" w:type="pct"/>
          </w:tcPr>
          <w:p w14:paraId="6A13A00D" w14:textId="77777777" w:rsidR="00DD5D3A" w:rsidRDefault="00DD5D3A" w:rsidP="00874D7C">
            <w:pPr>
              <w:pStyle w:val="BodyText"/>
              <w:jc w:val="right"/>
            </w:pPr>
            <w:r>
              <w:t>$7.3 billion</w:t>
            </w:r>
          </w:p>
        </w:tc>
      </w:tr>
    </w:tbl>
    <w:p w14:paraId="5CEAFB93" w14:textId="77777777" w:rsidR="00DD5D3A" w:rsidRDefault="00DD5D3A" w:rsidP="00DD5D3A">
      <w:pPr>
        <w:pStyle w:val="Heading2"/>
      </w:pPr>
      <w:r>
        <w:t>External Breast Prostheses Reimbursement Program</w:t>
      </w:r>
    </w:p>
    <w:p w14:paraId="3DC23063" w14:textId="77777777" w:rsidR="00DD5D3A" w:rsidRDefault="00DD5D3A" w:rsidP="00DD5D3A">
      <w:pPr>
        <w:pStyle w:val="BodyText"/>
      </w:pPr>
      <w:r>
        <w:t>The External Breast Prostheses Reimbursement Program reimburses up to $400 for a new or replacement external breast prosthesis or up to $800 for double prostheses following a double mastectomy. The reimbursement is for individuals who have had breast surgery due to cancer. Claimants must be eligible for Medicare and must not have claimed under the program in the previous 2 years unless there is a medical reason.</w:t>
      </w:r>
    </w:p>
    <w:p w14:paraId="397286A6" w14:textId="77777777" w:rsidR="00DD5D3A" w:rsidRDefault="00DD5D3A" w:rsidP="00DD5D3A">
      <w:pPr>
        <w:pStyle w:val="BodyText"/>
      </w:pPr>
      <w:r>
        <w:t>Table 16 shows claims and reimbursements made under the program from 2022–23 to 2024–25.</w:t>
      </w:r>
    </w:p>
    <w:p w14:paraId="79A463CB" w14:textId="6DA6E772" w:rsidR="00DD5D3A" w:rsidRPr="00DD5D3A" w:rsidRDefault="003157F9" w:rsidP="00DD5D3A">
      <w:pPr>
        <w:pStyle w:val="BodyText"/>
        <w:rPr>
          <w:b/>
          <w:bCs/>
        </w:rPr>
      </w:pPr>
      <w:r>
        <w:rPr>
          <w:b/>
          <w:bCs/>
        </w:rPr>
        <w:t>Table 16:</w:t>
      </w:r>
      <w:r w:rsidR="00DD5D3A" w:rsidRPr="00DD5D3A">
        <w:rPr>
          <w:b/>
          <w:bCs/>
        </w:rPr>
        <w:t xml:space="preserve"> External breast prostheses reimbursements </w:t>
      </w:r>
    </w:p>
    <w:tbl>
      <w:tblPr>
        <w:tblStyle w:val="TableGrid"/>
        <w:tblW w:w="5000" w:type="pct"/>
        <w:tblLook w:val="04A0" w:firstRow="1" w:lastRow="0" w:firstColumn="1" w:lastColumn="0" w:noHBand="0" w:noVBand="1"/>
        <w:tblCaption w:val="External breast prostheses reimbursements "/>
      </w:tblPr>
      <w:tblGrid>
        <w:gridCol w:w="4997"/>
        <w:gridCol w:w="2033"/>
        <w:gridCol w:w="2033"/>
        <w:gridCol w:w="2033"/>
      </w:tblGrid>
      <w:tr w:rsidR="00DD5D3A" w:rsidRPr="00434700" w14:paraId="7E0662C2" w14:textId="77777777" w:rsidTr="005875A4">
        <w:trPr>
          <w:trHeight w:val="396"/>
          <w:tblHeader/>
        </w:trPr>
        <w:tc>
          <w:tcPr>
            <w:tcW w:w="2252" w:type="pct"/>
          </w:tcPr>
          <w:p w14:paraId="32956C9E" w14:textId="77777777" w:rsidR="00DD5D3A" w:rsidRPr="00434700" w:rsidRDefault="00DD5D3A" w:rsidP="00434700">
            <w:pPr>
              <w:pStyle w:val="BodyText"/>
              <w:jc w:val="right"/>
              <w:rPr>
                <w:b/>
                <w:bCs/>
              </w:rPr>
            </w:pPr>
          </w:p>
        </w:tc>
        <w:tc>
          <w:tcPr>
            <w:tcW w:w="916" w:type="pct"/>
          </w:tcPr>
          <w:p w14:paraId="2974A545" w14:textId="77777777" w:rsidR="00DD5D3A" w:rsidRPr="00434700" w:rsidRDefault="00DD5D3A" w:rsidP="00434700">
            <w:pPr>
              <w:pStyle w:val="BodyText"/>
              <w:jc w:val="right"/>
              <w:rPr>
                <w:b/>
                <w:bCs/>
              </w:rPr>
            </w:pPr>
            <w:r w:rsidRPr="00434700">
              <w:rPr>
                <w:b/>
                <w:bCs/>
              </w:rPr>
              <w:t>2022–23</w:t>
            </w:r>
          </w:p>
        </w:tc>
        <w:tc>
          <w:tcPr>
            <w:tcW w:w="916" w:type="pct"/>
          </w:tcPr>
          <w:p w14:paraId="7AF5008F" w14:textId="77777777" w:rsidR="00DD5D3A" w:rsidRPr="00434700" w:rsidRDefault="00DD5D3A" w:rsidP="00434700">
            <w:pPr>
              <w:pStyle w:val="BodyText"/>
              <w:jc w:val="right"/>
              <w:rPr>
                <w:b/>
                <w:bCs/>
              </w:rPr>
            </w:pPr>
            <w:r w:rsidRPr="00434700">
              <w:rPr>
                <w:b/>
                <w:bCs/>
              </w:rPr>
              <w:t>2023–24</w:t>
            </w:r>
          </w:p>
        </w:tc>
        <w:tc>
          <w:tcPr>
            <w:tcW w:w="916" w:type="pct"/>
          </w:tcPr>
          <w:p w14:paraId="24236C81" w14:textId="77777777" w:rsidR="00DD5D3A" w:rsidRPr="00434700" w:rsidRDefault="00DD5D3A" w:rsidP="00434700">
            <w:pPr>
              <w:pStyle w:val="BodyText"/>
              <w:jc w:val="right"/>
              <w:rPr>
                <w:b/>
                <w:bCs/>
              </w:rPr>
            </w:pPr>
            <w:r w:rsidRPr="00434700">
              <w:rPr>
                <w:b/>
                <w:bCs/>
              </w:rPr>
              <w:t>2024–25</w:t>
            </w:r>
          </w:p>
        </w:tc>
      </w:tr>
      <w:tr w:rsidR="00DD5D3A" w14:paraId="7FAEF94D" w14:textId="77777777" w:rsidTr="006A0585">
        <w:trPr>
          <w:trHeight w:val="396"/>
        </w:trPr>
        <w:tc>
          <w:tcPr>
            <w:tcW w:w="2252" w:type="pct"/>
          </w:tcPr>
          <w:p w14:paraId="56079AC5" w14:textId="77777777" w:rsidR="00DD5D3A" w:rsidRDefault="00DD5D3A" w:rsidP="00874D7C">
            <w:pPr>
              <w:pStyle w:val="BodyText"/>
            </w:pPr>
            <w:r>
              <w:t>Number of claims processed</w:t>
            </w:r>
          </w:p>
        </w:tc>
        <w:tc>
          <w:tcPr>
            <w:tcW w:w="916" w:type="pct"/>
          </w:tcPr>
          <w:p w14:paraId="7CC95FCA" w14:textId="77777777" w:rsidR="00DD5D3A" w:rsidRDefault="00DD5D3A" w:rsidP="00874D7C">
            <w:pPr>
              <w:pStyle w:val="BodyText"/>
              <w:jc w:val="right"/>
            </w:pPr>
            <w:r>
              <w:t>13,686</w:t>
            </w:r>
          </w:p>
        </w:tc>
        <w:tc>
          <w:tcPr>
            <w:tcW w:w="916" w:type="pct"/>
          </w:tcPr>
          <w:p w14:paraId="546CBB9F" w14:textId="77777777" w:rsidR="00DD5D3A" w:rsidRDefault="00DD5D3A" w:rsidP="00874D7C">
            <w:pPr>
              <w:pStyle w:val="BodyText"/>
              <w:jc w:val="right"/>
            </w:pPr>
            <w:r>
              <w:t>13,450</w:t>
            </w:r>
          </w:p>
        </w:tc>
        <w:tc>
          <w:tcPr>
            <w:tcW w:w="916" w:type="pct"/>
          </w:tcPr>
          <w:p w14:paraId="6A66AAAF" w14:textId="77777777" w:rsidR="00DD5D3A" w:rsidRDefault="00DD5D3A" w:rsidP="00874D7C">
            <w:pPr>
              <w:pStyle w:val="BodyText"/>
              <w:jc w:val="right"/>
            </w:pPr>
            <w:r>
              <w:t>13,489</w:t>
            </w:r>
          </w:p>
        </w:tc>
      </w:tr>
      <w:tr w:rsidR="00DD5D3A" w14:paraId="57E74A6A" w14:textId="77777777" w:rsidTr="006A0585">
        <w:trPr>
          <w:trHeight w:val="396"/>
        </w:trPr>
        <w:tc>
          <w:tcPr>
            <w:tcW w:w="2252" w:type="pct"/>
          </w:tcPr>
          <w:p w14:paraId="769EF73B" w14:textId="77777777" w:rsidR="00DD5D3A" w:rsidRDefault="00DD5D3A" w:rsidP="00874D7C">
            <w:pPr>
              <w:pStyle w:val="BodyText"/>
            </w:pPr>
            <w:r>
              <w:t>Amount paid</w:t>
            </w:r>
          </w:p>
        </w:tc>
        <w:tc>
          <w:tcPr>
            <w:tcW w:w="916" w:type="pct"/>
          </w:tcPr>
          <w:p w14:paraId="4B7F80CD" w14:textId="77777777" w:rsidR="00DD5D3A" w:rsidRDefault="00DD5D3A" w:rsidP="00874D7C">
            <w:pPr>
              <w:pStyle w:val="BodyText"/>
              <w:jc w:val="right"/>
            </w:pPr>
            <w:r>
              <w:t>$6 million</w:t>
            </w:r>
          </w:p>
        </w:tc>
        <w:tc>
          <w:tcPr>
            <w:tcW w:w="916" w:type="pct"/>
          </w:tcPr>
          <w:p w14:paraId="757D27BD" w14:textId="77777777" w:rsidR="00DD5D3A" w:rsidRDefault="00DD5D3A" w:rsidP="00874D7C">
            <w:pPr>
              <w:pStyle w:val="BodyText"/>
              <w:jc w:val="right"/>
            </w:pPr>
            <w:r>
              <w:t>$6 million</w:t>
            </w:r>
            <w:r>
              <w:rPr>
                <w:vertAlign w:val="superscript"/>
              </w:rPr>
              <w:t>(a)</w:t>
            </w:r>
          </w:p>
        </w:tc>
        <w:tc>
          <w:tcPr>
            <w:tcW w:w="916" w:type="pct"/>
          </w:tcPr>
          <w:p w14:paraId="5D6A73BF" w14:textId="77777777" w:rsidR="00DD5D3A" w:rsidRDefault="00DD5D3A" w:rsidP="00874D7C">
            <w:pPr>
              <w:pStyle w:val="BodyText"/>
              <w:jc w:val="right"/>
            </w:pPr>
            <w:r>
              <w:t xml:space="preserve">$6.1 million </w:t>
            </w:r>
          </w:p>
        </w:tc>
      </w:tr>
    </w:tbl>
    <w:p w14:paraId="377F0D8B" w14:textId="75764ACE" w:rsidR="00DD5D3A" w:rsidRDefault="003157F9" w:rsidP="003157F9">
      <w:pPr>
        <w:pStyle w:val="ProductCode"/>
      </w:pPr>
      <w:r>
        <w:t xml:space="preserve">(a) </w:t>
      </w:r>
      <w:r w:rsidR="00DD5D3A">
        <w:t>The amount paid has been updated to $6 million (from $5.9 million in the 2023–24 annual report) to ensure consistent rounding is applied.</w:t>
      </w:r>
    </w:p>
    <w:p w14:paraId="20376850" w14:textId="77777777" w:rsidR="00DD5D3A" w:rsidRDefault="00DD5D3A" w:rsidP="00DD5D3A">
      <w:pPr>
        <w:pStyle w:val="Heading2"/>
      </w:pPr>
      <w:r>
        <w:t>Continence Aids Payment Scheme</w:t>
      </w:r>
    </w:p>
    <w:p w14:paraId="08A97E3D" w14:textId="77777777" w:rsidR="00DD5D3A" w:rsidRDefault="00DD5D3A" w:rsidP="00DD5D3A">
      <w:pPr>
        <w:pStyle w:val="BodyText"/>
      </w:pPr>
      <w:r>
        <w:t>The Continence Aids Payment Scheme gives eligible people with severe and permanent incontinence yearly or twice-yearly payments to help cover the cost of products to help manage incontinence.</w:t>
      </w:r>
    </w:p>
    <w:p w14:paraId="695C8DF9" w14:textId="77777777" w:rsidR="00DD5D3A" w:rsidRDefault="00DD5D3A" w:rsidP="00DD5D3A">
      <w:pPr>
        <w:pStyle w:val="BodyText"/>
      </w:pPr>
      <w:r>
        <w:t>Table 17 shows applications processed and reimbursements made under the scheme from 2022–23 to 2024–25.</w:t>
      </w:r>
    </w:p>
    <w:p w14:paraId="1EBF82EB" w14:textId="38F36411" w:rsidR="00DD5D3A" w:rsidRPr="00DD5D3A" w:rsidRDefault="003157F9" w:rsidP="00DD5D3A">
      <w:pPr>
        <w:pStyle w:val="BodyText"/>
        <w:rPr>
          <w:b/>
          <w:bCs/>
        </w:rPr>
      </w:pPr>
      <w:r>
        <w:rPr>
          <w:b/>
          <w:bCs/>
        </w:rPr>
        <w:t>Table 17:</w:t>
      </w:r>
      <w:r w:rsidR="00DD5D3A" w:rsidRPr="00DD5D3A">
        <w:rPr>
          <w:b/>
          <w:bCs/>
        </w:rPr>
        <w:t xml:space="preserve"> Continence aids applications and payments</w:t>
      </w:r>
    </w:p>
    <w:tbl>
      <w:tblPr>
        <w:tblStyle w:val="TableGrid"/>
        <w:tblW w:w="5000" w:type="pct"/>
        <w:tblLook w:val="04A0" w:firstRow="1" w:lastRow="0" w:firstColumn="1" w:lastColumn="0" w:noHBand="0" w:noVBand="1"/>
        <w:tblCaption w:val="Continence aids applications and payments"/>
      </w:tblPr>
      <w:tblGrid>
        <w:gridCol w:w="4997"/>
        <w:gridCol w:w="2033"/>
        <w:gridCol w:w="2033"/>
        <w:gridCol w:w="2033"/>
      </w:tblGrid>
      <w:tr w:rsidR="00DD5D3A" w14:paraId="03B0FCE3" w14:textId="77777777" w:rsidTr="005875A4">
        <w:trPr>
          <w:trHeight w:val="396"/>
          <w:tblHeader/>
        </w:trPr>
        <w:tc>
          <w:tcPr>
            <w:tcW w:w="2252" w:type="pct"/>
          </w:tcPr>
          <w:p w14:paraId="340E35B5" w14:textId="77777777" w:rsidR="00DD5D3A" w:rsidRPr="00434700" w:rsidRDefault="00DD5D3A" w:rsidP="00434700">
            <w:pPr>
              <w:pStyle w:val="BodyText"/>
              <w:jc w:val="right"/>
              <w:rPr>
                <w:b/>
                <w:bCs/>
              </w:rPr>
            </w:pPr>
          </w:p>
        </w:tc>
        <w:tc>
          <w:tcPr>
            <w:tcW w:w="916" w:type="pct"/>
          </w:tcPr>
          <w:p w14:paraId="202F2D68" w14:textId="77777777" w:rsidR="00DD5D3A" w:rsidRPr="00434700" w:rsidRDefault="00DD5D3A" w:rsidP="00434700">
            <w:pPr>
              <w:pStyle w:val="BodyText"/>
              <w:jc w:val="right"/>
              <w:rPr>
                <w:b/>
                <w:bCs/>
              </w:rPr>
            </w:pPr>
            <w:r w:rsidRPr="00434700">
              <w:rPr>
                <w:b/>
                <w:bCs/>
              </w:rPr>
              <w:t>2022–23</w:t>
            </w:r>
          </w:p>
        </w:tc>
        <w:tc>
          <w:tcPr>
            <w:tcW w:w="916" w:type="pct"/>
          </w:tcPr>
          <w:p w14:paraId="4CEDC1A7" w14:textId="77777777" w:rsidR="00DD5D3A" w:rsidRPr="00434700" w:rsidRDefault="00DD5D3A" w:rsidP="00434700">
            <w:pPr>
              <w:pStyle w:val="BodyText"/>
              <w:jc w:val="right"/>
              <w:rPr>
                <w:b/>
                <w:bCs/>
              </w:rPr>
            </w:pPr>
            <w:r w:rsidRPr="00434700">
              <w:rPr>
                <w:b/>
                <w:bCs/>
              </w:rPr>
              <w:t>2023–24</w:t>
            </w:r>
          </w:p>
        </w:tc>
        <w:tc>
          <w:tcPr>
            <w:tcW w:w="916" w:type="pct"/>
          </w:tcPr>
          <w:p w14:paraId="582AF976" w14:textId="77777777" w:rsidR="00DD5D3A" w:rsidRPr="00434700" w:rsidRDefault="00DD5D3A" w:rsidP="00434700">
            <w:pPr>
              <w:pStyle w:val="BodyText"/>
              <w:jc w:val="right"/>
              <w:rPr>
                <w:b/>
                <w:bCs/>
              </w:rPr>
            </w:pPr>
            <w:r w:rsidRPr="00434700">
              <w:rPr>
                <w:b/>
                <w:bCs/>
              </w:rPr>
              <w:t>2024–25</w:t>
            </w:r>
          </w:p>
        </w:tc>
      </w:tr>
      <w:tr w:rsidR="00DD5D3A" w14:paraId="0C2BC179" w14:textId="77777777" w:rsidTr="006A0585">
        <w:trPr>
          <w:trHeight w:val="396"/>
        </w:trPr>
        <w:tc>
          <w:tcPr>
            <w:tcW w:w="2252" w:type="pct"/>
          </w:tcPr>
          <w:p w14:paraId="37E23BD9" w14:textId="77777777" w:rsidR="00DD5D3A" w:rsidRDefault="00DD5D3A" w:rsidP="00874D7C">
            <w:pPr>
              <w:pStyle w:val="BodyText"/>
            </w:pPr>
            <w:r>
              <w:t>Number of applications processed</w:t>
            </w:r>
          </w:p>
        </w:tc>
        <w:tc>
          <w:tcPr>
            <w:tcW w:w="916" w:type="pct"/>
          </w:tcPr>
          <w:p w14:paraId="7D1ED430" w14:textId="77777777" w:rsidR="00DD5D3A" w:rsidRDefault="00DD5D3A" w:rsidP="00874D7C">
            <w:pPr>
              <w:pStyle w:val="BodyText"/>
              <w:jc w:val="right"/>
            </w:pPr>
            <w:r>
              <w:t>43,021</w:t>
            </w:r>
          </w:p>
        </w:tc>
        <w:tc>
          <w:tcPr>
            <w:tcW w:w="916" w:type="pct"/>
          </w:tcPr>
          <w:p w14:paraId="22BF25E8" w14:textId="77777777" w:rsidR="00DD5D3A" w:rsidRDefault="00DD5D3A" w:rsidP="00874D7C">
            <w:pPr>
              <w:pStyle w:val="BodyText"/>
              <w:jc w:val="right"/>
            </w:pPr>
            <w:r>
              <w:t>41,037</w:t>
            </w:r>
          </w:p>
        </w:tc>
        <w:tc>
          <w:tcPr>
            <w:tcW w:w="916" w:type="pct"/>
          </w:tcPr>
          <w:p w14:paraId="1A1E017C" w14:textId="77777777" w:rsidR="00DD5D3A" w:rsidRDefault="00DD5D3A" w:rsidP="00874D7C">
            <w:pPr>
              <w:pStyle w:val="BodyText"/>
              <w:jc w:val="right"/>
            </w:pPr>
            <w:r>
              <w:t>53,845</w:t>
            </w:r>
          </w:p>
        </w:tc>
      </w:tr>
      <w:tr w:rsidR="00DD5D3A" w14:paraId="3366162A" w14:textId="77777777" w:rsidTr="006A0585">
        <w:trPr>
          <w:trHeight w:val="396"/>
        </w:trPr>
        <w:tc>
          <w:tcPr>
            <w:tcW w:w="2252" w:type="pct"/>
          </w:tcPr>
          <w:p w14:paraId="05AA071E" w14:textId="77777777" w:rsidR="00DD5D3A" w:rsidRDefault="00DD5D3A" w:rsidP="00874D7C">
            <w:pPr>
              <w:pStyle w:val="BodyText"/>
            </w:pPr>
            <w:r>
              <w:t>Amount paid</w:t>
            </w:r>
          </w:p>
        </w:tc>
        <w:tc>
          <w:tcPr>
            <w:tcW w:w="916" w:type="pct"/>
          </w:tcPr>
          <w:p w14:paraId="66DFBA4D" w14:textId="77777777" w:rsidR="00DD5D3A" w:rsidRDefault="00DD5D3A" w:rsidP="00874D7C">
            <w:pPr>
              <w:pStyle w:val="BodyText"/>
              <w:jc w:val="right"/>
            </w:pPr>
            <w:r>
              <w:rPr>
                <w:spacing w:val="-6"/>
              </w:rPr>
              <w:t xml:space="preserve">$103.3 million </w:t>
            </w:r>
          </w:p>
        </w:tc>
        <w:tc>
          <w:tcPr>
            <w:tcW w:w="916" w:type="pct"/>
          </w:tcPr>
          <w:p w14:paraId="2FFB02DA" w14:textId="77777777" w:rsidR="00DD5D3A" w:rsidRDefault="00DD5D3A" w:rsidP="00874D7C">
            <w:pPr>
              <w:pStyle w:val="BodyText"/>
              <w:jc w:val="right"/>
            </w:pPr>
            <w:r>
              <w:rPr>
                <w:spacing w:val="-6"/>
              </w:rPr>
              <w:t xml:space="preserve">$114.5 million </w:t>
            </w:r>
          </w:p>
        </w:tc>
        <w:tc>
          <w:tcPr>
            <w:tcW w:w="916" w:type="pct"/>
          </w:tcPr>
          <w:p w14:paraId="4BA927BB" w14:textId="77777777" w:rsidR="00DD5D3A" w:rsidRDefault="00DD5D3A" w:rsidP="00874D7C">
            <w:pPr>
              <w:pStyle w:val="BodyText"/>
              <w:jc w:val="right"/>
            </w:pPr>
            <w:r>
              <w:rPr>
                <w:spacing w:val="-6"/>
              </w:rPr>
              <w:t>$125.4 million</w:t>
            </w:r>
          </w:p>
        </w:tc>
      </w:tr>
    </w:tbl>
    <w:p w14:paraId="68700FB7" w14:textId="77777777" w:rsidR="00DD5D3A" w:rsidRDefault="00DD5D3A" w:rsidP="00DD5D3A">
      <w:pPr>
        <w:pStyle w:val="Heading2"/>
      </w:pPr>
      <w:r>
        <w:t>Assisted Reproductive Technology Storage Funding Program</w:t>
      </w:r>
    </w:p>
    <w:p w14:paraId="2E17C05D" w14:textId="77777777" w:rsidR="00DD5D3A" w:rsidRDefault="00DD5D3A" w:rsidP="00DD5D3A">
      <w:pPr>
        <w:pStyle w:val="BodyText"/>
      </w:pPr>
      <w:r>
        <w:t>The Assisted Reproductive Technology Storage Funding Program supports patients who face extra costs to preserve their fertility, for future treatment such as in-vitro fertilisation, because they have cancer or are at risk of passing on a genetic condition. The program gives funding to help with the cost of freezing eggs, sperm or embryos (cryostorage).</w:t>
      </w:r>
    </w:p>
    <w:p w14:paraId="603B844D" w14:textId="77777777" w:rsidR="00DD5D3A" w:rsidRDefault="00DD5D3A" w:rsidP="00DD5D3A">
      <w:pPr>
        <w:pStyle w:val="BodyText"/>
      </w:pPr>
      <w:r>
        <w:lastRenderedPageBreak/>
        <w:t>Table 18 shows the total participating organisation sites, valid claims and funds paid from 2023–24 to 2024–25.</w:t>
      </w:r>
    </w:p>
    <w:p w14:paraId="664F79FA" w14:textId="37300BD9" w:rsidR="00DD5D3A" w:rsidRPr="00DD5D3A" w:rsidRDefault="003157F9" w:rsidP="00DD5D3A">
      <w:pPr>
        <w:pStyle w:val="BodyText"/>
        <w:rPr>
          <w:b/>
          <w:bCs/>
        </w:rPr>
      </w:pPr>
      <w:r>
        <w:rPr>
          <w:b/>
          <w:bCs/>
        </w:rPr>
        <w:t>Table 18:</w:t>
      </w:r>
      <w:r w:rsidR="00DD5D3A" w:rsidRPr="00DD5D3A">
        <w:rPr>
          <w:b/>
          <w:bCs/>
        </w:rPr>
        <w:t xml:space="preserve"> Assisted Reproductive Technology Storage Funding Program participation and payments</w:t>
      </w:r>
    </w:p>
    <w:tbl>
      <w:tblPr>
        <w:tblStyle w:val="TableGrid"/>
        <w:tblW w:w="5000" w:type="pct"/>
        <w:tblLook w:val="04A0" w:firstRow="1" w:lastRow="0" w:firstColumn="1" w:lastColumn="0" w:noHBand="0" w:noVBand="1"/>
        <w:tblCaption w:val="Assisted Reproductive Technology Storage Funding Program participation and payments"/>
      </w:tblPr>
      <w:tblGrid>
        <w:gridCol w:w="7030"/>
        <w:gridCol w:w="2033"/>
        <w:gridCol w:w="2033"/>
      </w:tblGrid>
      <w:tr w:rsidR="00DD5D3A" w14:paraId="43EF4FC6" w14:textId="77777777" w:rsidTr="005875A4">
        <w:trPr>
          <w:trHeight w:val="396"/>
          <w:tblHeader/>
        </w:trPr>
        <w:tc>
          <w:tcPr>
            <w:tcW w:w="3168" w:type="pct"/>
          </w:tcPr>
          <w:p w14:paraId="12075D44" w14:textId="77777777" w:rsidR="00DD5D3A" w:rsidRPr="005E0F63" w:rsidRDefault="00DD5D3A" w:rsidP="005E0F63">
            <w:pPr>
              <w:pStyle w:val="BodyText"/>
              <w:rPr>
                <w:b/>
                <w:bCs/>
              </w:rPr>
            </w:pPr>
          </w:p>
        </w:tc>
        <w:tc>
          <w:tcPr>
            <w:tcW w:w="916" w:type="pct"/>
          </w:tcPr>
          <w:p w14:paraId="3F91AD54" w14:textId="77777777" w:rsidR="00DD5D3A" w:rsidRPr="005E0F63" w:rsidRDefault="00DD5D3A" w:rsidP="005E0F63">
            <w:pPr>
              <w:pStyle w:val="BodyText"/>
              <w:rPr>
                <w:b/>
                <w:bCs/>
              </w:rPr>
            </w:pPr>
            <w:r w:rsidRPr="005E0F63">
              <w:rPr>
                <w:b/>
                <w:bCs/>
              </w:rPr>
              <w:t>2023–24</w:t>
            </w:r>
          </w:p>
        </w:tc>
        <w:tc>
          <w:tcPr>
            <w:tcW w:w="916" w:type="pct"/>
          </w:tcPr>
          <w:p w14:paraId="52B34F20" w14:textId="77777777" w:rsidR="00DD5D3A" w:rsidRPr="005E0F63" w:rsidRDefault="00DD5D3A" w:rsidP="005E0F63">
            <w:pPr>
              <w:pStyle w:val="BodyText"/>
              <w:rPr>
                <w:b/>
                <w:bCs/>
              </w:rPr>
            </w:pPr>
            <w:r w:rsidRPr="005E0F63">
              <w:rPr>
                <w:b/>
                <w:bCs/>
              </w:rPr>
              <w:t>2024–25</w:t>
            </w:r>
          </w:p>
        </w:tc>
      </w:tr>
      <w:tr w:rsidR="00DD5D3A" w14:paraId="54D1D20C" w14:textId="77777777" w:rsidTr="006A0585">
        <w:trPr>
          <w:trHeight w:val="396"/>
        </w:trPr>
        <w:tc>
          <w:tcPr>
            <w:tcW w:w="3168" w:type="pct"/>
          </w:tcPr>
          <w:p w14:paraId="4ED42DE7" w14:textId="77777777" w:rsidR="00DD5D3A" w:rsidRDefault="00DD5D3A" w:rsidP="005E0F63">
            <w:pPr>
              <w:pStyle w:val="BodyText"/>
            </w:pPr>
            <w:r>
              <w:t>Participating organisation sites</w:t>
            </w:r>
          </w:p>
        </w:tc>
        <w:tc>
          <w:tcPr>
            <w:tcW w:w="916" w:type="pct"/>
          </w:tcPr>
          <w:p w14:paraId="3CF1E1FE" w14:textId="77777777" w:rsidR="00DD5D3A" w:rsidRDefault="00DD5D3A" w:rsidP="005E0F63">
            <w:pPr>
              <w:pStyle w:val="BodyText"/>
            </w:pPr>
            <w:r>
              <w:t>26</w:t>
            </w:r>
          </w:p>
        </w:tc>
        <w:tc>
          <w:tcPr>
            <w:tcW w:w="916" w:type="pct"/>
          </w:tcPr>
          <w:p w14:paraId="26779668" w14:textId="77777777" w:rsidR="00DD5D3A" w:rsidRDefault="00DD5D3A" w:rsidP="005E0F63">
            <w:pPr>
              <w:pStyle w:val="BodyText"/>
            </w:pPr>
            <w:r>
              <w:t>35</w:t>
            </w:r>
          </w:p>
        </w:tc>
      </w:tr>
      <w:tr w:rsidR="00DD5D3A" w14:paraId="3A7CAEB7" w14:textId="77777777" w:rsidTr="006A0585">
        <w:trPr>
          <w:trHeight w:val="396"/>
        </w:trPr>
        <w:tc>
          <w:tcPr>
            <w:tcW w:w="3168" w:type="pct"/>
          </w:tcPr>
          <w:p w14:paraId="1073EE07" w14:textId="77777777" w:rsidR="00DD5D3A" w:rsidRDefault="00DD5D3A" w:rsidP="005E0F63">
            <w:pPr>
              <w:pStyle w:val="BodyText"/>
            </w:pPr>
            <w:r>
              <w:rPr>
                <w:rStyle w:val="Bold"/>
                <w:b w:val="0"/>
                <w:bCs w:val="0"/>
              </w:rPr>
              <w:t xml:space="preserve">Valid claims </w:t>
            </w:r>
          </w:p>
        </w:tc>
        <w:tc>
          <w:tcPr>
            <w:tcW w:w="916" w:type="pct"/>
          </w:tcPr>
          <w:p w14:paraId="4A7F49F3" w14:textId="77777777" w:rsidR="00DD5D3A" w:rsidRDefault="00DD5D3A" w:rsidP="005E0F63">
            <w:pPr>
              <w:pStyle w:val="BodyText"/>
            </w:pPr>
            <w:r>
              <w:t>190</w:t>
            </w:r>
          </w:p>
        </w:tc>
        <w:tc>
          <w:tcPr>
            <w:tcW w:w="916" w:type="pct"/>
          </w:tcPr>
          <w:p w14:paraId="1044CD17" w14:textId="77777777" w:rsidR="00DD5D3A" w:rsidRDefault="00DD5D3A" w:rsidP="005E0F63">
            <w:pPr>
              <w:pStyle w:val="BodyText"/>
            </w:pPr>
            <w:r>
              <w:t>1,917</w:t>
            </w:r>
          </w:p>
        </w:tc>
      </w:tr>
      <w:tr w:rsidR="00DD5D3A" w14:paraId="3E4C07D2" w14:textId="77777777" w:rsidTr="006A0585">
        <w:trPr>
          <w:trHeight w:val="396"/>
        </w:trPr>
        <w:tc>
          <w:tcPr>
            <w:tcW w:w="3168" w:type="pct"/>
          </w:tcPr>
          <w:p w14:paraId="5C4787A2" w14:textId="77777777" w:rsidR="00DD5D3A" w:rsidRDefault="00DD5D3A" w:rsidP="005E0F63">
            <w:pPr>
              <w:pStyle w:val="BodyText"/>
            </w:pPr>
            <w:r>
              <w:rPr>
                <w:rStyle w:val="Bold"/>
                <w:b w:val="0"/>
                <w:bCs w:val="0"/>
              </w:rPr>
              <w:t>Funds paid</w:t>
            </w:r>
          </w:p>
        </w:tc>
        <w:tc>
          <w:tcPr>
            <w:tcW w:w="916" w:type="pct"/>
          </w:tcPr>
          <w:p w14:paraId="3F2B33EF" w14:textId="77777777" w:rsidR="00DD5D3A" w:rsidRDefault="00DD5D3A" w:rsidP="005E0F63">
            <w:pPr>
              <w:pStyle w:val="BodyText"/>
            </w:pPr>
            <w:r>
              <w:t>$34,400</w:t>
            </w:r>
          </w:p>
        </w:tc>
        <w:tc>
          <w:tcPr>
            <w:tcW w:w="916" w:type="pct"/>
          </w:tcPr>
          <w:p w14:paraId="777428BE" w14:textId="77777777" w:rsidR="00DD5D3A" w:rsidRDefault="00DD5D3A" w:rsidP="005E0F63">
            <w:pPr>
              <w:pStyle w:val="BodyText"/>
            </w:pPr>
            <w:r>
              <w:t>$471,600</w:t>
            </w:r>
          </w:p>
        </w:tc>
      </w:tr>
    </w:tbl>
    <w:p w14:paraId="50E69BA9" w14:textId="77777777" w:rsidR="00DD5D3A" w:rsidRDefault="00DD5D3A" w:rsidP="00DD5D3A">
      <w:pPr>
        <w:pStyle w:val="Heading2"/>
        <w:spacing w:after="113"/>
      </w:pPr>
      <w:r>
        <w:t>Health care provider incentives</w:t>
      </w:r>
    </w:p>
    <w:p w14:paraId="39EE8D78" w14:textId="77777777" w:rsidR="00DD5D3A" w:rsidRDefault="00DD5D3A" w:rsidP="00DD5D3A">
      <w:pPr>
        <w:pStyle w:val="Heading3"/>
      </w:pPr>
      <w:r>
        <w:t>MyMedicare practice incentives</w:t>
      </w:r>
    </w:p>
    <w:p w14:paraId="0FB5FDBA" w14:textId="77777777" w:rsidR="00DD5D3A" w:rsidRDefault="00DD5D3A" w:rsidP="00DD5D3A">
      <w:pPr>
        <w:pStyle w:val="BodyText"/>
      </w:pPr>
      <w:r>
        <w:t>MyMedicare is a voluntary patient registration program that strengthens the relationship between patients and their general practitioner (GP). Formalising these relationships supports improved health outcomes through establishing continuity of care in general practice and delivering incentives to achieve these outcomes.</w:t>
      </w:r>
    </w:p>
    <w:p w14:paraId="53D386D6" w14:textId="77777777" w:rsidR="00DD5D3A" w:rsidRDefault="00DD5D3A" w:rsidP="00DD5D3A">
      <w:pPr>
        <w:pStyle w:val="BodyText"/>
      </w:pPr>
      <w:r>
        <w:t>The General Practice in Aged Care Incentive (GPACI) commenced on 1 July 2024. Eligible GPs and practices registered with both MyMedicare and GPACI can receive incentive payments for providing regular visits and care planning to older people living in aged care. As at 30 June 2025, 1,744 eligible practices have registered to deliver the GPACI with a total value of $23.7 million paid to practices and providers.</w:t>
      </w:r>
    </w:p>
    <w:p w14:paraId="74E89768" w14:textId="77777777" w:rsidR="00DD5D3A" w:rsidRDefault="00DD5D3A" w:rsidP="00DD5D3A">
      <w:pPr>
        <w:pStyle w:val="BodyText"/>
      </w:pPr>
      <w:r>
        <w:t>Table 19 shows the number of participating MyMedicare practices, patients and providers from 2023–24 to 2024–25.</w:t>
      </w:r>
    </w:p>
    <w:p w14:paraId="1A055E8E" w14:textId="39AB122E" w:rsidR="00DD5D3A" w:rsidRPr="00DD5D3A" w:rsidRDefault="005E0F63" w:rsidP="00DD5D3A">
      <w:pPr>
        <w:pStyle w:val="BodyText"/>
        <w:rPr>
          <w:b/>
          <w:bCs/>
        </w:rPr>
      </w:pPr>
      <w:r>
        <w:rPr>
          <w:b/>
          <w:bCs/>
        </w:rPr>
        <w:t>Table 19:</w:t>
      </w:r>
      <w:r w:rsidR="00DD5D3A" w:rsidRPr="00DD5D3A">
        <w:rPr>
          <w:b/>
          <w:bCs/>
        </w:rPr>
        <w:t xml:space="preserve"> MyMedicare registrations</w:t>
      </w:r>
    </w:p>
    <w:tbl>
      <w:tblPr>
        <w:tblStyle w:val="TableGrid"/>
        <w:tblW w:w="5000" w:type="pct"/>
        <w:tblLook w:val="04A0" w:firstRow="1" w:lastRow="0" w:firstColumn="1" w:lastColumn="0" w:noHBand="0" w:noVBand="1"/>
        <w:tblCaption w:val="MyMedicare registrations"/>
      </w:tblPr>
      <w:tblGrid>
        <w:gridCol w:w="7030"/>
        <w:gridCol w:w="2033"/>
        <w:gridCol w:w="2033"/>
      </w:tblGrid>
      <w:tr w:rsidR="00DD5D3A" w14:paraId="71784BDC" w14:textId="77777777" w:rsidTr="005875A4">
        <w:trPr>
          <w:trHeight w:val="396"/>
          <w:tblHeader/>
        </w:trPr>
        <w:tc>
          <w:tcPr>
            <w:tcW w:w="3168" w:type="pct"/>
          </w:tcPr>
          <w:p w14:paraId="5B09251B" w14:textId="77777777" w:rsidR="00DD5D3A" w:rsidRPr="005E0F63" w:rsidRDefault="00DD5D3A" w:rsidP="005E0F63">
            <w:pPr>
              <w:pStyle w:val="BodyText"/>
              <w:rPr>
                <w:b/>
                <w:bCs/>
              </w:rPr>
            </w:pPr>
          </w:p>
        </w:tc>
        <w:tc>
          <w:tcPr>
            <w:tcW w:w="916" w:type="pct"/>
          </w:tcPr>
          <w:p w14:paraId="08E16D81" w14:textId="77777777" w:rsidR="00DD5D3A" w:rsidRPr="005E0F63" w:rsidRDefault="00DD5D3A" w:rsidP="005E0F63">
            <w:pPr>
              <w:pStyle w:val="BodyText"/>
              <w:rPr>
                <w:b/>
                <w:bCs/>
              </w:rPr>
            </w:pPr>
            <w:r w:rsidRPr="005E0F63">
              <w:rPr>
                <w:b/>
                <w:bCs/>
              </w:rPr>
              <w:t>2023–24</w:t>
            </w:r>
          </w:p>
        </w:tc>
        <w:tc>
          <w:tcPr>
            <w:tcW w:w="916" w:type="pct"/>
          </w:tcPr>
          <w:p w14:paraId="4B32A888" w14:textId="77777777" w:rsidR="00DD5D3A" w:rsidRPr="005E0F63" w:rsidRDefault="00DD5D3A" w:rsidP="005E0F63">
            <w:pPr>
              <w:pStyle w:val="BodyText"/>
              <w:rPr>
                <w:b/>
                <w:bCs/>
              </w:rPr>
            </w:pPr>
            <w:r w:rsidRPr="005E0F63">
              <w:rPr>
                <w:b/>
                <w:bCs/>
              </w:rPr>
              <w:t>2024–25</w:t>
            </w:r>
          </w:p>
        </w:tc>
      </w:tr>
      <w:tr w:rsidR="00DD5D3A" w14:paraId="7E78B774" w14:textId="77777777" w:rsidTr="006A0585">
        <w:trPr>
          <w:trHeight w:val="396"/>
        </w:trPr>
        <w:tc>
          <w:tcPr>
            <w:tcW w:w="3168" w:type="pct"/>
          </w:tcPr>
          <w:p w14:paraId="2F032AB0" w14:textId="77777777" w:rsidR="00DD5D3A" w:rsidRDefault="00DD5D3A" w:rsidP="005E0F63">
            <w:pPr>
              <w:pStyle w:val="BodyText"/>
            </w:pPr>
            <w:r>
              <w:t xml:space="preserve">Number of patients registered </w:t>
            </w:r>
          </w:p>
        </w:tc>
        <w:tc>
          <w:tcPr>
            <w:tcW w:w="916" w:type="pct"/>
          </w:tcPr>
          <w:p w14:paraId="27896DD7" w14:textId="77777777" w:rsidR="00DD5D3A" w:rsidRDefault="00DD5D3A" w:rsidP="005E0F63">
            <w:pPr>
              <w:pStyle w:val="BodyText"/>
            </w:pPr>
            <w:r>
              <w:t>1.3 million</w:t>
            </w:r>
          </w:p>
        </w:tc>
        <w:tc>
          <w:tcPr>
            <w:tcW w:w="916" w:type="pct"/>
          </w:tcPr>
          <w:p w14:paraId="5E47AB05" w14:textId="77777777" w:rsidR="00DD5D3A" w:rsidRDefault="00DD5D3A" w:rsidP="005E0F63">
            <w:pPr>
              <w:pStyle w:val="BodyText"/>
            </w:pPr>
            <w:r>
              <w:t xml:space="preserve"> 3.2 million</w:t>
            </w:r>
          </w:p>
        </w:tc>
      </w:tr>
      <w:tr w:rsidR="00DD5D3A" w14:paraId="0EB0E5AE" w14:textId="77777777" w:rsidTr="006A0585">
        <w:trPr>
          <w:trHeight w:val="396"/>
        </w:trPr>
        <w:tc>
          <w:tcPr>
            <w:tcW w:w="3168" w:type="pct"/>
          </w:tcPr>
          <w:p w14:paraId="7822D8C5" w14:textId="77777777" w:rsidR="00DD5D3A" w:rsidRDefault="00DD5D3A" w:rsidP="005E0F63">
            <w:pPr>
              <w:pStyle w:val="BodyText"/>
            </w:pPr>
            <w:r>
              <w:rPr>
                <w:rStyle w:val="Bold"/>
                <w:b w:val="0"/>
                <w:bCs w:val="0"/>
              </w:rPr>
              <w:t>Number of practices registered</w:t>
            </w:r>
          </w:p>
        </w:tc>
        <w:tc>
          <w:tcPr>
            <w:tcW w:w="916" w:type="pct"/>
          </w:tcPr>
          <w:p w14:paraId="6BE2F2AD" w14:textId="77777777" w:rsidR="00DD5D3A" w:rsidRDefault="00DD5D3A" w:rsidP="005E0F63">
            <w:pPr>
              <w:pStyle w:val="BodyText"/>
            </w:pPr>
            <w:r>
              <w:t>5,863</w:t>
            </w:r>
          </w:p>
        </w:tc>
        <w:tc>
          <w:tcPr>
            <w:tcW w:w="916" w:type="pct"/>
          </w:tcPr>
          <w:p w14:paraId="7C84D373" w14:textId="77777777" w:rsidR="00DD5D3A" w:rsidRDefault="00DD5D3A" w:rsidP="005E0F63">
            <w:pPr>
              <w:pStyle w:val="BodyText"/>
            </w:pPr>
            <w:r>
              <w:t xml:space="preserve"> 6,654</w:t>
            </w:r>
          </w:p>
        </w:tc>
      </w:tr>
      <w:tr w:rsidR="00DD5D3A" w14:paraId="20DB341B" w14:textId="77777777" w:rsidTr="006A0585">
        <w:trPr>
          <w:trHeight w:val="396"/>
        </w:trPr>
        <w:tc>
          <w:tcPr>
            <w:tcW w:w="3168" w:type="pct"/>
          </w:tcPr>
          <w:p w14:paraId="33680447" w14:textId="77777777" w:rsidR="00DD5D3A" w:rsidRDefault="00DD5D3A" w:rsidP="005E0F63">
            <w:pPr>
              <w:pStyle w:val="BodyText"/>
            </w:pPr>
            <w:r>
              <w:rPr>
                <w:rStyle w:val="Bold"/>
                <w:b w:val="0"/>
                <w:bCs w:val="0"/>
              </w:rPr>
              <w:t>Number of linked providers</w:t>
            </w:r>
          </w:p>
        </w:tc>
        <w:tc>
          <w:tcPr>
            <w:tcW w:w="916" w:type="pct"/>
          </w:tcPr>
          <w:p w14:paraId="3878D6E2" w14:textId="77777777" w:rsidR="00DD5D3A" w:rsidRDefault="00DD5D3A" w:rsidP="005E0F63">
            <w:pPr>
              <w:pStyle w:val="BodyText"/>
            </w:pPr>
            <w:r>
              <w:t>36,892</w:t>
            </w:r>
          </w:p>
        </w:tc>
        <w:tc>
          <w:tcPr>
            <w:tcW w:w="916" w:type="pct"/>
          </w:tcPr>
          <w:p w14:paraId="0ED873B2" w14:textId="77777777" w:rsidR="00DD5D3A" w:rsidRDefault="00DD5D3A" w:rsidP="005E0F63">
            <w:pPr>
              <w:pStyle w:val="BodyText"/>
            </w:pPr>
            <w:r>
              <w:t>53,489</w:t>
            </w:r>
          </w:p>
        </w:tc>
      </w:tr>
    </w:tbl>
    <w:p w14:paraId="5B3D6B39" w14:textId="77777777" w:rsidR="00DD5D3A" w:rsidRDefault="00DD5D3A" w:rsidP="00DD5D3A">
      <w:pPr>
        <w:pStyle w:val="Heading3"/>
      </w:pPr>
      <w:r>
        <w:t>Practice Incentives Program</w:t>
      </w:r>
    </w:p>
    <w:p w14:paraId="5E475261" w14:textId="77777777" w:rsidR="00DD5D3A" w:rsidRDefault="00DD5D3A" w:rsidP="00DD5D3A">
      <w:pPr>
        <w:pStyle w:val="BodyText"/>
      </w:pPr>
      <w:r>
        <w:t>The Practice Incentives Program encourages general practices to continue providing quality care, enhance capacity and improve access and health outcomes for patients. Payments are made through the program to eligible general practices and individual providers.</w:t>
      </w:r>
    </w:p>
    <w:p w14:paraId="713049EC" w14:textId="77777777" w:rsidR="00DD5D3A" w:rsidRDefault="00DD5D3A" w:rsidP="00DD5D3A">
      <w:pPr>
        <w:pStyle w:val="BodyText"/>
      </w:pPr>
      <w:r>
        <w:t>Table 20 shows numbers of participating practices and the amount paid from 2022–23 to 2024–25.</w:t>
      </w:r>
    </w:p>
    <w:p w14:paraId="6490D825" w14:textId="3CA02BAF" w:rsidR="00DD5D3A" w:rsidRPr="00DD5D3A" w:rsidRDefault="005E0F63" w:rsidP="00DD5D3A">
      <w:pPr>
        <w:pStyle w:val="BodyText"/>
        <w:rPr>
          <w:b/>
          <w:bCs/>
        </w:rPr>
      </w:pPr>
      <w:r>
        <w:rPr>
          <w:b/>
          <w:bCs/>
        </w:rPr>
        <w:t>Table20:</w:t>
      </w:r>
      <w:r w:rsidR="00DD5D3A" w:rsidRPr="00DD5D3A">
        <w:rPr>
          <w:b/>
          <w:bCs/>
        </w:rPr>
        <w:t xml:space="preserve"> Practice Incentives Program participation and payments</w:t>
      </w:r>
    </w:p>
    <w:tbl>
      <w:tblPr>
        <w:tblStyle w:val="TableGrid"/>
        <w:tblW w:w="5000" w:type="pct"/>
        <w:tblLook w:val="04A0" w:firstRow="1" w:lastRow="0" w:firstColumn="1" w:lastColumn="0" w:noHBand="0" w:noVBand="1"/>
        <w:tblCaption w:val=" Practice Incentives Program participation and payments"/>
      </w:tblPr>
      <w:tblGrid>
        <w:gridCol w:w="4997"/>
        <w:gridCol w:w="2033"/>
        <w:gridCol w:w="2033"/>
        <w:gridCol w:w="2033"/>
      </w:tblGrid>
      <w:tr w:rsidR="00DD5D3A" w14:paraId="5A618208" w14:textId="77777777" w:rsidTr="005875A4">
        <w:trPr>
          <w:trHeight w:val="396"/>
          <w:tblHeader/>
        </w:trPr>
        <w:tc>
          <w:tcPr>
            <w:tcW w:w="2252" w:type="pct"/>
          </w:tcPr>
          <w:p w14:paraId="23C0F58F" w14:textId="77777777" w:rsidR="00DD5D3A" w:rsidRPr="005E0F63" w:rsidRDefault="00DD5D3A" w:rsidP="005E0F63">
            <w:pPr>
              <w:pStyle w:val="BodyText"/>
              <w:rPr>
                <w:b/>
                <w:bCs/>
              </w:rPr>
            </w:pPr>
          </w:p>
        </w:tc>
        <w:tc>
          <w:tcPr>
            <w:tcW w:w="916" w:type="pct"/>
          </w:tcPr>
          <w:p w14:paraId="3C993AED" w14:textId="77777777" w:rsidR="00DD5D3A" w:rsidRPr="005E0F63" w:rsidRDefault="00DD5D3A" w:rsidP="005E0F63">
            <w:pPr>
              <w:pStyle w:val="BodyText"/>
              <w:rPr>
                <w:b/>
                <w:bCs/>
              </w:rPr>
            </w:pPr>
            <w:r w:rsidRPr="005E0F63">
              <w:rPr>
                <w:b/>
                <w:bCs/>
              </w:rPr>
              <w:t>2022–23</w:t>
            </w:r>
          </w:p>
        </w:tc>
        <w:tc>
          <w:tcPr>
            <w:tcW w:w="916" w:type="pct"/>
          </w:tcPr>
          <w:p w14:paraId="5D7676FA" w14:textId="77777777" w:rsidR="00DD5D3A" w:rsidRPr="005E0F63" w:rsidRDefault="00DD5D3A" w:rsidP="005E0F63">
            <w:pPr>
              <w:pStyle w:val="BodyText"/>
              <w:rPr>
                <w:b/>
                <w:bCs/>
              </w:rPr>
            </w:pPr>
            <w:r w:rsidRPr="005E0F63">
              <w:rPr>
                <w:b/>
                <w:bCs/>
              </w:rPr>
              <w:t>2023–24</w:t>
            </w:r>
          </w:p>
        </w:tc>
        <w:tc>
          <w:tcPr>
            <w:tcW w:w="916" w:type="pct"/>
          </w:tcPr>
          <w:p w14:paraId="24BF4FB4" w14:textId="77777777" w:rsidR="00DD5D3A" w:rsidRPr="005E0F63" w:rsidRDefault="00DD5D3A" w:rsidP="005E0F63">
            <w:pPr>
              <w:pStyle w:val="BodyText"/>
              <w:rPr>
                <w:b/>
                <w:bCs/>
              </w:rPr>
            </w:pPr>
            <w:r w:rsidRPr="005E0F63">
              <w:rPr>
                <w:b/>
                <w:bCs/>
              </w:rPr>
              <w:t>2024–25</w:t>
            </w:r>
          </w:p>
        </w:tc>
      </w:tr>
      <w:tr w:rsidR="00DD5D3A" w14:paraId="08F3EAF2" w14:textId="77777777" w:rsidTr="006A0585">
        <w:trPr>
          <w:trHeight w:val="396"/>
        </w:trPr>
        <w:tc>
          <w:tcPr>
            <w:tcW w:w="2252" w:type="pct"/>
          </w:tcPr>
          <w:p w14:paraId="69C65E58" w14:textId="77777777" w:rsidR="00DD5D3A" w:rsidRDefault="00DD5D3A" w:rsidP="005E0F63">
            <w:pPr>
              <w:pStyle w:val="BodyText"/>
            </w:pPr>
            <w:r>
              <w:t>Number of practices participating</w:t>
            </w:r>
          </w:p>
        </w:tc>
        <w:tc>
          <w:tcPr>
            <w:tcW w:w="916" w:type="pct"/>
          </w:tcPr>
          <w:p w14:paraId="7A1E5651" w14:textId="77777777" w:rsidR="00DD5D3A" w:rsidRDefault="00DD5D3A" w:rsidP="005E0F63">
            <w:pPr>
              <w:pStyle w:val="BodyText"/>
            </w:pPr>
            <w:r>
              <w:t>6,422</w:t>
            </w:r>
          </w:p>
        </w:tc>
        <w:tc>
          <w:tcPr>
            <w:tcW w:w="916" w:type="pct"/>
          </w:tcPr>
          <w:p w14:paraId="78E26765" w14:textId="77777777" w:rsidR="00DD5D3A" w:rsidRDefault="00DD5D3A" w:rsidP="005E0F63">
            <w:pPr>
              <w:pStyle w:val="BodyText"/>
            </w:pPr>
            <w:r>
              <w:t>6,495</w:t>
            </w:r>
          </w:p>
        </w:tc>
        <w:tc>
          <w:tcPr>
            <w:tcW w:w="916" w:type="pct"/>
          </w:tcPr>
          <w:p w14:paraId="20A58534" w14:textId="77777777" w:rsidR="00DD5D3A" w:rsidRDefault="00DD5D3A" w:rsidP="005E0F63">
            <w:pPr>
              <w:pStyle w:val="BodyText"/>
            </w:pPr>
            <w:r>
              <w:t xml:space="preserve">6,593 </w:t>
            </w:r>
          </w:p>
        </w:tc>
      </w:tr>
      <w:tr w:rsidR="00DD5D3A" w14:paraId="1640249A" w14:textId="77777777" w:rsidTr="006A0585">
        <w:trPr>
          <w:trHeight w:val="396"/>
        </w:trPr>
        <w:tc>
          <w:tcPr>
            <w:tcW w:w="2252" w:type="pct"/>
          </w:tcPr>
          <w:p w14:paraId="1088EB3B" w14:textId="77777777" w:rsidR="00DD5D3A" w:rsidRDefault="00DD5D3A" w:rsidP="005E0F63">
            <w:pPr>
              <w:pStyle w:val="BodyText"/>
            </w:pPr>
            <w:r>
              <w:rPr>
                <w:rStyle w:val="Bold"/>
                <w:b w:val="0"/>
                <w:bCs w:val="0"/>
              </w:rPr>
              <w:t>Amount paid to practices</w:t>
            </w:r>
          </w:p>
        </w:tc>
        <w:tc>
          <w:tcPr>
            <w:tcW w:w="916" w:type="pct"/>
          </w:tcPr>
          <w:p w14:paraId="6FB4FB71" w14:textId="77777777" w:rsidR="00DD5D3A" w:rsidRDefault="00DD5D3A" w:rsidP="005E0F63">
            <w:pPr>
              <w:pStyle w:val="BodyText"/>
            </w:pPr>
            <w:r>
              <w:t xml:space="preserve">$449.9 million </w:t>
            </w:r>
          </w:p>
        </w:tc>
        <w:tc>
          <w:tcPr>
            <w:tcW w:w="916" w:type="pct"/>
          </w:tcPr>
          <w:p w14:paraId="0D1F030F" w14:textId="77777777" w:rsidR="00DD5D3A" w:rsidRDefault="00DD5D3A" w:rsidP="005E0F63">
            <w:pPr>
              <w:pStyle w:val="BodyText"/>
            </w:pPr>
            <w:r>
              <w:t xml:space="preserve">$433.8 million </w:t>
            </w:r>
          </w:p>
        </w:tc>
        <w:tc>
          <w:tcPr>
            <w:tcW w:w="916" w:type="pct"/>
          </w:tcPr>
          <w:p w14:paraId="79C5043A" w14:textId="77777777" w:rsidR="00DD5D3A" w:rsidRDefault="00DD5D3A" w:rsidP="005E0F63">
            <w:pPr>
              <w:pStyle w:val="BodyText"/>
            </w:pPr>
            <w:r>
              <w:t xml:space="preserve">$421.7 million </w:t>
            </w:r>
          </w:p>
        </w:tc>
      </w:tr>
    </w:tbl>
    <w:p w14:paraId="221CA7ED" w14:textId="77777777" w:rsidR="00DD5D3A" w:rsidRDefault="00DD5D3A" w:rsidP="00DD5D3A">
      <w:pPr>
        <w:pStyle w:val="Heading3"/>
      </w:pPr>
      <w:r>
        <w:t>Workforce Incentive Program – Practice Stream</w:t>
      </w:r>
    </w:p>
    <w:p w14:paraId="4062F502" w14:textId="77777777" w:rsidR="00DD5D3A" w:rsidRDefault="00DD5D3A" w:rsidP="00DD5D3A">
      <w:pPr>
        <w:pStyle w:val="BodyText"/>
      </w:pPr>
      <w:r>
        <w:t>The Workforce Incentive Program – Practice Stream gives financial incentives to support the growth of team-based multidisciplinary care models for eligible general practices. Payments are made to general practices that employ nurses, midwives, Aboriginal and Torres Strait Islander health workers and health practitioners, and other specified health professionals in multidisciplinary and team-based primary health care across Australia.</w:t>
      </w:r>
    </w:p>
    <w:p w14:paraId="2F5E1343" w14:textId="77777777" w:rsidR="00DD5D3A" w:rsidRDefault="00DD5D3A" w:rsidP="00DD5D3A">
      <w:pPr>
        <w:pStyle w:val="BodyText"/>
      </w:pPr>
      <w:r>
        <w:t>Table 21 shows numbers of participating practices and the amount paid from 2022–23 to 2024–25.</w:t>
      </w:r>
    </w:p>
    <w:p w14:paraId="4715BA65" w14:textId="7EFA9932" w:rsidR="00DD5D3A" w:rsidRPr="00DD5D3A" w:rsidRDefault="005E0F63" w:rsidP="00DD5D3A">
      <w:pPr>
        <w:pStyle w:val="BodyText"/>
        <w:rPr>
          <w:b/>
          <w:bCs/>
        </w:rPr>
      </w:pPr>
      <w:r>
        <w:rPr>
          <w:b/>
          <w:bCs/>
        </w:rPr>
        <w:t>Table 21:</w:t>
      </w:r>
      <w:r w:rsidR="00DD5D3A" w:rsidRPr="00DD5D3A">
        <w:rPr>
          <w:b/>
          <w:bCs/>
        </w:rPr>
        <w:t xml:space="preserve"> Workforce Incentive Program – Practice Stream participation and payments </w:t>
      </w:r>
    </w:p>
    <w:tbl>
      <w:tblPr>
        <w:tblStyle w:val="TableGrid"/>
        <w:tblW w:w="5000" w:type="pct"/>
        <w:tblLook w:val="04A0" w:firstRow="1" w:lastRow="0" w:firstColumn="1" w:lastColumn="0" w:noHBand="0" w:noVBand="1"/>
        <w:tblCaption w:val="Workforce Incentive Program – Practice Stream participation and payments "/>
      </w:tblPr>
      <w:tblGrid>
        <w:gridCol w:w="4997"/>
        <w:gridCol w:w="2033"/>
        <w:gridCol w:w="2033"/>
        <w:gridCol w:w="2033"/>
      </w:tblGrid>
      <w:tr w:rsidR="00DD5D3A" w14:paraId="1B884BA0" w14:textId="77777777" w:rsidTr="005875A4">
        <w:trPr>
          <w:trHeight w:val="396"/>
          <w:tblHeader/>
        </w:trPr>
        <w:tc>
          <w:tcPr>
            <w:tcW w:w="2252" w:type="pct"/>
          </w:tcPr>
          <w:p w14:paraId="279C925B" w14:textId="77777777" w:rsidR="00DD5D3A" w:rsidRPr="005E0F63" w:rsidRDefault="00DD5D3A" w:rsidP="005E0F63">
            <w:pPr>
              <w:pStyle w:val="BodyText"/>
              <w:rPr>
                <w:b/>
                <w:bCs/>
              </w:rPr>
            </w:pPr>
          </w:p>
        </w:tc>
        <w:tc>
          <w:tcPr>
            <w:tcW w:w="916" w:type="pct"/>
          </w:tcPr>
          <w:p w14:paraId="3CA7627C" w14:textId="77777777" w:rsidR="00DD5D3A" w:rsidRPr="005E0F63" w:rsidRDefault="00DD5D3A" w:rsidP="005E0F63">
            <w:pPr>
              <w:pStyle w:val="BodyText"/>
              <w:rPr>
                <w:b/>
                <w:bCs/>
              </w:rPr>
            </w:pPr>
            <w:r w:rsidRPr="005E0F63">
              <w:rPr>
                <w:b/>
                <w:bCs/>
              </w:rPr>
              <w:t>2022–23</w:t>
            </w:r>
          </w:p>
        </w:tc>
        <w:tc>
          <w:tcPr>
            <w:tcW w:w="916" w:type="pct"/>
          </w:tcPr>
          <w:p w14:paraId="7C79F613" w14:textId="77777777" w:rsidR="00DD5D3A" w:rsidRPr="005E0F63" w:rsidRDefault="00DD5D3A" w:rsidP="005E0F63">
            <w:pPr>
              <w:pStyle w:val="BodyText"/>
              <w:rPr>
                <w:b/>
                <w:bCs/>
              </w:rPr>
            </w:pPr>
            <w:r w:rsidRPr="005E0F63">
              <w:rPr>
                <w:b/>
                <w:bCs/>
              </w:rPr>
              <w:t>2023–24</w:t>
            </w:r>
          </w:p>
        </w:tc>
        <w:tc>
          <w:tcPr>
            <w:tcW w:w="916" w:type="pct"/>
          </w:tcPr>
          <w:p w14:paraId="6DE23E98" w14:textId="77777777" w:rsidR="00DD5D3A" w:rsidRPr="005E0F63" w:rsidRDefault="00DD5D3A" w:rsidP="005E0F63">
            <w:pPr>
              <w:pStyle w:val="BodyText"/>
              <w:rPr>
                <w:b/>
                <w:bCs/>
              </w:rPr>
            </w:pPr>
            <w:r w:rsidRPr="005E0F63">
              <w:rPr>
                <w:b/>
                <w:bCs/>
              </w:rPr>
              <w:t xml:space="preserve">2024–25 </w:t>
            </w:r>
          </w:p>
        </w:tc>
      </w:tr>
      <w:tr w:rsidR="00DD5D3A" w14:paraId="3BD9839B" w14:textId="77777777" w:rsidTr="006A0585">
        <w:trPr>
          <w:trHeight w:val="396"/>
        </w:trPr>
        <w:tc>
          <w:tcPr>
            <w:tcW w:w="2252" w:type="pct"/>
          </w:tcPr>
          <w:p w14:paraId="56C9FD15" w14:textId="77777777" w:rsidR="00DD5D3A" w:rsidRDefault="00DD5D3A" w:rsidP="00874D7C">
            <w:pPr>
              <w:pStyle w:val="BodyText"/>
            </w:pPr>
            <w:r>
              <w:t>Number of practices participating</w:t>
            </w:r>
          </w:p>
        </w:tc>
        <w:tc>
          <w:tcPr>
            <w:tcW w:w="916" w:type="pct"/>
          </w:tcPr>
          <w:p w14:paraId="1DFF052B" w14:textId="77777777" w:rsidR="00DD5D3A" w:rsidRDefault="00DD5D3A" w:rsidP="00874D7C">
            <w:pPr>
              <w:pStyle w:val="BodyText"/>
              <w:jc w:val="right"/>
            </w:pPr>
            <w:r>
              <w:t>5,849</w:t>
            </w:r>
          </w:p>
        </w:tc>
        <w:tc>
          <w:tcPr>
            <w:tcW w:w="916" w:type="pct"/>
          </w:tcPr>
          <w:p w14:paraId="5B7603BC" w14:textId="77777777" w:rsidR="00DD5D3A" w:rsidRDefault="00DD5D3A" w:rsidP="00874D7C">
            <w:pPr>
              <w:pStyle w:val="BodyText"/>
              <w:jc w:val="right"/>
            </w:pPr>
            <w:r>
              <w:t>5,900</w:t>
            </w:r>
          </w:p>
        </w:tc>
        <w:tc>
          <w:tcPr>
            <w:tcW w:w="916" w:type="pct"/>
          </w:tcPr>
          <w:p w14:paraId="597A1737" w14:textId="77777777" w:rsidR="00DD5D3A" w:rsidRDefault="00DD5D3A" w:rsidP="00874D7C">
            <w:pPr>
              <w:pStyle w:val="BodyText"/>
              <w:jc w:val="right"/>
            </w:pPr>
            <w:r>
              <w:t xml:space="preserve"> 5,986 </w:t>
            </w:r>
          </w:p>
        </w:tc>
      </w:tr>
      <w:tr w:rsidR="00DD5D3A" w14:paraId="2C340477" w14:textId="77777777" w:rsidTr="006A0585">
        <w:trPr>
          <w:trHeight w:val="396"/>
        </w:trPr>
        <w:tc>
          <w:tcPr>
            <w:tcW w:w="2252" w:type="pct"/>
          </w:tcPr>
          <w:p w14:paraId="229A96FE" w14:textId="77777777" w:rsidR="00DD5D3A" w:rsidRDefault="00DD5D3A" w:rsidP="00874D7C">
            <w:pPr>
              <w:pStyle w:val="BodyText"/>
            </w:pPr>
            <w:r>
              <w:rPr>
                <w:rStyle w:val="Bold"/>
                <w:b w:val="0"/>
                <w:bCs w:val="0"/>
              </w:rPr>
              <w:t>Amount paid to practices</w:t>
            </w:r>
            <w:r>
              <w:rPr>
                <w:rStyle w:val="Bold"/>
                <w:b w:val="0"/>
                <w:bCs w:val="0"/>
                <w:vertAlign w:val="superscript"/>
              </w:rPr>
              <w:t>(a)</w:t>
            </w:r>
          </w:p>
        </w:tc>
        <w:tc>
          <w:tcPr>
            <w:tcW w:w="916" w:type="pct"/>
          </w:tcPr>
          <w:p w14:paraId="1F9F6544" w14:textId="77777777" w:rsidR="00DD5D3A" w:rsidRDefault="00DD5D3A" w:rsidP="00874D7C">
            <w:pPr>
              <w:pStyle w:val="Tabletext-LHS"/>
            </w:pPr>
            <w:r>
              <w:t xml:space="preserve">$395.3 million </w:t>
            </w:r>
          </w:p>
        </w:tc>
        <w:tc>
          <w:tcPr>
            <w:tcW w:w="916" w:type="pct"/>
          </w:tcPr>
          <w:p w14:paraId="40FCB71F" w14:textId="77777777" w:rsidR="00DD5D3A" w:rsidRDefault="00DD5D3A" w:rsidP="00874D7C">
            <w:pPr>
              <w:pStyle w:val="Tabletext-LHS"/>
            </w:pPr>
            <w:r>
              <w:t xml:space="preserve">$491.4 million </w:t>
            </w:r>
          </w:p>
        </w:tc>
        <w:tc>
          <w:tcPr>
            <w:tcW w:w="916" w:type="pct"/>
          </w:tcPr>
          <w:p w14:paraId="3A09FCCD" w14:textId="77777777" w:rsidR="00DD5D3A" w:rsidRDefault="00DD5D3A" w:rsidP="00874D7C">
            <w:pPr>
              <w:pStyle w:val="Tabletext-LHS"/>
            </w:pPr>
            <w:r>
              <w:t xml:space="preserve">$520.4 million </w:t>
            </w:r>
          </w:p>
        </w:tc>
      </w:tr>
    </w:tbl>
    <w:p w14:paraId="15ECB569" w14:textId="700EBC1B" w:rsidR="00DD5D3A" w:rsidRDefault="005E0F63" w:rsidP="005E0F63">
      <w:pPr>
        <w:pStyle w:val="ProductCode"/>
      </w:pPr>
      <w:r w:rsidRPr="005E0F63">
        <w:t>(a</w:t>
      </w:r>
      <w:r>
        <w:t xml:space="preserve">) </w:t>
      </w:r>
      <w:r w:rsidR="00DD5D3A">
        <w:t>Amount paid to practices includes DVA loading paid to eligible practices.</w:t>
      </w:r>
    </w:p>
    <w:p w14:paraId="34F83D36" w14:textId="77777777" w:rsidR="00DD5D3A" w:rsidRDefault="00DD5D3A" w:rsidP="00DD5D3A">
      <w:pPr>
        <w:pStyle w:val="Heading3"/>
      </w:pPr>
      <w:r>
        <w:t xml:space="preserve">Workforce Incentive Program – Doctor Stream </w:t>
      </w:r>
    </w:p>
    <w:p w14:paraId="3250FFB5" w14:textId="77777777" w:rsidR="00DD5D3A" w:rsidRDefault="00DD5D3A" w:rsidP="00DD5D3A">
      <w:pPr>
        <w:pStyle w:val="BodyText"/>
      </w:pPr>
      <w:r>
        <w:t xml:space="preserve">The Workforce Incentive Program – Doctor Stream encourages medical practitioners to practise in rural and remote communities and to promote careers in rural medicine. </w:t>
      </w:r>
    </w:p>
    <w:p w14:paraId="686E9A58" w14:textId="77777777" w:rsidR="00DD5D3A" w:rsidRDefault="00DD5D3A" w:rsidP="00DD5D3A">
      <w:pPr>
        <w:pStyle w:val="BodyText"/>
      </w:pPr>
      <w:r>
        <w:t>Table 22 shows numbers of participating practitioners, payments and amount paid from 2022–23 to 2024–25.</w:t>
      </w:r>
    </w:p>
    <w:p w14:paraId="762408C4" w14:textId="7A28ED36" w:rsidR="00DD5D3A" w:rsidRPr="00DD5D3A" w:rsidRDefault="005E0F63" w:rsidP="00DD5D3A">
      <w:pPr>
        <w:pStyle w:val="BodyText"/>
        <w:rPr>
          <w:b/>
          <w:bCs/>
        </w:rPr>
      </w:pPr>
      <w:r>
        <w:rPr>
          <w:b/>
          <w:bCs/>
        </w:rPr>
        <w:t>Table 22:</w:t>
      </w:r>
      <w:r w:rsidR="00DD5D3A" w:rsidRPr="00DD5D3A">
        <w:rPr>
          <w:b/>
          <w:bCs/>
        </w:rPr>
        <w:t xml:space="preserve"> Workforce Incentive Program – Doctor Stream participation and payments</w:t>
      </w:r>
    </w:p>
    <w:tbl>
      <w:tblPr>
        <w:tblStyle w:val="TableGrid"/>
        <w:tblW w:w="5000" w:type="pct"/>
        <w:tblLook w:val="04A0" w:firstRow="1" w:lastRow="0" w:firstColumn="1" w:lastColumn="0" w:noHBand="0" w:noVBand="1"/>
        <w:tblCaption w:val="Workforce Incentive Program – Doctor Stream participation and payments"/>
      </w:tblPr>
      <w:tblGrid>
        <w:gridCol w:w="4997"/>
        <w:gridCol w:w="2033"/>
        <w:gridCol w:w="2033"/>
        <w:gridCol w:w="2033"/>
      </w:tblGrid>
      <w:tr w:rsidR="00DD5D3A" w14:paraId="4FB19EA8" w14:textId="77777777" w:rsidTr="005875A4">
        <w:trPr>
          <w:trHeight w:val="396"/>
          <w:tblHeader/>
        </w:trPr>
        <w:tc>
          <w:tcPr>
            <w:tcW w:w="2252" w:type="pct"/>
          </w:tcPr>
          <w:p w14:paraId="5F714F7F" w14:textId="77777777" w:rsidR="00DD5D3A" w:rsidRPr="005E0F63" w:rsidRDefault="00DD5D3A" w:rsidP="005E0F63">
            <w:pPr>
              <w:pStyle w:val="BodyText"/>
              <w:rPr>
                <w:b/>
                <w:bCs/>
              </w:rPr>
            </w:pPr>
          </w:p>
        </w:tc>
        <w:tc>
          <w:tcPr>
            <w:tcW w:w="916" w:type="pct"/>
          </w:tcPr>
          <w:p w14:paraId="1903A490" w14:textId="77777777" w:rsidR="00DD5D3A" w:rsidRPr="005E0F63" w:rsidRDefault="00DD5D3A" w:rsidP="005E0F63">
            <w:pPr>
              <w:pStyle w:val="BodyText"/>
              <w:rPr>
                <w:b/>
                <w:bCs/>
              </w:rPr>
            </w:pPr>
            <w:r w:rsidRPr="005E0F63">
              <w:rPr>
                <w:b/>
                <w:bCs/>
              </w:rPr>
              <w:t>2022–23</w:t>
            </w:r>
          </w:p>
        </w:tc>
        <w:tc>
          <w:tcPr>
            <w:tcW w:w="916" w:type="pct"/>
          </w:tcPr>
          <w:p w14:paraId="3BCCF198" w14:textId="77777777" w:rsidR="00DD5D3A" w:rsidRPr="005E0F63" w:rsidRDefault="00DD5D3A" w:rsidP="005E0F63">
            <w:pPr>
              <w:pStyle w:val="BodyText"/>
              <w:rPr>
                <w:b/>
                <w:bCs/>
              </w:rPr>
            </w:pPr>
            <w:r w:rsidRPr="005E0F63">
              <w:rPr>
                <w:b/>
                <w:bCs/>
              </w:rPr>
              <w:t>2023–24</w:t>
            </w:r>
          </w:p>
        </w:tc>
        <w:tc>
          <w:tcPr>
            <w:tcW w:w="916" w:type="pct"/>
          </w:tcPr>
          <w:p w14:paraId="405D206C" w14:textId="77777777" w:rsidR="00DD5D3A" w:rsidRPr="005E0F63" w:rsidRDefault="00DD5D3A" w:rsidP="005E0F63">
            <w:pPr>
              <w:pStyle w:val="BodyText"/>
              <w:rPr>
                <w:b/>
                <w:bCs/>
              </w:rPr>
            </w:pPr>
            <w:r w:rsidRPr="005E0F63">
              <w:rPr>
                <w:b/>
                <w:bCs/>
              </w:rPr>
              <w:t xml:space="preserve">2024–25 </w:t>
            </w:r>
          </w:p>
        </w:tc>
      </w:tr>
      <w:tr w:rsidR="00DD5D3A" w14:paraId="67EFEF61" w14:textId="77777777" w:rsidTr="006A0585">
        <w:trPr>
          <w:trHeight w:val="396"/>
        </w:trPr>
        <w:tc>
          <w:tcPr>
            <w:tcW w:w="2252" w:type="pct"/>
          </w:tcPr>
          <w:p w14:paraId="6C20818C" w14:textId="77777777" w:rsidR="00DD5D3A" w:rsidRDefault="00DD5D3A" w:rsidP="005E0F63">
            <w:pPr>
              <w:pStyle w:val="BodyText"/>
            </w:pPr>
            <w:r>
              <w:t>Medical practitioners paid (GPs and specialists)</w:t>
            </w:r>
          </w:p>
        </w:tc>
        <w:tc>
          <w:tcPr>
            <w:tcW w:w="916" w:type="pct"/>
          </w:tcPr>
          <w:p w14:paraId="3616D4FE" w14:textId="77777777" w:rsidR="00DD5D3A" w:rsidRDefault="00DD5D3A" w:rsidP="005E0F63">
            <w:pPr>
              <w:pStyle w:val="BodyText"/>
            </w:pPr>
            <w:r>
              <w:t>8,339</w:t>
            </w:r>
          </w:p>
        </w:tc>
        <w:tc>
          <w:tcPr>
            <w:tcW w:w="916" w:type="pct"/>
          </w:tcPr>
          <w:p w14:paraId="24F5D4F0" w14:textId="77777777" w:rsidR="00DD5D3A" w:rsidRDefault="00DD5D3A" w:rsidP="005E0F63">
            <w:pPr>
              <w:pStyle w:val="BodyText"/>
            </w:pPr>
            <w:r>
              <w:t>8,478</w:t>
            </w:r>
          </w:p>
        </w:tc>
        <w:tc>
          <w:tcPr>
            <w:tcW w:w="916" w:type="pct"/>
          </w:tcPr>
          <w:p w14:paraId="05F6CBAA" w14:textId="77777777" w:rsidR="00DD5D3A" w:rsidRDefault="00DD5D3A" w:rsidP="005E0F63">
            <w:pPr>
              <w:pStyle w:val="BodyText"/>
            </w:pPr>
            <w:r>
              <w:t xml:space="preserve"> 8,673</w:t>
            </w:r>
          </w:p>
        </w:tc>
      </w:tr>
      <w:tr w:rsidR="00DD5D3A" w14:paraId="63CB1C83" w14:textId="77777777" w:rsidTr="006A0585">
        <w:trPr>
          <w:trHeight w:val="396"/>
        </w:trPr>
        <w:tc>
          <w:tcPr>
            <w:tcW w:w="2252" w:type="pct"/>
          </w:tcPr>
          <w:p w14:paraId="7ABF4609" w14:textId="77777777" w:rsidR="00DD5D3A" w:rsidRDefault="00DD5D3A" w:rsidP="005E0F63">
            <w:pPr>
              <w:pStyle w:val="BodyText"/>
            </w:pPr>
            <w:r>
              <w:rPr>
                <w:rStyle w:val="Bold"/>
                <w:b w:val="0"/>
                <w:bCs w:val="0"/>
              </w:rPr>
              <w:t>Payments made</w:t>
            </w:r>
          </w:p>
        </w:tc>
        <w:tc>
          <w:tcPr>
            <w:tcW w:w="916" w:type="pct"/>
          </w:tcPr>
          <w:p w14:paraId="16EEB365" w14:textId="77777777" w:rsidR="00DD5D3A" w:rsidRDefault="00DD5D3A" w:rsidP="005E0F63">
            <w:pPr>
              <w:pStyle w:val="BodyText"/>
            </w:pPr>
            <w:r>
              <w:t>8,526</w:t>
            </w:r>
          </w:p>
        </w:tc>
        <w:tc>
          <w:tcPr>
            <w:tcW w:w="916" w:type="pct"/>
          </w:tcPr>
          <w:p w14:paraId="5E64E15D" w14:textId="77777777" w:rsidR="00DD5D3A" w:rsidRDefault="00DD5D3A" w:rsidP="005E0F63">
            <w:pPr>
              <w:pStyle w:val="BodyText"/>
            </w:pPr>
            <w:r>
              <w:t>8,761</w:t>
            </w:r>
          </w:p>
        </w:tc>
        <w:tc>
          <w:tcPr>
            <w:tcW w:w="916" w:type="pct"/>
          </w:tcPr>
          <w:p w14:paraId="5F26850D" w14:textId="77777777" w:rsidR="00DD5D3A" w:rsidRDefault="00DD5D3A" w:rsidP="005E0F63">
            <w:pPr>
              <w:pStyle w:val="BodyText"/>
            </w:pPr>
            <w:r>
              <w:t xml:space="preserve"> 8,902 </w:t>
            </w:r>
          </w:p>
        </w:tc>
      </w:tr>
      <w:tr w:rsidR="00DD5D3A" w14:paraId="1FD9C2CC" w14:textId="77777777" w:rsidTr="006A0585">
        <w:trPr>
          <w:trHeight w:val="396"/>
        </w:trPr>
        <w:tc>
          <w:tcPr>
            <w:tcW w:w="2252" w:type="pct"/>
          </w:tcPr>
          <w:p w14:paraId="0211B0CD" w14:textId="77777777" w:rsidR="00DD5D3A" w:rsidRDefault="00DD5D3A" w:rsidP="005E0F63">
            <w:pPr>
              <w:pStyle w:val="BodyText"/>
            </w:pPr>
            <w:r>
              <w:rPr>
                <w:rStyle w:val="Bold"/>
                <w:b w:val="0"/>
                <w:bCs w:val="0"/>
              </w:rPr>
              <w:t>Amount paid</w:t>
            </w:r>
          </w:p>
        </w:tc>
        <w:tc>
          <w:tcPr>
            <w:tcW w:w="916" w:type="pct"/>
          </w:tcPr>
          <w:p w14:paraId="7BB84877" w14:textId="77777777" w:rsidR="00DD5D3A" w:rsidRDefault="00DD5D3A" w:rsidP="005E0F63">
            <w:pPr>
              <w:pStyle w:val="BodyText"/>
            </w:pPr>
            <w:r>
              <w:t>$124.6 million</w:t>
            </w:r>
          </w:p>
        </w:tc>
        <w:tc>
          <w:tcPr>
            <w:tcW w:w="916" w:type="pct"/>
          </w:tcPr>
          <w:p w14:paraId="67C0EC93" w14:textId="77777777" w:rsidR="00DD5D3A" w:rsidRDefault="00DD5D3A" w:rsidP="005E0F63">
            <w:pPr>
              <w:pStyle w:val="BodyText"/>
            </w:pPr>
            <w:r>
              <w:t>$126.0 million</w:t>
            </w:r>
          </w:p>
        </w:tc>
        <w:tc>
          <w:tcPr>
            <w:tcW w:w="916" w:type="pct"/>
          </w:tcPr>
          <w:p w14:paraId="6F40B12B" w14:textId="77777777" w:rsidR="00DD5D3A" w:rsidRDefault="00DD5D3A" w:rsidP="005E0F63">
            <w:pPr>
              <w:pStyle w:val="BodyText"/>
            </w:pPr>
            <w:r>
              <w:t>$129.4 million</w:t>
            </w:r>
          </w:p>
        </w:tc>
      </w:tr>
    </w:tbl>
    <w:p w14:paraId="6D386878" w14:textId="77777777" w:rsidR="00DD5D3A" w:rsidRDefault="00DD5D3A" w:rsidP="00DD5D3A">
      <w:pPr>
        <w:pStyle w:val="Heading3"/>
      </w:pPr>
      <w:r>
        <w:t>Workforce Incentive Program – Rural Advanced Skills</w:t>
      </w:r>
    </w:p>
    <w:p w14:paraId="280CA23B" w14:textId="77777777" w:rsidR="00DD5D3A" w:rsidRDefault="00DD5D3A" w:rsidP="00DD5D3A">
      <w:pPr>
        <w:pStyle w:val="BodyText"/>
      </w:pPr>
      <w:r>
        <w:t xml:space="preserve">The Workforce Incentive Program – Rural Advanced Skills Stream rewards investment in specialist qualifications and advanced skills and encourages more doctors to work in a variety of settings using these skills in regional, rural and remote areas. </w:t>
      </w:r>
    </w:p>
    <w:p w14:paraId="07B874CC" w14:textId="77777777" w:rsidR="00DD5D3A" w:rsidRDefault="00DD5D3A" w:rsidP="00DD5D3A">
      <w:pPr>
        <w:pStyle w:val="BodyText"/>
      </w:pPr>
      <w:r>
        <w:lastRenderedPageBreak/>
        <w:t>Table 23 shows numbers of participating practitioners, payments and amount paid from 2023–24 to 2024–25.</w:t>
      </w:r>
    </w:p>
    <w:p w14:paraId="4A6574E6" w14:textId="0012F951" w:rsidR="00DD5D3A" w:rsidRPr="00DD5D3A" w:rsidRDefault="005E0F63" w:rsidP="00DD5D3A">
      <w:pPr>
        <w:pStyle w:val="BodyText"/>
        <w:rPr>
          <w:b/>
          <w:bCs/>
        </w:rPr>
      </w:pPr>
      <w:r>
        <w:rPr>
          <w:b/>
          <w:bCs/>
        </w:rPr>
        <w:t>Table 23:</w:t>
      </w:r>
      <w:r w:rsidR="00DD5D3A" w:rsidRPr="00DD5D3A">
        <w:rPr>
          <w:b/>
          <w:bCs/>
        </w:rPr>
        <w:t xml:space="preserve"> Workforce Incentive Program – Rural Advanced Skills participation and payments</w:t>
      </w:r>
    </w:p>
    <w:tbl>
      <w:tblPr>
        <w:tblStyle w:val="TableGrid"/>
        <w:tblW w:w="5000" w:type="pct"/>
        <w:tblLook w:val="04A0" w:firstRow="1" w:lastRow="0" w:firstColumn="1" w:lastColumn="0" w:noHBand="0" w:noVBand="1"/>
        <w:tblCaption w:val="Workforce Incentive Program – Rural Advanced Skills participation and payments"/>
      </w:tblPr>
      <w:tblGrid>
        <w:gridCol w:w="7030"/>
        <w:gridCol w:w="2033"/>
        <w:gridCol w:w="2033"/>
      </w:tblGrid>
      <w:tr w:rsidR="00DD5D3A" w14:paraId="2139E4E1" w14:textId="77777777" w:rsidTr="005875A4">
        <w:trPr>
          <w:trHeight w:val="396"/>
          <w:tblHeader/>
        </w:trPr>
        <w:tc>
          <w:tcPr>
            <w:tcW w:w="3168" w:type="pct"/>
          </w:tcPr>
          <w:p w14:paraId="31427DA3" w14:textId="77777777" w:rsidR="00DD5D3A" w:rsidRPr="005E0F63" w:rsidRDefault="00DD5D3A" w:rsidP="005E0F63">
            <w:pPr>
              <w:pStyle w:val="BodyText"/>
              <w:rPr>
                <w:b/>
                <w:bCs/>
              </w:rPr>
            </w:pPr>
          </w:p>
        </w:tc>
        <w:tc>
          <w:tcPr>
            <w:tcW w:w="916" w:type="pct"/>
          </w:tcPr>
          <w:p w14:paraId="5EDAA723" w14:textId="77777777" w:rsidR="00DD5D3A" w:rsidRPr="005E0F63" w:rsidRDefault="00DD5D3A" w:rsidP="005E0F63">
            <w:pPr>
              <w:pStyle w:val="BodyText"/>
              <w:rPr>
                <w:b/>
                <w:bCs/>
              </w:rPr>
            </w:pPr>
            <w:r w:rsidRPr="005E0F63">
              <w:rPr>
                <w:b/>
                <w:bCs/>
              </w:rPr>
              <w:t>2023–24</w:t>
            </w:r>
          </w:p>
        </w:tc>
        <w:tc>
          <w:tcPr>
            <w:tcW w:w="916" w:type="pct"/>
          </w:tcPr>
          <w:p w14:paraId="054ACA27" w14:textId="77777777" w:rsidR="00DD5D3A" w:rsidRPr="005E0F63" w:rsidRDefault="00DD5D3A" w:rsidP="005E0F63">
            <w:pPr>
              <w:pStyle w:val="BodyText"/>
              <w:rPr>
                <w:b/>
                <w:bCs/>
              </w:rPr>
            </w:pPr>
            <w:r w:rsidRPr="005E0F63">
              <w:rPr>
                <w:b/>
                <w:bCs/>
              </w:rPr>
              <w:t>2024–25</w:t>
            </w:r>
          </w:p>
        </w:tc>
      </w:tr>
      <w:tr w:rsidR="00DD5D3A" w14:paraId="06DA473C" w14:textId="77777777" w:rsidTr="006A0585">
        <w:trPr>
          <w:trHeight w:val="396"/>
        </w:trPr>
        <w:tc>
          <w:tcPr>
            <w:tcW w:w="3168" w:type="pct"/>
          </w:tcPr>
          <w:p w14:paraId="450E53BF" w14:textId="77777777" w:rsidR="00DD5D3A" w:rsidRDefault="00DD5D3A" w:rsidP="005E0F63">
            <w:pPr>
              <w:pStyle w:val="BodyText"/>
            </w:pPr>
            <w:r>
              <w:t>Medical practitioners paid (GPs and specialists)</w:t>
            </w:r>
          </w:p>
        </w:tc>
        <w:tc>
          <w:tcPr>
            <w:tcW w:w="916" w:type="pct"/>
          </w:tcPr>
          <w:p w14:paraId="51AF8F37" w14:textId="77777777" w:rsidR="00DD5D3A" w:rsidRDefault="00DD5D3A" w:rsidP="005E0F63">
            <w:pPr>
              <w:pStyle w:val="BodyText"/>
            </w:pPr>
            <w:r>
              <w:t>871</w:t>
            </w:r>
          </w:p>
        </w:tc>
        <w:tc>
          <w:tcPr>
            <w:tcW w:w="916" w:type="pct"/>
          </w:tcPr>
          <w:p w14:paraId="57162019" w14:textId="77777777" w:rsidR="00DD5D3A" w:rsidRDefault="00DD5D3A" w:rsidP="005E0F63">
            <w:pPr>
              <w:pStyle w:val="BodyText"/>
            </w:pPr>
            <w:r>
              <w:t xml:space="preserve">1,098 </w:t>
            </w:r>
          </w:p>
        </w:tc>
      </w:tr>
      <w:tr w:rsidR="00DD5D3A" w14:paraId="2AE46AD9" w14:textId="77777777" w:rsidTr="006A0585">
        <w:trPr>
          <w:trHeight w:val="396"/>
        </w:trPr>
        <w:tc>
          <w:tcPr>
            <w:tcW w:w="3168" w:type="pct"/>
          </w:tcPr>
          <w:p w14:paraId="7EEB8EB4" w14:textId="77777777" w:rsidR="00DD5D3A" w:rsidRDefault="00DD5D3A" w:rsidP="005E0F63">
            <w:pPr>
              <w:pStyle w:val="BodyText"/>
            </w:pPr>
            <w:r>
              <w:rPr>
                <w:rStyle w:val="Bold"/>
                <w:b w:val="0"/>
                <w:bCs w:val="0"/>
              </w:rPr>
              <w:t>Payments made</w:t>
            </w:r>
          </w:p>
        </w:tc>
        <w:tc>
          <w:tcPr>
            <w:tcW w:w="916" w:type="pct"/>
          </w:tcPr>
          <w:p w14:paraId="2DCE7B4A" w14:textId="77777777" w:rsidR="00DD5D3A" w:rsidRDefault="00DD5D3A" w:rsidP="005E0F63">
            <w:pPr>
              <w:pStyle w:val="BodyText"/>
            </w:pPr>
            <w:r>
              <w:t>1,114</w:t>
            </w:r>
          </w:p>
        </w:tc>
        <w:tc>
          <w:tcPr>
            <w:tcW w:w="916" w:type="pct"/>
          </w:tcPr>
          <w:p w14:paraId="655C8EF0" w14:textId="77777777" w:rsidR="00DD5D3A" w:rsidRDefault="00DD5D3A" w:rsidP="005E0F63">
            <w:pPr>
              <w:pStyle w:val="BodyText"/>
            </w:pPr>
            <w:r>
              <w:t>1,661</w:t>
            </w:r>
          </w:p>
        </w:tc>
      </w:tr>
      <w:tr w:rsidR="00DD5D3A" w14:paraId="68AB243B" w14:textId="77777777" w:rsidTr="006A0585">
        <w:trPr>
          <w:trHeight w:val="396"/>
        </w:trPr>
        <w:tc>
          <w:tcPr>
            <w:tcW w:w="3168" w:type="pct"/>
          </w:tcPr>
          <w:p w14:paraId="17E3E29F" w14:textId="77777777" w:rsidR="00DD5D3A" w:rsidRDefault="00DD5D3A" w:rsidP="005E0F63">
            <w:pPr>
              <w:pStyle w:val="BodyText"/>
            </w:pPr>
            <w:r>
              <w:rPr>
                <w:rStyle w:val="Bold"/>
                <w:b w:val="0"/>
                <w:bCs w:val="0"/>
              </w:rPr>
              <w:t>Amount paid</w:t>
            </w:r>
          </w:p>
        </w:tc>
        <w:tc>
          <w:tcPr>
            <w:tcW w:w="916" w:type="pct"/>
          </w:tcPr>
          <w:p w14:paraId="1C79B4CC" w14:textId="77777777" w:rsidR="00DD5D3A" w:rsidRDefault="00DD5D3A" w:rsidP="005E0F63">
            <w:pPr>
              <w:pStyle w:val="BodyText"/>
            </w:pPr>
            <w:r>
              <w:t>$10 million</w:t>
            </w:r>
          </w:p>
        </w:tc>
        <w:tc>
          <w:tcPr>
            <w:tcW w:w="916" w:type="pct"/>
          </w:tcPr>
          <w:p w14:paraId="0419B115" w14:textId="77777777" w:rsidR="00DD5D3A" w:rsidRDefault="00DD5D3A" w:rsidP="005E0F63">
            <w:pPr>
              <w:pStyle w:val="BodyText"/>
            </w:pPr>
            <w:r>
              <w:t>$14.7 million</w:t>
            </w:r>
          </w:p>
        </w:tc>
      </w:tr>
    </w:tbl>
    <w:p w14:paraId="0F9C0FCF" w14:textId="77777777" w:rsidR="00DD5D3A" w:rsidRDefault="00DD5D3A" w:rsidP="00DD5D3A">
      <w:pPr>
        <w:pStyle w:val="Heading2"/>
      </w:pPr>
      <w:r>
        <w:t>Child Dental Benefits Schedule</w:t>
      </w:r>
    </w:p>
    <w:p w14:paraId="71173D0E" w14:textId="77777777" w:rsidR="00DD5D3A" w:rsidRDefault="00DD5D3A" w:rsidP="00DD5D3A">
      <w:pPr>
        <w:pStyle w:val="BodyText"/>
      </w:pPr>
      <w:r>
        <w:t xml:space="preserve">The Child Dental Benefits Schedule gives families, teenagers and approved care organisations financial support for basic dental services for eligible children. </w:t>
      </w:r>
      <w:r>
        <w:rPr>
          <w:spacing w:val="-2"/>
        </w:rPr>
        <w:t xml:space="preserve">Dental services include examinations, X rays, cleaning, fissure sealing, fillings, root canals </w:t>
      </w:r>
      <w:r>
        <w:t xml:space="preserve">and extractions. </w:t>
      </w:r>
    </w:p>
    <w:p w14:paraId="238E3F85" w14:textId="77777777" w:rsidR="00DD5D3A" w:rsidRDefault="00DD5D3A" w:rsidP="00DD5D3A">
      <w:pPr>
        <w:pStyle w:val="BodyText"/>
      </w:pPr>
      <w:r>
        <w:t xml:space="preserve">Benefits for basic dental services are capped at $1,132 per child over 2 consecutive calendar years. </w:t>
      </w:r>
    </w:p>
    <w:p w14:paraId="2327877E" w14:textId="77777777" w:rsidR="00DD5D3A" w:rsidRDefault="00DD5D3A" w:rsidP="00DD5D3A">
      <w:pPr>
        <w:pStyle w:val="BodyText"/>
      </w:pPr>
      <w:r>
        <w:t>Table 24 shows services processed and amounts paid under the Child Dental Benefits Schedule from 2022–23 to 2024–25.</w:t>
      </w:r>
    </w:p>
    <w:p w14:paraId="3E85ACC3" w14:textId="762CC2EA" w:rsidR="00DD5D3A" w:rsidRPr="00DD5D3A" w:rsidRDefault="005E0F63" w:rsidP="00DD5D3A">
      <w:pPr>
        <w:pStyle w:val="BodyText"/>
        <w:rPr>
          <w:b/>
          <w:bCs/>
        </w:rPr>
      </w:pPr>
      <w:r>
        <w:rPr>
          <w:b/>
          <w:bCs/>
        </w:rPr>
        <w:t>Table 24:</w:t>
      </w:r>
      <w:r w:rsidR="00DD5D3A" w:rsidRPr="00DD5D3A">
        <w:rPr>
          <w:b/>
          <w:bCs/>
        </w:rPr>
        <w:t xml:space="preserve"> Child Dental Benefits Schedule</w:t>
      </w:r>
    </w:p>
    <w:tbl>
      <w:tblPr>
        <w:tblStyle w:val="TableGrid"/>
        <w:tblW w:w="5000" w:type="pct"/>
        <w:tblLook w:val="04A0" w:firstRow="1" w:lastRow="0" w:firstColumn="1" w:lastColumn="0" w:noHBand="0" w:noVBand="1"/>
        <w:tblCaption w:val="Child Dental Benefits Schedule"/>
      </w:tblPr>
      <w:tblGrid>
        <w:gridCol w:w="4997"/>
        <w:gridCol w:w="2033"/>
        <w:gridCol w:w="2033"/>
        <w:gridCol w:w="2033"/>
      </w:tblGrid>
      <w:tr w:rsidR="00DD5D3A" w14:paraId="46F5F5A1" w14:textId="77777777" w:rsidTr="005875A4">
        <w:trPr>
          <w:trHeight w:val="396"/>
          <w:tblHeader/>
        </w:trPr>
        <w:tc>
          <w:tcPr>
            <w:tcW w:w="2252" w:type="pct"/>
          </w:tcPr>
          <w:p w14:paraId="29419353" w14:textId="77777777" w:rsidR="00DD5D3A" w:rsidRPr="005E0F63" w:rsidRDefault="00DD5D3A" w:rsidP="005E0F63">
            <w:pPr>
              <w:pStyle w:val="BodyText"/>
              <w:rPr>
                <w:b/>
                <w:bCs/>
              </w:rPr>
            </w:pPr>
          </w:p>
        </w:tc>
        <w:tc>
          <w:tcPr>
            <w:tcW w:w="916" w:type="pct"/>
          </w:tcPr>
          <w:p w14:paraId="53BDB2DD" w14:textId="77777777" w:rsidR="00DD5D3A" w:rsidRPr="005E0F63" w:rsidRDefault="00DD5D3A" w:rsidP="005E0F63">
            <w:pPr>
              <w:pStyle w:val="BodyText"/>
              <w:rPr>
                <w:b/>
                <w:bCs/>
              </w:rPr>
            </w:pPr>
            <w:r w:rsidRPr="005E0F63">
              <w:rPr>
                <w:b/>
                <w:bCs/>
              </w:rPr>
              <w:t>2022–23</w:t>
            </w:r>
          </w:p>
        </w:tc>
        <w:tc>
          <w:tcPr>
            <w:tcW w:w="916" w:type="pct"/>
          </w:tcPr>
          <w:p w14:paraId="2F83AEB7" w14:textId="77777777" w:rsidR="00DD5D3A" w:rsidRPr="005E0F63" w:rsidRDefault="00DD5D3A" w:rsidP="005E0F63">
            <w:pPr>
              <w:pStyle w:val="BodyText"/>
              <w:rPr>
                <w:b/>
                <w:bCs/>
              </w:rPr>
            </w:pPr>
            <w:r w:rsidRPr="005E0F63">
              <w:rPr>
                <w:b/>
                <w:bCs/>
              </w:rPr>
              <w:t>2023–24</w:t>
            </w:r>
          </w:p>
        </w:tc>
        <w:tc>
          <w:tcPr>
            <w:tcW w:w="916" w:type="pct"/>
          </w:tcPr>
          <w:p w14:paraId="69D26191" w14:textId="77777777" w:rsidR="00DD5D3A" w:rsidRPr="005E0F63" w:rsidRDefault="00DD5D3A" w:rsidP="005E0F63">
            <w:pPr>
              <w:pStyle w:val="BodyText"/>
              <w:rPr>
                <w:b/>
                <w:bCs/>
              </w:rPr>
            </w:pPr>
            <w:r w:rsidRPr="005E0F63">
              <w:rPr>
                <w:b/>
                <w:bCs/>
              </w:rPr>
              <w:t>2024–25</w:t>
            </w:r>
          </w:p>
        </w:tc>
      </w:tr>
      <w:tr w:rsidR="00DD5D3A" w14:paraId="510DD51D" w14:textId="77777777" w:rsidTr="006A0585">
        <w:trPr>
          <w:trHeight w:val="396"/>
        </w:trPr>
        <w:tc>
          <w:tcPr>
            <w:tcW w:w="2252" w:type="pct"/>
          </w:tcPr>
          <w:p w14:paraId="64DD084A" w14:textId="77777777" w:rsidR="00DD5D3A" w:rsidRDefault="00DD5D3A" w:rsidP="005E0F63">
            <w:pPr>
              <w:pStyle w:val="BodyText"/>
            </w:pPr>
            <w:r>
              <w:t xml:space="preserve">Services processed </w:t>
            </w:r>
          </w:p>
        </w:tc>
        <w:tc>
          <w:tcPr>
            <w:tcW w:w="916" w:type="pct"/>
          </w:tcPr>
          <w:p w14:paraId="0E93E0D1" w14:textId="77777777" w:rsidR="00DD5D3A" w:rsidRDefault="00DD5D3A" w:rsidP="005E0F63">
            <w:pPr>
              <w:pStyle w:val="BodyText"/>
            </w:pPr>
            <w:r>
              <w:t>5.2 million</w:t>
            </w:r>
          </w:p>
        </w:tc>
        <w:tc>
          <w:tcPr>
            <w:tcW w:w="916" w:type="pct"/>
          </w:tcPr>
          <w:p w14:paraId="5A2474E9" w14:textId="77777777" w:rsidR="00DD5D3A" w:rsidRDefault="00DD5D3A" w:rsidP="005E0F63">
            <w:pPr>
              <w:pStyle w:val="BodyText"/>
            </w:pPr>
            <w:r>
              <w:t>5.2 million</w:t>
            </w:r>
          </w:p>
        </w:tc>
        <w:tc>
          <w:tcPr>
            <w:tcW w:w="916" w:type="pct"/>
          </w:tcPr>
          <w:p w14:paraId="43A5F752" w14:textId="77777777" w:rsidR="00DD5D3A" w:rsidRDefault="00DD5D3A" w:rsidP="005E0F63">
            <w:pPr>
              <w:pStyle w:val="BodyText"/>
            </w:pPr>
            <w:r>
              <w:t>5.3 million</w:t>
            </w:r>
          </w:p>
        </w:tc>
      </w:tr>
      <w:tr w:rsidR="00DD5D3A" w14:paraId="5E641AF0" w14:textId="77777777" w:rsidTr="006A0585">
        <w:trPr>
          <w:trHeight w:val="396"/>
        </w:trPr>
        <w:tc>
          <w:tcPr>
            <w:tcW w:w="2252" w:type="pct"/>
          </w:tcPr>
          <w:p w14:paraId="1AB58896" w14:textId="77777777" w:rsidR="00DD5D3A" w:rsidRDefault="00DD5D3A" w:rsidP="005E0F63">
            <w:pPr>
              <w:pStyle w:val="BodyText"/>
            </w:pPr>
            <w:r>
              <w:rPr>
                <w:rStyle w:val="Bold"/>
                <w:b w:val="0"/>
                <w:bCs w:val="0"/>
              </w:rPr>
              <w:t xml:space="preserve">Amount paid </w:t>
            </w:r>
          </w:p>
        </w:tc>
        <w:tc>
          <w:tcPr>
            <w:tcW w:w="916" w:type="pct"/>
          </w:tcPr>
          <w:p w14:paraId="4145AE2C" w14:textId="77777777" w:rsidR="00DD5D3A" w:rsidRDefault="00DD5D3A" w:rsidP="005E0F63">
            <w:pPr>
              <w:pStyle w:val="BodyText"/>
            </w:pPr>
            <w:r>
              <w:t>$316 million</w:t>
            </w:r>
          </w:p>
        </w:tc>
        <w:tc>
          <w:tcPr>
            <w:tcW w:w="916" w:type="pct"/>
          </w:tcPr>
          <w:p w14:paraId="293792FF" w14:textId="77777777" w:rsidR="00DD5D3A" w:rsidRDefault="00DD5D3A" w:rsidP="005E0F63">
            <w:pPr>
              <w:pStyle w:val="BodyText"/>
            </w:pPr>
            <w:r>
              <w:t>$325.9 million</w:t>
            </w:r>
          </w:p>
        </w:tc>
        <w:tc>
          <w:tcPr>
            <w:tcW w:w="916" w:type="pct"/>
          </w:tcPr>
          <w:p w14:paraId="540EFF47" w14:textId="77777777" w:rsidR="00DD5D3A" w:rsidRDefault="00DD5D3A" w:rsidP="005E0F63">
            <w:pPr>
              <w:pStyle w:val="BodyText"/>
            </w:pPr>
            <w:r>
              <w:t>$345.4 million</w:t>
            </w:r>
          </w:p>
        </w:tc>
      </w:tr>
    </w:tbl>
    <w:p w14:paraId="24805661" w14:textId="77777777" w:rsidR="00DD5D3A" w:rsidRDefault="00DD5D3A" w:rsidP="00DD5D3A">
      <w:pPr>
        <w:pStyle w:val="Heading2"/>
      </w:pPr>
      <w:r>
        <w:t>Australian Immunisation Register</w:t>
      </w:r>
    </w:p>
    <w:p w14:paraId="6A7E9F5A" w14:textId="77777777" w:rsidR="00DD5D3A" w:rsidRDefault="00DD5D3A" w:rsidP="00DD5D3A">
      <w:pPr>
        <w:pStyle w:val="BodyText"/>
      </w:pPr>
      <w:r>
        <w:t>The Australian Immunisation Register (AIR) is a national register that records vaccines given to people of all ages in Australia. The AIR is used to determine an individual’s vaccination status, give proof of vaccination, and monitor and measure immunisation coverage.</w:t>
      </w:r>
    </w:p>
    <w:p w14:paraId="16B430EA" w14:textId="77777777" w:rsidR="00DD5D3A" w:rsidRDefault="00DD5D3A" w:rsidP="00DD5D3A">
      <w:pPr>
        <w:pStyle w:val="BodyText"/>
      </w:pPr>
      <w:r>
        <w:t>Legislative changes from 1 March 2025 made it mandatory for vaccination providers to report pregnancy status to the AIR for eligible vaccines.</w:t>
      </w:r>
    </w:p>
    <w:p w14:paraId="401ECC54" w14:textId="77777777" w:rsidR="00DD5D3A" w:rsidRDefault="00DD5D3A" w:rsidP="00DD5D3A">
      <w:pPr>
        <w:pStyle w:val="BodyText"/>
      </w:pPr>
      <w:r>
        <w:t>Table 25 shows numbers of vaccines administered, and the amount paid to providers from 2022–23 to 2024–25.</w:t>
      </w:r>
    </w:p>
    <w:p w14:paraId="78918289" w14:textId="75C03A40" w:rsidR="00DD5D3A" w:rsidRPr="00DD5D3A" w:rsidRDefault="005E0F63" w:rsidP="00DD5D3A">
      <w:pPr>
        <w:pStyle w:val="BodyText"/>
        <w:rPr>
          <w:b/>
          <w:bCs/>
        </w:rPr>
      </w:pPr>
      <w:r>
        <w:rPr>
          <w:b/>
          <w:bCs/>
        </w:rPr>
        <w:t>Table 25:</w:t>
      </w:r>
      <w:r w:rsidR="00DD5D3A" w:rsidRPr="00DD5D3A">
        <w:rPr>
          <w:b/>
          <w:bCs/>
        </w:rPr>
        <w:t xml:space="preserve"> Vaccine episodes recorded in the AIR and amount paid to providers</w:t>
      </w:r>
    </w:p>
    <w:tbl>
      <w:tblPr>
        <w:tblStyle w:val="TableGrid"/>
        <w:tblW w:w="5000" w:type="pct"/>
        <w:tblLook w:val="04A0" w:firstRow="1" w:lastRow="0" w:firstColumn="1" w:lastColumn="0" w:noHBand="0" w:noVBand="1"/>
        <w:tblCaption w:val="Vaccine episodes recorded in the AIR and amount paid to providers"/>
      </w:tblPr>
      <w:tblGrid>
        <w:gridCol w:w="4997"/>
        <w:gridCol w:w="2033"/>
        <w:gridCol w:w="2033"/>
        <w:gridCol w:w="2033"/>
      </w:tblGrid>
      <w:tr w:rsidR="00DD5D3A" w14:paraId="58B8DADA" w14:textId="77777777" w:rsidTr="005875A4">
        <w:trPr>
          <w:trHeight w:val="396"/>
          <w:tblHeader/>
        </w:trPr>
        <w:tc>
          <w:tcPr>
            <w:tcW w:w="2252" w:type="pct"/>
          </w:tcPr>
          <w:p w14:paraId="0149C1AD" w14:textId="77777777" w:rsidR="00DD5D3A" w:rsidRPr="0056077D" w:rsidRDefault="00DD5D3A" w:rsidP="0056077D">
            <w:pPr>
              <w:pStyle w:val="BodyText"/>
              <w:rPr>
                <w:b/>
                <w:bCs/>
              </w:rPr>
            </w:pPr>
          </w:p>
        </w:tc>
        <w:tc>
          <w:tcPr>
            <w:tcW w:w="916" w:type="pct"/>
          </w:tcPr>
          <w:p w14:paraId="0597BFBA" w14:textId="77777777" w:rsidR="00DD5D3A" w:rsidRPr="0056077D" w:rsidRDefault="00DD5D3A" w:rsidP="0056077D">
            <w:pPr>
              <w:pStyle w:val="BodyText"/>
              <w:rPr>
                <w:b/>
                <w:bCs/>
              </w:rPr>
            </w:pPr>
            <w:r w:rsidRPr="0056077D">
              <w:rPr>
                <w:b/>
                <w:bCs/>
              </w:rPr>
              <w:t>2022–23</w:t>
            </w:r>
          </w:p>
        </w:tc>
        <w:tc>
          <w:tcPr>
            <w:tcW w:w="916" w:type="pct"/>
          </w:tcPr>
          <w:p w14:paraId="29A2E6B0" w14:textId="77777777" w:rsidR="00DD5D3A" w:rsidRPr="0056077D" w:rsidRDefault="00DD5D3A" w:rsidP="0056077D">
            <w:pPr>
              <w:pStyle w:val="BodyText"/>
              <w:rPr>
                <w:b/>
                <w:bCs/>
              </w:rPr>
            </w:pPr>
            <w:r w:rsidRPr="0056077D">
              <w:rPr>
                <w:b/>
                <w:bCs/>
              </w:rPr>
              <w:t>2023–24</w:t>
            </w:r>
          </w:p>
        </w:tc>
        <w:tc>
          <w:tcPr>
            <w:tcW w:w="916" w:type="pct"/>
          </w:tcPr>
          <w:p w14:paraId="6978C20A" w14:textId="77777777" w:rsidR="00DD5D3A" w:rsidRPr="0056077D" w:rsidRDefault="00DD5D3A" w:rsidP="0056077D">
            <w:pPr>
              <w:pStyle w:val="BodyText"/>
              <w:rPr>
                <w:b/>
                <w:bCs/>
              </w:rPr>
            </w:pPr>
            <w:r w:rsidRPr="0056077D">
              <w:rPr>
                <w:b/>
                <w:bCs/>
              </w:rPr>
              <w:t>2024–25</w:t>
            </w:r>
          </w:p>
        </w:tc>
      </w:tr>
      <w:tr w:rsidR="00DD5D3A" w14:paraId="090AEAA1" w14:textId="77777777" w:rsidTr="006A0585">
        <w:trPr>
          <w:trHeight w:val="396"/>
        </w:trPr>
        <w:tc>
          <w:tcPr>
            <w:tcW w:w="2252" w:type="pct"/>
          </w:tcPr>
          <w:p w14:paraId="46B0BDDA" w14:textId="77777777" w:rsidR="00DD5D3A" w:rsidRDefault="00DD5D3A" w:rsidP="0056077D">
            <w:pPr>
              <w:pStyle w:val="BodyText"/>
            </w:pPr>
            <w:r>
              <w:t>Vaccine episodes</w:t>
            </w:r>
            <w:r>
              <w:rPr>
                <w:vertAlign w:val="superscript"/>
              </w:rPr>
              <w:t>(a)</w:t>
            </w:r>
          </w:p>
        </w:tc>
        <w:tc>
          <w:tcPr>
            <w:tcW w:w="916" w:type="pct"/>
          </w:tcPr>
          <w:p w14:paraId="05703A2D" w14:textId="77777777" w:rsidR="00DD5D3A" w:rsidRDefault="00DD5D3A" w:rsidP="0056077D">
            <w:pPr>
              <w:pStyle w:val="BodyText"/>
            </w:pPr>
            <w:r>
              <w:t>27.6 million</w:t>
            </w:r>
          </w:p>
        </w:tc>
        <w:tc>
          <w:tcPr>
            <w:tcW w:w="916" w:type="pct"/>
          </w:tcPr>
          <w:p w14:paraId="3D748BFE" w14:textId="77777777" w:rsidR="00DD5D3A" w:rsidRDefault="00DD5D3A" w:rsidP="0056077D">
            <w:pPr>
              <w:pStyle w:val="BodyText"/>
            </w:pPr>
            <w:r>
              <w:t>24.7 million</w:t>
            </w:r>
          </w:p>
        </w:tc>
        <w:tc>
          <w:tcPr>
            <w:tcW w:w="916" w:type="pct"/>
          </w:tcPr>
          <w:p w14:paraId="3B2B593A" w14:textId="77777777" w:rsidR="00DD5D3A" w:rsidRDefault="00DD5D3A" w:rsidP="0056077D">
            <w:pPr>
              <w:pStyle w:val="BodyText"/>
            </w:pPr>
            <w:r>
              <w:t>25.2 million</w:t>
            </w:r>
          </w:p>
        </w:tc>
      </w:tr>
      <w:tr w:rsidR="00DD5D3A" w14:paraId="06CC33A2" w14:textId="77777777" w:rsidTr="006A0585">
        <w:trPr>
          <w:trHeight w:val="396"/>
        </w:trPr>
        <w:tc>
          <w:tcPr>
            <w:tcW w:w="2252" w:type="pct"/>
          </w:tcPr>
          <w:p w14:paraId="02D7CCD4" w14:textId="77777777" w:rsidR="00DD5D3A" w:rsidRDefault="00DD5D3A" w:rsidP="0056077D">
            <w:pPr>
              <w:pStyle w:val="BodyText"/>
            </w:pPr>
            <w:r>
              <w:rPr>
                <w:rStyle w:val="Bold"/>
                <w:b w:val="0"/>
                <w:bCs w:val="0"/>
                <w:spacing w:val="-5"/>
              </w:rPr>
              <w:lastRenderedPageBreak/>
              <w:t>Amount paid to vaccination providers</w:t>
            </w:r>
            <w:r>
              <w:rPr>
                <w:rStyle w:val="Bold"/>
                <w:b w:val="0"/>
                <w:bCs w:val="0"/>
                <w:spacing w:val="-5"/>
                <w:vertAlign w:val="superscript"/>
              </w:rPr>
              <w:t>(b)</w:t>
            </w:r>
          </w:p>
        </w:tc>
        <w:tc>
          <w:tcPr>
            <w:tcW w:w="916" w:type="pct"/>
          </w:tcPr>
          <w:p w14:paraId="2BD9862E" w14:textId="77777777" w:rsidR="00DD5D3A" w:rsidRDefault="00DD5D3A" w:rsidP="0056077D">
            <w:pPr>
              <w:pStyle w:val="BodyText"/>
            </w:pPr>
            <w:r>
              <w:t>$7.8 million</w:t>
            </w:r>
          </w:p>
        </w:tc>
        <w:tc>
          <w:tcPr>
            <w:tcW w:w="916" w:type="pct"/>
          </w:tcPr>
          <w:p w14:paraId="52FD7026" w14:textId="77777777" w:rsidR="00DD5D3A" w:rsidRDefault="00DD5D3A" w:rsidP="0056077D">
            <w:pPr>
              <w:pStyle w:val="BodyText"/>
            </w:pPr>
            <w:r>
              <w:t>$7.2 million</w:t>
            </w:r>
          </w:p>
        </w:tc>
        <w:tc>
          <w:tcPr>
            <w:tcW w:w="916" w:type="pct"/>
          </w:tcPr>
          <w:p w14:paraId="5FC43FB0" w14:textId="77777777" w:rsidR="00DD5D3A" w:rsidRDefault="00DD5D3A" w:rsidP="0056077D">
            <w:pPr>
              <w:pStyle w:val="BodyText"/>
            </w:pPr>
            <w:r>
              <w:t>$6.6 million</w:t>
            </w:r>
          </w:p>
        </w:tc>
      </w:tr>
    </w:tbl>
    <w:p w14:paraId="1AB338C6" w14:textId="24593028" w:rsidR="00DD5D3A" w:rsidRDefault="00DD5D3A" w:rsidP="005E0F63">
      <w:pPr>
        <w:pStyle w:val="ProductCode"/>
      </w:pPr>
      <w:r>
        <w:t>(a)</w:t>
      </w:r>
      <w:r w:rsidR="005E0F63">
        <w:t xml:space="preserve"> </w:t>
      </w:r>
      <w:r>
        <w:t>The number of vaccines administered by vaccination providers and recorded in the AIR. A vaccine can consist of multiple antigens. For example, the measles, mumps, rubella vaccine has 3 antigens.</w:t>
      </w:r>
    </w:p>
    <w:p w14:paraId="6895D154" w14:textId="6C04DE03" w:rsidR="00DD5D3A" w:rsidRDefault="00DD5D3A" w:rsidP="005E0F63">
      <w:pPr>
        <w:pStyle w:val="ProductCode"/>
      </w:pPr>
      <w:r>
        <w:t>(b)</w:t>
      </w:r>
      <w:r w:rsidR="005E0F63">
        <w:t xml:space="preserve"> </w:t>
      </w:r>
      <w:r>
        <w:t>Payments are made to eligible vaccination providers on completion of the childhood National Immunisation Program schedule for a child aged under 7, or for vaccinating a child aged under 7 who is more than 2 months overdue for their childhood National Immunisation Program scheduled vaccines.</w:t>
      </w:r>
    </w:p>
    <w:p w14:paraId="568C75B5" w14:textId="77777777" w:rsidR="00DD5D3A" w:rsidRDefault="00DD5D3A" w:rsidP="00DD5D3A">
      <w:pPr>
        <w:pStyle w:val="Heading2"/>
      </w:pPr>
      <w:r>
        <w:t>Australian Organ Donor Register</w:t>
      </w:r>
    </w:p>
    <w:p w14:paraId="658C73B3" w14:textId="77777777" w:rsidR="00DD5D3A" w:rsidRDefault="00DD5D3A" w:rsidP="00DD5D3A">
      <w:pPr>
        <w:pStyle w:val="BodyText"/>
        <w:rPr>
          <w:spacing w:val="-1"/>
        </w:rPr>
      </w:pPr>
      <w:r>
        <w:t xml:space="preserve">The Australian Organ Donor Register is a national register that records people’s </w:t>
      </w:r>
      <w:r>
        <w:rPr>
          <w:spacing w:val="-1"/>
        </w:rPr>
        <w:t>preferences about becoming organ and/or tissue donors for transplantation after death.</w:t>
      </w:r>
    </w:p>
    <w:p w14:paraId="583F76CA" w14:textId="77777777" w:rsidR="00DD5D3A" w:rsidRDefault="00DD5D3A" w:rsidP="00DD5D3A">
      <w:pPr>
        <w:pStyle w:val="BodyText"/>
      </w:pPr>
      <w:r>
        <w:rPr>
          <w:spacing w:val="-1"/>
        </w:rPr>
        <w:t xml:space="preserve">The register allows authorised medical personnel to verify a person’s preferences about </w:t>
      </w:r>
      <w:r>
        <w:rPr>
          <w:spacing w:val="-2"/>
        </w:rPr>
        <w:t xml:space="preserve">donating their organs and/or tissue for transplantation. People can register their donation </w:t>
      </w:r>
      <w:r>
        <w:t>decision online using their Medicare online account through myGov or myGov apps.</w:t>
      </w:r>
    </w:p>
    <w:p w14:paraId="15BCF848" w14:textId="77777777" w:rsidR="00DD5D3A" w:rsidRDefault="00DD5D3A" w:rsidP="00DD5D3A">
      <w:pPr>
        <w:pStyle w:val="BodyText"/>
        <w:spacing w:after="57"/>
      </w:pPr>
      <w:r>
        <w:t>There are 2 types of organ donor registrations:</w:t>
      </w:r>
    </w:p>
    <w:p w14:paraId="0D8D8DEB" w14:textId="77777777" w:rsidR="00DD5D3A" w:rsidRDefault="00DD5D3A" w:rsidP="00DD5D3A">
      <w:pPr>
        <w:pStyle w:val="ListBullet"/>
      </w:pPr>
      <w:r>
        <w:t>Consent registration is available to people aged 18 and older. Consent to donate is given through a signed registration form or a Medicare online account through myGov or myGov mobile apps.</w:t>
      </w:r>
    </w:p>
    <w:p w14:paraId="0A8A26D9" w14:textId="77777777" w:rsidR="00DD5D3A" w:rsidRDefault="00DD5D3A" w:rsidP="00DD5D3A">
      <w:pPr>
        <w:pStyle w:val="ListBullet"/>
      </w:pPr>
      <w:r>
        <w:t>Intent registration is available to people aged 16 and older. Intent to donate is registered through a channel that does not require a signature or electronic authentication, such as phone or email.</w:t>
      </w:r>
    </w:p>
    <w:p w14:paraId="71010854" w14:textId="77777777" w:rsidR="00DD5D3A" w:rsidRDefault="00DD5D3A" w:rsidP="00DD5D3A">
      <w:pPr>
        <w:pStyle w:val="BodyText"/>
      </w:pPr>
      <w:r>
        <w:t>Whether registration is by intent or consent, approval is always sought from the person’s family before proceeding with the donation process.</w:t>
      </w:r>
    </w:p>
    <w:p w14:paraId="4FA972E1" w14:textId="77777777" w:rsidR="00DD5D3A" w:rsidRDefault="00DD5D3A" w:rsidP="00DD5D3A">
      <w:pPr>
        <w:pStyle w:val="BodyText"/>
      </w:pPr>
      <w:r>
        <w:t>Table 26 shows the number of registrations as at 30 June 2022–23 to 2024–25.</w:t>
      </w:r>
    </w:p>
    <w:p w14:paraId="32A8FF06" w14:textId="09E4BDD6" w:rsidR="00DD5D3A" w:rsidRPr="00DD5D3A" w:rsidRDefault="005E0F63" w:rsidP="00DD5D3A">
      <w:pPr>
        <w:pStyle w:val="BodyText"/>
        <w:rPr>
          <w:b/>
          <w:bCs/>
        </w:rPr>
      </w:pPr>
      <w:r>
        <w:rPr>
          <w:b/>
          <w:bCs/>
        </w:rPr>
        <w:t>Table 26:</w:t>
      </w:r>
      <w:r w:rsidR="00DD5D3A" w:rsidRPr="00DD5D3A">
        <w:rPr>
          <w:b/>
          <w:bCs/>
        </w:rPr>
        <w:t xml:space="preserve"> Organ donor registrations</w:t>
      </w:r>
    </w:p>
    <w:tbl>
      <w:tblPr>
        <w:tblStyle w:val="TableGrid"/>
        <w:tblW w:w="5000" w:type="pct"/>
        <w:tblLook w:val="04A0" w:firstRow="1" w:lastRow="0" w:firstColumn="1" w:lastColumn="0" w:noHBand="0" w:noVBand="1"/>
        <w:tblCaption w:val="Organ donor registrations"/>
      </w:tblPr>
      <w:tblGrid>
        <w:gridCol w:w="4997"/>
        <w:gridCol w:w="2033"/>
        <w:gridCol w:w="2033"/>
        <w:gridCol w:w="2033"/>
      </w:tblGrid>
      <w:tr w:rsidR="00DD5D3A" w14:paraId="718592B7" w14:textId="77777777" w:rsidTr="005875A4">
        <w:trPr>
          <w:trHeight w:val="396"/>
          <w:tblHeader/>
        </w:trPr>
        <w:tc>
          <w:tcPr>
            <w:tcW w:w="2252" w:type="pct"/>
          </w:tcPr>
          <w:p w14:paraId="184C687E" w14:textId="77777777" w:rsidR="00DD5D3A" w:rsidRPr="0056077D" w:rsidRDefault="00DD5D3A" w:rsidP="0056077D">
            <w:pPr>
              <w:pStyle w:val="BodyText"/>
              <w:rPr>
                <w:b/>
                <w:bCs/>
              </w:rPr>
            </w:pPr>
          </w:p>
        </w:tc>
        <w:tc>
          <w:tcPr>
            <w:tcW w:w="916" w:type="pct"/>
          </w:tcPr>
          <w:p w14:paraId="46515F0C" w14:textId="77777777" w:rsidR="00DD5D3A" w:rsidRPr="0056077D" w:rsidRDefault="00DD5D3A" w:rsidP="0056077D">
            <w:pPr>
              <w:pStyle w:val="BodyText"/>
              <w:rPr>
                <w:b/>
                <w:bCs/>
              </w:rPr>
            </w:pPr>
            <w:r w:rsidRPr="0056077D">
              <w:rPr>
                <w:b/>
                <w:bCs/>
              </w:rPr>
              <w:t>2022–23</w:t>
            </w:r>
          </w:p>
        </w:tc>
        <w:tc>
          <w:tcPr>
            <w:tcW w:w="916" w:type="pct"/>
          </w:tcPr>
          <w:p w14:paraId="3AB82ED2" w14:textId="77777777" w:rsidR="00DD5D3A" w:rsidRPr="0056077D" w:rsidRDefault="00DD5D3A" w:rsidP="0056077D">
            <w:pPr>
              <w:pStyle w:val="BodyText"/>
              <w:rPr>
                <w:b/>
                <w:bCs/>
              </w:rPr>
            </w:pPr>
            <w:r w:rsidRPr="0056077D">
              <w:rPr>
                <w:b/>
                <w:bCs/>
              </w:rPr>
              <w:t>2023–24</w:t>
            </w:r>
          </w:p>
        </w:tc>
        <w:tc>
          <w:tcPr>
            <w:tcW w:w="916" w:type="pct"/>
          </w:tcPr>
          <w:p w14:paraId="46E8F180" w14:textId="77777777" w:rsidR="00DD5D3A" w:rsidRPr="0056077D" w:rsidRDefault="00DD5D3A" w:rsidP="0056077D">
            <w:pPr>
              <w:pStyle w:val="BodyText"/>
              <w:rPr>
                <w:b/>
                <w:bCs/>
              </w:rPr>
            </w:pPr>
            <w:r w:rsidRPr="0056077D">
              <w:rPr>
                <w:b/>
                <w:bCs/>
              </w:rPr>
              <w:t>2024–25</w:t>
            </w:r>
          </w:p>
        </w:tc>
      </w:tr>
      <w:tr w:rsidR="00DD5D3A" w14:paraId="45264506" w14:textId="77777777" w:rsidTr="006A0585">
        <w:trPr>
          <w:trHeight w:val="396"/>
        </w:trPr>
        <w:tc>
          <w:tcPr>
            <w:tcW w:w="2252" w:type="pct"/>
          </w:tcPr>
          <w:p w14:paraId="2C5A60CE" w14:textId="77777777" w:rsidR="00DD5D3A" w:rsidRDefault="00DD5D3A" w:rsidP="0056077D">
            <w:pPr>
              <w:pStyle w:val="BodyText"/>
            </w:pPr>
            <w:r>
              <w:t>Consent registrations</w:t>
            </w:r>
            <w:r>
              <w:rPr>
                <w:vertAlign w:val="superscript"/>
              </w:rPr>
              <w:t>(a)</w:t>
            </w:r>
          </w:p>
        </w:tc>
        <w:tc>
          <w:tcPr>
            <w:tcW w:w="916" w:type="pct"/>
          </w:tcPr>
          <w:p w14:paraId="22408F16" w14:textId="77777777" w:rsidR="00DD5D3A" w:rsidRDefault="00DD5D3A" w:rsidP="0056077D">
            <w:pPr>
              <w:pStyle w:val="BodyText"/>
            </w:pPr>
            <w:r>
              <w:t>3.3 million</w:t>
            </w:r>
          </w:p>
        </w:tc>
        <w:tc>
          <w:tcPr>
            <w:tcW w:w="916" w:type="pct"/>
          </w:tcPr>
          <w:p w14:paraId="21BE0713" w14:textId="77777777" w:rsidR="00DD5D3A" w:rsidRDefault="00DD5D3A" w:rsidP="0056077D">
            <w:pPr>
              <w:pStyle w:val="BodyText"/>
            </w:pPr>
            <w:r>
              <w:t>3.5 million</w:t>
            </w:r>
          </w:p>
        </w:tc>
        <w:tc>
          <w:tcPr>
            <w:tcW w:w="916" w:type="pct"/>
          </w:tcPr>
          <w:p w14:paraId="122233B4" w14:textId="77777777" w:rsidR="00DD5D3A" w:rsidRDefault="00DD5D3A" w:rsidP="0056077D">
            <w:pPr>
              <w:pStyle w:val="BodyText"/>
            </w:pPr>
            <w:r>
              <w:t>3.6 million</w:t>
            </w:r>
          </w:p>
        </w:tc>
      </w:tr>
      <w:tr w:rsidR="00DD5D3A" w14:paraId="522EF21B" w14:textId="77777777" w:rsidTr="006A0585">
        <w:trPr>
          <w:trHeight w:val="396"/>
        </w:trPr>
        <w:tc>
          <w:tcPr>
            <w:tcW w:w="2252" w:type="pct"/>
          </w:tcPr>
          <w:p w14:paraId="6832DFB4" w14:textId="77777777" w:rsidR="00DD5D3A" w:rsidRDefault="00DD5D3A" w:rsidP="0056077D">
            <w:pPr>
              <w:pStyle w:val="BodyText"/>
            </w:pPr>
            <w:r>
              <w:rPr>
                <w:rStyle w:val="Bold"/>
                <w:b w:val="0"/>
                <w:bCs w:val="0"/>
              </w:rPr>
              <w:t>Intent registrations</w:t>
            </w:r>
            <w:r>
              <w:rPr>
                <w:rStyle w:val="Bold"/>
                <w:b w:val="0"/>
                <w:bCs w:val="0"/>
                <w:vertAlign w:val="superscript"/>
              </w:rPr>
              <w:t xml:space="preserve">(b) </w:t>
            </w:r>
          </w:p>
        </w:tc>
        <w:tc>
          <w:tcPr>
            <w:tcW w:w="916" w:type="pct"/>
          </w:tcPr>
          <w:p w14:paraId="02BCE525" w14:textId="77777777" w:rsidR="00DD5D3A" w:rsidRDefault="00DD5D3A" w:rsidP="0056077D">
            <w:pPr>
              <w:pStyle w:val="BodyText"/>
            </w:pPr>
            <w:r>
              <w:t>4.3 million</w:t>
            </w:r>
          </w:p>
        </w:tc>
        <w:tc>
          <w:tcPr>
            <w:tcW w:w="916" w:type="pct"/>
          </w:tcPr>
          <w:p w14:paraId="23AF6D5F" w14:textId="77777777" w:rsidR="00DD5D3A" w:rsidRDefault="00DD5D3A" w:rsidP="0056077D">
            <w:pPr>
              <w:pStyle w:val="BodyText"/>
            </w:pPr>
            <w:r>
              <w:t>4.3 million</w:t>
            </w:r>
          </w:p>
        </w:tc>
        <w:tc>
          <w:tcPr>
            <w:tcW w:w="916" w:type="pct"/>
          </w:tcPr>
          <w:p w14:paraId="1C03A072" w14:textId="77777777" w:rsidR="00DD5D3A" w:rsidRDefault="00DD5D3A" w:rsidP="0056077D">
            <w:pPr>
              <w:pStyle w:val="BodyText"/>
            </w:pPr>
            <w:r>
              <w:t>4.3 million</w:t>
            </w:r>
          </w:p>
        </w:tc>
      </w:tr>
      <w:tr w:rsidR="00DD5D3A" w14:paraId="5DEB2593" w14:textId="77777777" w:rsidTr="006A0585">
        <w:trPr>
          <w:trHeight w:val="396"/>
        </w:trPr>
        <w:tc>
          <w:tcPr>
            <w:tcW w:w="2252" w:type="pct"/>
          </w:tcPr>
          <w:p w14:paraId="6E0AD497" w14:textId="77777777" w:rsidR="00DD5D3A" w:rsidRDefault="00DD5D3A" w:rsidP="0056077D">
            <w:pPr>
              <w:pStyle w:val="BodyText"/>
            </w:pPr>
            <w:r>
              <w:rPr>
                <w:rStyle w:val="Bold"/>
              </w:rPr>
              <w:t>Total registrations</w:t>
            </w:r>
          </w:p>
        </w:tc>
        <w:tc>
          <w:tcPr>
            <w:tcW w:w="916" w:type="pct"/>
          </w:tcPr>
          <w:p w14:paraId="308A9C71" w14:textId="77777777" w:rsidR="00DD5D3A" w:rsidRDefault="00DD5D3A" w:rsidP="0056077D">
            <w:pPr>
              <w:pStyle w:val="BodyText"/>
            </w:pPr>
            <w:r>
              <w:rPr>
                <w:rStyle w:val="Bold"/>
              </w:rPr>
              <w:t>7.6 million</w:t>
            </w:r>
          </w:p>
        </w:tc>
        <w:tc>
          <w:tcPr>
            <w:tcW w:w="916" w:type="pct"/>
          </w:tcPr>
          <w:p w14:paraId="50A070FE" w14:textId="77777777" w:rsidR="00DD5D3A" w:rsidRDefault="00DD5D3A" w:rsidP="0056077D">
            <w:pPr>
              <w:pStyle w:val="BodyText"/>
            </w:pPr>
            <w:r>
              <w:rPr>
                <w:rStyle w:val="Bold"/>
              </w:rPr>
              <w:t>7.8 million</w:t>
            </w:r>
          </w:p>
        </w:tc>
        <w:tc>
          <w:tcPr>
            <w:tcW w:w="916" w:type="pct"/>
          </w:tcPr>
          <w:p w14:paraId="361BA73A" w14:textId="77777777" w:rsidR="00DD5D3A" w:rsidRDefault="00DD5D3A" w:rsidP="0056077D">
            <w:pPr>
              <w:pStyle w:val="BodyText"/>
            </w:pPr>
            <w:r>
              <w:rPr>
                <w:rStyle w:val="Bold"/>
              </w:rPr>
              <w:t>7.9 million</w:t>
            </w:r>
          </w:p>
        </w:tc>
      </w:tr>
    </w:tbl>
    <w:p w14:paraId="182FB9A7" w14:textId="47E8DE4F" w:rsidR="00DD5D3A" w:rsidRDefault="00DD5D3A" w:rsidP="005E0F63">
      <w:pPr>
        <w:pStyle w:val="ProductCode"/>
      </w:pPr>
      <w:r>
        <w:t>(a)</w:t>
      </w:r>
      <w:r w:rsidR="005E0F63">
        <w:t xml:space="preserve"> </w:t>
      </w:r>
      <w:r>
        <w:t xml:space="preserve">Registration that requires a signature, such as forms and brochures, or electronic authentication via myGov or the myGov app. </w:t>
      </w:r>
    </w:p>
    <w:p w14:paraId="79F204F2" w14:textId="1EAB5831" w:rsidR="00DD5D3A" w:rsidRDefault="00DD5D3A" w:rsidP="005E0F63">
      <w:pPr>
        <w:pStyle w:val="ProductCode"/>
      </w:pPr>
      <w:r>
        <w:t>(b)</w:t>
      </w:r>
      <w:r w:rsidR="005E0F63">
        <w:t xml:space="preserve"> </w:t>
      </w:r>
      <w:r>
        <w:t>Registration that does not require a signature or electronic authentication, via phone, DonateLife webform, or South Australian driver licences.</w:t>
      </w:r>
    </w:p>
    <w:p w14:paraId="54B4AA7A" w14:textId="77777777" w:rsidR="00DD5D3A" w:rsidRDefault="00DD5D3A" w:rsidP="00DD5D3A">
      <w:pPr>
        <w:pStyle w:val="Heading2"/>
      </w:pPr>
      <w:r>
        <w:t>Australian Thalidomide Survivors Support Program</w:t>
      </w:r>
    </w:p>
    <w:p w14:paraId="31FD002F" w14:textId="77777777" w:rsidR="00DD5D3A" w:rsidRDefault="00DD5D3A" w:rsidP="00DD5D3A">
      <w:pPr>
        <w:pStyle w:val="BodyText"/>
        <w:spacing w:after="57"/>
      </w:pPr>
      <w:r>
        <w:t>The Australian Thalidomide Survivors Support Program gives a lifetime support package for all recognised Australian thalidomide survivors. The agency administers 2 components of the program:</w:t>
      </w:r>
    </w:p>
    <w:p w14:paraId="51FCDA33" w14:textId="77777777" w:rsidR="00DD5D3A" w:rsidRDefault="00DD5D3A" w:rsidP="00DD5D3A">
      <w:pPr>
        <w:pStyle w:val="ListBullet"/>
      </w:pPr>
      <w:r>
        <w:t xml:space="preserve">the Extraordinary Assistance Fund – for home and vehicle modifications </w:t>
      </w:r>
    </w:p>
    <w:p w14:paraId="6C4BA92C" w14:textId="77777777" w:rsidR="00DD5D3A" w:rsidRDefault="00DD5D3A" w:rsidP="00DD5D3A">
      <w:pPr>
        <w:pStyle w:val="ListBullet"/>
      </w:pPr>
      <w:r>
        <w:t>the Health Care Assistance Fund – for all out-of-pocket health care expenses.</w:t>
      </w:r>
    </w:p>
    <w:p w14:paraId="2DA5E43D" w14:textId="77777777" w:rsidR="00DD5D3A" w:rsidRDefault="00DD5D3A" w:rsidP="00DD5D3A">
      <w:pPr>
        <w:pStyle w:val="BodyText"/>
      </w:pPr>
      <w:r>
        <w:lastRenderedPageBreak/>
        <w:t>Table 27 shows numbers of claims and amounts paid under the program from 2022–23 to 2024–25.</w:t>
      </w:r>
    </w:p>
    <w:p w14:paraId="5031B753" w14:textId="1C190200" w:rsidR="00DD5D3A" w:rsidRPr="00DD5D3A" w:rsidRDefault="005E0F63" w:rsidP="00DD5D3A">
      <w:pPr>
        <w:pStyle w:val="BodyText"/>
        <w:rPr>
          <w:b/>
          <w:bCs/>
        </w:rPr>
      </w:pPr>
      <w:r>
        <w:rPr>
          <w:b/>
          <w:bCs/>
        </w:rPr>
        <w:t>Table 27:</w:t>
      </w:r>
      <w:r w:rsidR="00DD5D3A" w:rsidRPr="00DD5D3A">
        <w:rPr>
          <w:b/>
          <w:bCs/>
        </w:rPr>
        <w:t xml:space="preserve"> Extraordinary Assistance Fund and Health Care Assistance Fund payments and claims</w:t>
      </w:r>
    </w:p>
    <w:tbl>
      <w:tblPr>
        <w:tblStyle w:val="TableGrid"/>
        <w:tblW w:w="5000" w:type="pct"/>
        <w:tblLook w:val="04A0" w:firstRow="1" w:lastRow="0" w:firstColumn="1" w:lastColumn="0" w:noHBand="0" w:noVBand="1"/>
        <w:tblCaption w:val="Extraordinary Assistance Fund and Health Care Assistance Fund payments and claims"/>
      </w:tblPr>
      <w:tblGrid>
        <w:gridCol w:w="4997"/>
        <w:gridCol w:w="2033"/>
        <w:gridCol w:w="2033"/>
        <w:gridCol w:w="2033"/>
      </w:tblGrid>
      <w:tr w:rsidR="00DD5D3A" w14:paraId="3F7E5450" w14:textId="77777777" w:rsidTr="00891C1C">
        <w:trPr>
          <w:trHeight w:val="396"/>
          <w:tblHeader/>
        </w:trPr>
        <w:tc>
          <w:tcPr>
            <w:tcW w:w="2252" w:type="pct"/>
          </w:tcPr>
          <w:p w14:paraId="1E52C9B7" w14:textId="77777777" w:rsidR="00DD5D3A" w:rsidRPr="0056077D" w:rsidRDefault="00DD5D3A" w:rsidP="0056077D">
            <w:pPr>
              <w:pStyle w:val="BodyText"/>
              <w:rPr>
                <w:b/>
                <w:bCs/>
              </w:rPr>
            </w:pPr>
          </w:p>
        </w:tc>
        <w:tc>
          <w:tcPr>
            <w:tcW w:w="916" w:type="pct"/>
          </w:tcPr>
          <w:p w14:paraId="69112DCC" w14:textId="77777777" w:rsidR="00DD5D3A" w:rsidRPr="0056077D" w:rsidRDefault="00DD5D3A" w:rsidP="0056077D">
            <w:pPr>
              <w:pStyle w:val="BodyText"/>
              <w:rPr>
                <w:b/>
                <w:bCs/>
              </w:rPr>
            </w:pPr>
            <w:r w:rsidRPr="0056077D">
              <w:rPr>
                <w:b/>
                <w:bCs/>
              </w:rPr>
              <w:t>2022–23</w:t>
            </w:r>
          </w:p>
        </w:tc>
        <w:tc>
          <w:tcPr>
            <w:tcW w:w="916" w:type="pct"/>
          </w:tcPr>
          <w:p w14:paraId="5316CD6A" w14:textId="77777777" w:rsidR="00DD5D3A" w:rsidRPr="0056077D" w:rsidRDefault="00DD5D3A" w:rsidP="0056077D">
            <w:pPr>
              <w:pStyle w:val="BodyText"/>
              <w:rPr>
                <w:b/>
                <w:bCs/>
              </w:rPr>
            </w:pPr>
            <w:r w:rsidRPr="0056077D">
              <w:rPr>
                <w:b/>
                <w:bCs/>
              </w:rPr>
              <w:t>2023–24</w:t>
            </w:r>
          </w:p>
        </w:tc>
        <w:tc>
          <w:tcPr>
            <w:tcW w:w="916" w:type="pct"/>
          </w:tcPr>
          <w:p w14:paraId="2CD34156" w14:textId="77777777" w:rsidR="00DD5D3A" w:rsidRPr="0056077D" w:rsidRDefault="00DD5D3A" w:rsidP="0056077D">
            <w:pPr>
              <w:pStyle w:val="BodyText"/>
              <w:rPr>
                <w:b/>
                <w:bCs/>
              </w:rPr>
            </w:pPr>
            <w:r w:rsidRPr="0056077D">
              <w:rPr>
                <w:b/>
                <w:bCs/>
              </w:rPr>
              <w:t>2024–25</w:t>
            </w:r>
            <w:r w:rsidRPr="0056077D">
              <w:rPr>
                <w:b/>
                <w:bCs/>
                <w:vertAlign w:val="superscript"/>
              </w:rPr>
              <w:t>(a)</w:t>
            </w:r>
          </w:p>
        </w:tc>
      </w:tr>
      <w:tr w:rsidR="00DD5D3A" w14:paraId="38038686" w14:textId="77777777" w:rsidTr="006A0585">
        <w:trPr>
          <w:trHeight w:val="396"/>
        </w:trPr>
        <w:tc>
          <w:tcPr>
            <w:tcW w:w="2252" w:type="pct"/>
          </w:tcPr>
          <w:p w14:paraId="6C755342" w14:textId="77777777" w:rsidR="00DD5D3A" w:rsidRDefault="00DD5D3A" w:rsidP="00874D7C">
            <w:pPr>
              <w:pStyle w:val="BodyText"/>
            </w:pPr>
            <w:r>
              <w:t>Extraordinary Assistance Fund</w:t>
            </w:r>
          </w:p>
        </w:tc>
        <w:tc>
          <w:tcPr>
            <w:tcW w:w="916" w:type="pct"/>
          </w:tcPr>
          <w:p w14:paraId="6C07EEC7" w14:textId="77777777" w:rsidR="00DD5D3A" w:rsidRDefault="00DD5D3A" w:rsidP="00874D7C">
            <w:pPr>
              <w:pStyle w:val="BodyText"/>
              <w:jc w:val="right"/>
            </w:pPr>
            <w:r>
              <w:t>$123,649</w:t>
            </w:r>
          </w:p>
        </w:tc>
        <w:tc>
          <w:tcPr>
            <w:tcW w:w="916" w:type="pct"/>
          </w:tcPr>
          <w:p w14:paraId="07604667" w14:textId="77777777" w:rsidR="00DD5D3A" w:rsidRDefault="00DD5D3A" w:rsidP="00874D7C">
            <w:pPr>
              <w:pStyle w:val="BodyText"/>
              <w:jc w:val="right"/>
            </w:pPr>
            <w:r>
              <w:t>$526,599</w:t>
            </w:r>
          </w:p>
        </w:tc>
        <w:tc>
          <w:tcPr>
            <w:tcW w:w="916" w:type="pct"/>
          </w:tcPr>
          <w:p w14:paraId="13798582" w14:textId="77777777" w:rsidR="00DD5D3A" w:rsidRDefault="00DD5D3A" w:rsidP="00874D7C">
            <w:pPr>
              <w:pStyle w:val="BodyText"/>
              <w:jc w:val="right"/>
            </w:pPr>
            <w:r>
              <w:t>$565,667</w:t>
            </w:r>
          </w:p>
        </w:tc>
      </w:tr>
      <w:tr w:rsidR="00DD5D3A" w14:paraId="07132723" w14:textId="77777777" w:rsidTr="006A0585">
        <w:trPr>
          <w:trHeight w:val="396"/>
        </w:trPr>
        <w:tc>
          <w:tcPr>
            <w:tcW w:w="2252" w:type="pct"/>
          </w:tcPr>
          <w:p w14:paraId="7A4C824A" w14:textId="77777777" w:rsidR="00DD5D3A" w:rsidRDefault="00DD5D3A" w:rsidP="00874D7C">
            <w:pPr>
              <w:pStyle w:val="BodyText"/>
            </w:pPr>
            <w:r>
              <w:rPr>
                <w:rStyle w:val="Bold"/>
                <w:b w:val="0"/>
                <w:bCs w:val="0"/>
              </w:rPr>
              <w:t xml:space="preserve">Health Care Assistance Fund </w:t>
            </w:r>
          </w:p>
        </w:tc>
        <w:tc>
          <w:tcPr>
            <w:tcW w:w="916" w:type="pct"/>
          </w:tcPr>
          <w:p w14:paraId="642F5940" w14:textId="77777777" w:rsidR="00DD5D3A" w:rsidRDefault="00DD5D3A" w:rsidP="00874D7C">
            <w:pPr>
              <w:pStyle w:val="BodyText"/>
              <w:jc w:val="right"/>
            </w:pPr>
            <w:r>
              <w:t>$331,525</w:t>
            </w:r>
          </w:p>
        </w:tc>
        <w:tc>
          <w:tcPr>
            <w:tcW w:w="916" w:type="pct"/>
          </w:tcPr>
          <w:p w14:paraId="077FDC92" w14:textId="77777777" w:rsidR="00DD5D3A" w:rsidRDefault="00DD5D3A" w:rsidP="00874D7C">
            <w:pPr>
              <w:pStyle w:val="BodyText"/>
              <w:jc w:val="right"/>
            </w:pPr>
            <w:r>
              <w:t>$394,256</w:t>
            </w:r>
          </w:p>
        </w:tc>
        <w:tc>
          <w:tcPr>
            <w:tcW w:w="916" w:type="pct"/>
          </w:tcPr>
          <w:p w14:paraId="4F3D8B3B" w14:textId="77777777" w:rsidR="00DD5D3A" w:rsidRDefault="00DD5D3A" w:rsidP="00874D7C">
            <w:pPr>
              <w:pStyle w:val="BodyText"/>
              <w:jc w:val="right"/>
            </w:pPr>
            <w:r>
              <w:t>$419,955</w:t>
            </w:r>
          </w:p>
        </w:tc>
      </w:tr>
      <w:tr w:rsidR="00DD5D3A" w14:paraId="166B2B4D" w14:textId="77777777" w:rsidTr="006A0585">
        <w:trPr>
          <w:trHeight w:val="396"/>
        </w:trPr>
        <w:tc>
          <w:tcPr>
            <w:tcW w:w="2252" w:type="pct"/>
          </w:tcPr>
          <w:p w14:paraId="04D10EE2" w14:textId="77777777" w:rsidR="00DD5D3A" w:rsidRDefault="00DD5D3A" w:rsidP="00874D7C">
            <w:pPr>
              <w:pStyle w:val="BodyText"/>
            </w:pPr>
            <w:r>
              <w:rPr>
                <w:rStyle w:val="Bold"/>
              </w:rPr>
              <w:t>Total claims</w:t>
            </w:r>
          </w:p>
        </w:tc>
        <w:tc>
          <w:tcPr>
            <w:tcW w:w="916" w:type="pct"/>
          </w:tcPr>
          <w:p w14:paraId="6334AB2C" w14:textId="77777777" w:rsidR="00DD5D3A" w:rsidRDefault="00DD5D3A" w:rsidP="00874D7C">
            <w:pPr>
              <w:pStyle w:val="BodyText"/>
              <w:jc w:val="right"/>
            </w:pPr>
            <w:r>
              <w:rPr>
                <w:rStyle w:val="Bold"/>
              </w:rPr>
              <w:t>960</w:t>
            </w:r>
          </w:p>
        </w:tc>
        <w:tc>
          <w:tcPr>
            <w:tcW w:w="916" w:type="pct"/>
          </w:tcPr>
          <w:p w14:paraId="7697A43A" w14:textId="77777777" w:rsidR="00DD5D3A" w:rsidRDefault="00DD5D3A" w:rsidP="00874D7C">
            <w:pPr>
              <w:pStyle w:val="BodyText"/>
              <w:jc w:val="right"/>
            </w:pPr>
            <w:r>
              <w:rPr>
                <w:rStyle w:val="Bold"/>
              </w:rPr>
              <w:t>1,788</w:t>
            </w:r>
          </w:p>
        </w:tc>
        <w:tc>
          <w:tcPr>
            <w:tcW w:w="916" w:type="pct"/>
          </w:tcPr>
          <w:p w14:paraId="32843ED4" w14:textId="77777777" w:rsidR="00DD5D3A" w:rsidRDefault="00DD5D3A" w:rsidP="00874D7C">
            <w:pPr>
              <w:pStyle w:val="BodyText"/>
              <w:jc w:val="right"/>
            </w:pPr>
            <w:r>
              <w:rPr>
                <w:rStyle w:val="Bold"/>
              </w:rPr>
              <w:t>2,502</w:t>
            </w:r>
          </w:p>
        </w:tc>
      </w:tr>
      <w:tr w:rsidR="00DD5D3A" w14:paraId="47D261B4" w14:textId="77777777" w:rsidTr="006A0585">
        <w:trPr>
          <w:trHeight w:val="396"/>
        </w:trPr>
        <w:tc>
          <w:tcPr>
            <w:tcW w:w="2252" w:type="pct"/>
          </w:tcPr>
          <w:p w14:paraId="2868EC1C" w14:textId="77777777" w:rsidR="00DD5D3A" w:rsidRDefault="00DD5D3A" w:rsidP="00874D7C">
            <w:pPr>
              <w:pStyle w:val="BodyText"/>
            </w:pPr>
            <w:r>
              <w:rPr>
                <w:rStyle w:val="Bold"/>
              </w:rPr>
              <w:t>Amount paid</w:t>
            </w:r>
          </w:p>
        </w:tc>
        <w:tc>
          <w:tcPr>
            <w:tcW w:w="916" w:type="pct"/>
          </w:tcPr>
          <w:p w14:paraId="5C36BE6B" w14:textId="77777777" w:rsidR="00DD5D3A" w:rsidRDefault="00DD5D3A" w:rsidP="00874D7C">
            <w:pPr>
              <w:pStyle w:val="BodyText"/>
              <w:jc w:val="right"/>
            </w:pPr>
            <w:r>
              <w:rPr>
                <w:rStyle w:val="Bold"/>
              </w:rPr>
              <w:t>$455,174</w:t>
            </w:r>
          </w:p>
        </w:tc>
        <w:tc>
          <w:tcPr>
            <w:tcW w:w="916" w:type="pct"/>
          </w:tcPr>
          <w:p w14:paraId="3B33FD51" w14:textId="77777777" w:rsidR="00DD5D3A" w:rsidRDefault="00DD5D3A" w:rsidP="00874D7C">
            <w:pPr>
              <w:pStyle w:val="BodyText"/>
              <w:jc w:val="right"/>
            </w:pPr>
            <w:r>
              <w:rPr>
                <w:rStyle w:val="Bold"/>
              </w:rPr>
              <w:t>$920,855</w:t>
            </w:r>
          </w:p>
        </w:tc>
        <w:tc>
          <w:tcPr>
            <w:tcW w:w="916" w:type="pct"/>
          </w:tcPr>
          <w:p w14:paraId="5489DC39" w14:textId="77777777" w:rsidR="00DD5D3A" w:rsidRDefault="00DD5D3A" w:rsidP="00874D7C">
            <w:pPr>
              <w:pStyle w:val="BodyText"/>
              <w:jc w:val="right"/>
            </w:pPr>
            <w:r>
              <w:rPr>
                <w:rStyle w:val="Bold"/>
              </w:rPr>
              <w:t>$985,622</w:t>
            </w:r>
          </w:p>
        </w:tc>
      </w:tr>
    </w:tbl>
    <w:p w14:paraId="78DDDFC1" w14:textId="77777777" w:rsidR="00DD5D3A" w:rsidRDefault="00DD5D3A" w:rsidP="005E0F63">
      <w:pPr>
        <w:pStyle w:val="ProductCode"/>
      </w:pPr>
      <w:r>
        <w:t>(a) 2024-25 payments data is drawn from financial reporting systems.</w:t>
      </w:r>
    </w:p>
    <w:p w14:paraId="72DDECEA" w14:textId="77777777" w:rsidR="00DD5D3A" w:rsidRDefault="00DD5D3A" w:rsidP="00DD5D3A">
      <w:pPr>
        <w:pStyle w:val="Heading2"/>
      </w:pPr>
      <w:r>
        <w:t>COVID-19 Vaccine Claims Scheme</w:t>
      </w:r>
    </w:p>
    <w:p w14:paraId="46D6CC50" w14:textId="77777777" w:rsidR="00DD5D3A" w:rsidRDefault="00DD5D3A" w:rsidP="00DD5D3A">
      <w:pPr>
        <w:pStyle w:val="BodyText"/>
        <w:spacing w:after="57"/>
      </w:pPr>
      <w:r>
        <w:rPr>
          <w:spacing w:val="-2"/>
        </w:rPr>
        <w:t xml:space="preserve">The COVID-19 Vaccine Claims Scheme is intended to give a simple, streamlined process </w:t>
      </w:r>
      <w:r>
        <w:t xml:space="preserve">to compensate people who have experienced harm because of a Therapeutic Goods </w:t>
      </w:r>
      <w:r>
        <w:rPr>
          <w:spacing w:val="-2"/>
        </w:rPr>
        <w:t xml:space="preserve">Administration (TGA) approved COVID-19 vaccine or its administration. To be eligible for </w:t>
      </w:r>
      <w:r>
        <w:t xml:space="preserve">compensation, the claimant must have: </w:t>
      </w:r>
    </w:p>
    <w:p w14:paraId="3968E3EB" w14:textId="77777777" w:rsidR="00DD5D3A" w:rsidRDefault="00DD5D3A" w:rsidP="00DD5D3A">
      <w:pPr>
        <w:pStyle w:val="ListBullet"/>
      </w:pPr>
      <w:r>
        <w:t>developed a claimable medical condition or an injury during the administration of a TGA approved COVID-19 vaccine</w:t>
      </w:r>
    </w:p>
    <w:p w14:paraId="07FC7375" w14:textId="77777777" w:rsidR="00DD5D3A" w:rsidRDefault="00DD5D3A" w:rsidP="00DD5D3A">
      <w:pPr>
        <w:pStyle w:val="ListBullet"/>
      </w:pPr>
      <w:r>
        <w:t>been admitted to hospital as an inpatient (or sought a waiver) because of the harm suffered</w:t>
      </w:r>
    </w:p>
    <w:p w14:paraId="7AE6151C" w14:textId="77777777" w:rsidR="00DD5D3A" w:rsidRDefault="00DD5D3A" w:rsidP="00DD5D3A">
      <w:pPr>
        <w:pStyle w:val="ListBullet"/>
      </w:pPr>
      <w:r>
        <w:t>had losses or expenses of $1,000 or more, excluding pain and suffering.</w:t>
      </w:r>
    </w:p>
    <w:p w14:paraId="67C4C98E" w14:textId="77777777" w:rsidR="00DD5D3A" w:rsidRDefault="00DD5D3A" w:rsidP="00DD5D3A">
      <w:pPr>
        <w:pStyle w:val="BodyText"/>
      </w:pPr>
      <w:r>
        <w:t>The agency administers the COVID-19 Vaccine Claims Scheme on behalf of the DHDA. The scheme closed to new applications on 30 September 2024.</w:t>
      </w:r>
    </w:p>
    <w:p w14:paraId="03754C7E" w14:textId="77777777" w:rsidR="00DD5D3A" w:rsidRDefault="00DD5D3A" w:rsidP="00DD5D3A">
      <w:pPr>
        <w:pStyle w:val="BodyText"/>
      </w:pPr>
      <w:r>
        <w:t xml:space="preserve">In 2024–25 the agency received 615 claims, with a total of $23.9 million paid to eligible claimants. </w:t>
      </w:r>
    </w:p>
    <w:p w14:paraId="2A3B51EA" w14:textId="77777777" w:rsidR="00DD5D3A" w:rsidRDefault="00DD5D3A" w:rsidP="00DD5D3A">
      <w:pPr>
        <w:pStyle w:val="Heading2"/>
      </w:pPr>
      <w:r>
        <w:rPr>
          <w:spacing w:val="-3"/>
        </w:rPr>
        <w:t xml:space="preserve">Medical and Midwife Professional Indemnity Insurance Schemes </w:t>
      </w:r>
    </w:p>
    <w:p w14:paraId="40C24ABC" w14:textId="77777777" w:rsidR="00DD5D3A" w:rsidRDefault="00DD5D3A" w:rsidP="00DD5D3A">
      <w:pPr>
        <w:pStyle w:val="BodyText"/>
      </w:pPr>
      <w:r>
        <w:t xml:space="preserve">The </w:t>
      </w:r>
      <w:r>
        <w:rPr>
          <w:rStyle w:val="Italic"/>
        </w:rPr>
        <w:t xml:space="preserve">Medical Indemnity Act 2002 </w:t>
      </w:r>
      <w:r>
        <w:t>gives financial assistance to help keep medical indemnity insurance premiums affordable for medical practitioners.</w:t>
      </w:r>
    </w:p>
    <w:p w14:paraId="78B9E822" w14:textId="77777777" w:rsidR="00DD5D3A" w:rsidRDefault="00DD5D3A" w:rsidP="00DD5D3A">
      <w:pPr>
        <w:pStyle w:val="BodyText"/>
        <w:spacing w:after="57"/>
      </w:pPr>
      <w:r>
        <w:t xml:space="preserve">The below schemes help indemnity insurers, doctors, allied health professionals and midwives with the cost of indemnity cover and claims: </w:t>
      </w:r>
    </w:p>
    <w:p w14:paraId="0F0B5864" w14:textId="77777777" w:rsidR="00DD5D3A" w:rsidRDefault="00DD5D3A" w:rsidP="00DD5D3A">
      <w:pPr>
        <w:pStyle w:val="ListBullet"/>
      </w:pPr>
      <w:r>
        <w:t xml:space="preserve">High Cost Claims Scheme </w:t>
      </w:r>
    </w:p>
    <w:p w14:paraId="414AA781" w14:textId="77777777" w:rsidR="00DD5D3A" w:rsidRDefault="00DD5D3A" w:rsidP="00DD5D3A">
      <w:pPr>
        <w:pStyle w:val="ListBullet"/>
      </w:pPr>
      <w:r>
        <w:t>Allied Health High Cost Claims Scheme</w:t>
      </w:r>
    </w:p>
    <w:p w14:paraId="6808DC06" w14:textId="77777777" w:rsidR="00DD5D3A" w:rsidRDefault="00DD5D3A" w:rsidP="00DD5D3A">
      <w:pPr>
        <w:pStyle w:val="ListBullet"/>
      </w:pPr>
      <w:r>
        <w:t>Incurred-But-Not-Reported Indemnity Scheme</w:t>
      </w:r>
    </w:p>
    <w:p w14:paraId="36EDBC0E" w14:textId="77777777" w:rsidR="00DD5D3A" w:rsidRDefault="00DD5D3A" w:rsidP="00DD5D3A">
      <w:pPr>
        <w:pStyle w:val="ListBullet"/>
      </w:pPr>
      <w:r>
        <w:t>Exceptional Claims Scheme</w:t>
      </w:r>
    </w:p>
    <w:p w14:paraId="595431D0" w14:textId="77777777" w:rsidR="00DD5D3A" w:rsidRDefault="00DD5D3A" w:rsidP="00DD5D3A">
      <w:pPr>
        <w:pStyle w:val="ListBullet"/>
      </w:pPr>
      <w:r>
        <w:t>Allied Health Exceptional Claims Scheme</w:t>
      </w:r>
    </w:p>
    <w:p w14:paraId="0E07D268" w14:textId="77777777" w:rsidR="00DD5D3A" w:rsidRDefault="00DD5D3A" w:rsidP="00DD5D3A">
      <w:pPr>
        <w:pStyle w:val="ListBullet"/>
      </w:pPr>
      <w:r>
        <w:t>Run-Off Cover Scheme</w:t>
      </w:r>
    </w:p>
    <w:p w14:paraId="5D1F8B17" w14:textId="77777777" w:rsidR="00DD5D3A" w:rsidRDefault="00DD5D3A" w:rsidP="00DD5D3A">
      <w:pPr>
        <w:pStyle w:val="ListBullet"/>
      </w:pPr>
      <w:r>
        <w:t>Premium Support Scheme</w:t>
      </w:r>
    </w:p>
    <w:p w14:paraId="1E27CABF" w14:textId="77777777" w:rsidR="00DD5D3A" w:rsidRDefault="00DD5D3A" w:rsidP="00DD5D3A">
      <w:pPr>
        <w:pStyle w:val="ListBullet"/>
      </w:pPr>
      <w:r>
        <w:t>Midwife Professional Indemnity Scheme</w:t>
      </w:r>
    </w:p>
    <w:p w14:paraId="7799CF9C" w14:textId="77777777" w:rsidR="00DD5D3A" w:rsidRDefault="00DD5D3A" w:rsidP="00DD5D3A">
      <w:pPr>
        <w:pStyle w:val="ListBullet"/>
      </w:pPr>
      <w:r>
        <w:t>Midwife Professional Indemnity Run-Off Cover Scheme.</w:t>
      </w:r>
    </w:p>
    <w:p w14:paraId="62BE85C9" w14:textId="77777777" w:rsidR="00DD5D3A" w:rsidRDefault="00DD5D3A" w:rsidP="00DD5D3A">
      <w:pPr>
        <w:pStyle w:val="Heading3"/>
      </w:pPr>
      <w:r>
        <w:lastRenderedPageBreak/>
        <w:t>High Cost Claims Scheme</w:t>
      </w:r>
    </w:p>
    <w:p w14:paraId="421F626F" w14:textId="77777777" w:rsidR="00DD5D3A" w:rsidRDefault="00DD5D3A" w:rsidP="00DD5D3A">
      <w:pPr>
        <w:pStyle w:val="BodyText"/>
      </w:pPr>
      <w:r>
        <w:t>Under the High Cost Claims Scheme, the government funds 50% of the cost of medical indemnity insurance payouts that are greater than the threshold amount, up to the limit of the medical practitioner’s insurance cover.</w:t>
      </w:r>
    </w:p>
    <w:p w14:paraId="4910242D" w14:textId="77777777" w:rsidR="00DD5D3A" w:rsidRDefault="00DD5D3A" w:rsidP="00DD5D3A">
      <w:pPr>
        <w:pStyle w:val="BodyText"/>
      </w:pPr>
      <w:r>
        <w:t>Table 28 shows the claims received and benefits paid under the scheme from 2022–23 to 2024–25.</w:t>
      </w:r>
    </w:p>
    <w:p w14:paraId="0B48A2C0" w14:textId="4CF7E109" w:rsidR="00DD5D3A" w:rsidRPr="00DD5D3A" w:rsidRDefault="005E0F63" w:rsidP="00DD5D3A">
      <w:pPr>
        <w:pStyle w:val="BodyText"/>
        <w:rPr>
          <w:b/>
          <w:bCs/>
        </w:rPr>
      </w:pPr>
      <w:r>
        <w:rPr>
          <w:b/>
          <w:bCs/>
        </w:rPr>
        <w:t>Table 28:</w:t>
      </w:r>
      <w:r w:rsidR="00DD5D3A" w:rsidRPr="00DD5D3A">
        <w:rPr>
          <w:b/>
          <w:bCs/>
        </w:rPr>
        <w:t xml:space="preserve"> High Cost Claims Scheme claims and benefits paid</w:t>
      </w:r>
    </w:p>
    <w:tbl>
      <w:tblPr>
        <w:tblStyle w:val="TableGrid"/>
        <w:tblW w:w="5000" w:type="pct"/>
        <w:tblLook w:val="04A0" w:firstRow="1" w:lastRow="0" w:firstColumn="1" w:lastColumn="0" w:noHBand="0" w:noVBand="1"/>
        <w:tblCaption w:val="High Cost Claims Scheme claims and benefits paid"/>
      </w:tblPr>
      <w:tblGrid>
        <w:gridCol w:w="4997"/>
        <w:gridCol w:w="2033"/>
        <w:gridCol w:w="2033"/>
        <w:gridCol w:w="2033"/>
      </w:tblGrid>
      <w:tr w:rsidR="00DD5D3A" w14:paraId="32AAF8FE" w14:textId="77777777" w:rsidTr="00891C1C">
        <w:trPr>
          <w:trHeight w:val="396"/>
          <w:tblHeader/>
        </w:trPr>
        <w:tc>
          <w:tcPr>
            <w:tcW w:w="2252" w:type="pct"/>
          </w:tcPr>
          <w:p w14:paraId="7C984F67" w14:textId="77777777" w:rsidR="00DD5D3A" w:rsidRPr="00770B09" w:rsidRDefault="00DD5D3A" w:rsidP="00770B09">
            <w:pPr>
              <w:pStyle w:val="BodyText"/>
              <w:rPr>
                <w:b/>
                <w:bCs/>
              </w:rPr>
            </w:pPr>
          </w:p>
        </w:tc>
        <w:tc>
          <w:tcPr>
            <w:tcW w:w="916" w:type="pct"/>
          </w:tcPr>
          <w:p w14:paraId="7A2B1056" w14:textId="77777777" w:rsidR="00DD5D3A" w:rsidRPr="00770B09" w:rsidRDefault="00DD5D3A" w:rsidP="00770B09">
            <w:pPr>
              <w:pStyle w:val="BodyText"/>
              <w:rPr>
                <w:b/>
                <w:bCs/>
              </w:rPr>
            </w:pPr>
            <w:r w:rsidRPr="00770B09">
              <w:rPr>
                <w:b/>
                <w:bCs/>
              </w:rPr>
              <w:t>2022–23</w:t>
            </w:r>
          </w:p>
        </w:tc>
        <w:tc>
          <w:tcPr>
            <w:tcW w:w="916" w:type="pct"/>
          </w:tcPr>
          <w:p w14:paraId="611E9F10" w14:textId="77777777" w:rsidR="00DD5D3A" w:rsidRPr="00770B09" w:rsidRDefault="00DD5D3A" w:rsidP="00770B09">
            <w:pPr>
              <w:pStyle w:val="BodyText"/>
              <w:rPr>
                <w:b/>
                <w:bCs/>
              </w:rPr>
            </w:pPr>
            <w:r w:rsidRPr="00770B09">
              <w:rPr>
                <w:b/>
                <w:bCs/>
              </w:rPr>
              <w:t>2023–24</w:t>
            </w:r>
          </w:p>
        </w:tc>
        <w:tc>
          <w:tcPr>
            <w:tcW w:w="916" w:type="pct"/>
          </w:tcPr>
          <w:p w14:paraId="6EC91156" w14:textId="77777777" w:rsidR="00DD5D3A" w:rsidRPr="00770B09" w:rsidRDefault="00DD5D3A" w:rsidP="00770B09">
            <w:pPr>
              <w:pStyle w:val="BodyText"/>
              <w:rPr>
                <w:b/>
                <w:bCs/>
              </w:rPr>
            </w:pPr>
            <w:r w:rsidRPr="00770B09">
              <w:rPr>
                <w:b/>
                <w:bCs/>
              </w:rPr>
              <w:t>2024–25</w:t>
            </w:r>
          </w:p>
        </w:tc>
      </w:tr>
      <w:tr w:rsidR="00DD5D3A" w14:paraId="0D83C792" w14:textId="77777777" w:rsidTr="006A0585">
        <w:trPr>
          <w:trHeight w:val="396"/>
        </w:trPr>
        <w:tc>
          <w:tcPr>
            <w:tcW w:w="2252" w:type="pct"/>
          </w:tcPr>
          <w:p w14:paraId="641EFFB6" w14:textId="77777777" w:rsidR="00DD5D3A" w:rsidRDefault="00DD5D3A" w:rsidP="00874D7C">
            <w:pPr>
              <w:pStyle w:val="BodyText"/>
            </w:pPr>
            <w:r>
              <w:t>Claims received</w:t>
            </w:r>
          </w:p>
        </w:tc>
        <w:tc>
          <w:tcPr>
            <w:tcW w:w="916" w:type="pct"/>
          </w:tcPr>
          <w:p w14:paraId="1444E859" w14:textId="77777777" w:rsidR="00DD5D3A" w:rsidRDefault="00DD5D3A" w:rsidP="00874D7C">
            <w:pPr>
              <w:pStyle w:val="BodyText"/>
              <w:jc w:val="right"/>
            </w:pPr>
            <w:r>
              <w:t>485</w:t>
            </w:r>
          </w:p>
        </w:tc>
        <w:tc>
          <w:tcPr>
            <w:tcW w:w="916" w:type="pct"/>
          </w:tcPr>
          <w:p w14:paraId="32926225" w14:textId="77777777" w:rsidR="00DD5D3A" w:rsidRDefault="00DD5D3A" w:rsidP="00874D7C">
            <w:pPr>
              <w:pStyle w:val="BodyText"/>
              <w:jc w:val="right"/>
            </w:pPr>
            <w:r>
              <w:t>495</w:t>
            </w:r>
          </w:p>
        </w:tc>
        <w:tc>
          <w:tcPr>
            <w:tcW w:w="916" w:type="pct"/>
          </w:tcPr>
          <w:p w14:paraId="34CBE7AE" w14:textId="77777777" w:rsidR="00DD5D3A" w:rsidRDefault="00DD5D3A" w:rsidP="00874D7C">
            <w:pPr>
              <w:pStyle w:val="BodyText"/>
              <w:jc w:val="right"/>
            </w:pPr>
            <w:r>
              <w:t>480</w:t>
            </w:r>
          </w:p>
        </w:tc>
      </w:tr>
      <w:tr w:rsidR="00DD5D3A" w14:paraId="210905B3" w14:textId="77777777" w:rsidTr="006A0585">
        <w:trPr>
          <w:trHeight w:val="396"/>
        </w:trPr>
        <w:tc>
          <w:tcPr>
            <w:tcW w:w="2252" w:type="pct"/>
          </w:tcPr>
          <w:p w14:paraId="138BD8D9" w14:textId="77777777" w:rsidR="00DD5D3A" w:rsidRDefault="00DD5D3A" w:rsidP="00874D7C">
            <w:pPr>
              <w:pStyle w:val="BodyText"/>
            </w:pPr>
            <w:r>
              <w:rPr>
                <w:rStyle w:val="Bold"/>
                <w:b w:val="0"/>
                <w:bCs w:val="0"/>
              </w:rPr>
              <w:t>Benefits paid</w:t>
            </w:r>
          </w:p>
        </w:tc>
        <w:tc>
          <w:tcPr>
            <w:tcW w:w="916" w:type="pct"/>
          </w:tcPr>
          <w:p w14:paraId="770AC822" w14:textId="77777777" w:rsidR="00DD5D3A" w:rsidRDefault="00DD5D3A" w:rsidP="00874D7C">
            <w:pPr>
              <w:pStyle w:val="BodyText"/>
              <w:jc w:val="right"/>
            </w:pPr>
            <w:r>
              <w:t>$63.3 million</w:t>
            </w:r>
          </w:p>
        </w:tc>
        <w:tc>
          <w:tcPr>
            <w:tcW w:w="916" w:type="pct"/>
          </w:tcPr>
          <w:p w14:paraId="73ACAF3E" w14:textId="77777777" w:rsidR="00DD5D3A" w:rsidRDefault="00DD5D3A" w:rsidP="00874D7C">
            <w:pPr>
              <w:pStyle w:val="BodyText"/>
              <w:jc w:val="right"/>
            </w:pPr>
            <w:r>
              <w:t>$62.7 million</w:t>
            </w:r>
          </w:p>
        </w:tc>
        <w:tc>
          <w:tcPr>
            <w:tcW w:w="916" w:type="pct"/>
          </w:tcPr>
          <w:p w14:paraId="42CBD722" w14:textId="77777777" w:rsidR="00DD5D3A" w:rsidRDefault="00DD5D3A" w:rsidP="00874D7C">
            <w:pPr>
              <w:pStyle w:val="BodyText"/>
              <w:jc w:val="right"/>
            </w:pPr>
            <w:r>
              <w:t>$72.8 million</w:t>
            </w:r>
          </w:p>
        </w:tc>
      </w:tr>
    </w:tbl>
    <w:p w14:paraId="2DBAB848" w14:textId="77777777" w:rsidR="00DD5D3A" w:rsidRDefault="00DD5D3A" w:rsidP="00DD5D3A">
      <w:pPr>
        <w:pStyle w:val="Heading3"/>
      </w:pPr>
      <w:r>
        <w:t>Allied Health High Cost Claims Scheme</w:t>
      </w:r>
    </w:p>
    <w:p w14:paraId="6F3C715A" w14:textId="77777777" w:rsidR="00DD5D3A" w:rsidRDefault="00DD5D3A" w:rsidP="00DD5D3A">
      <w:pPr>
        <w:pStyle w:val="BodyText"/>
      </w:pPr>
      <w:r>
        <w:t>Under the Allied Health High Cost Claims Scheme, the government funds 50% of the cost of medical indemnity insurance payouts that are greater than the threshold amount, up to the limit of the allied health practitioner’s insurance cover.</w:t>
      </w:r>
    </w:p>
    <w:p w14:paraId="7CD589AB" w14:textId="77777777" w:rsidR="00DD5D3A" w:rsidRDefault="00DD5D3A" w:rsidP="00DD5D3A">
      <w:pPr>
        <w:pStyle w:val="Heading3"/>
      </w:pPr>
      <w:r>
        <w:t>Incurred-But-Not-Reported Indemnity Scheme</w:t>
      </w:r>
    </w:p>
    <w:p w14:paraId="270F6E9E" w14:textId="77777777" w:rsidR="00DD5D3A" w:rsidRDefault="00DD5D3A" w:rsidP="00DD5D3A">
      <w:pPr>
        <w:pStyle w:val="BodyText"/>
      </w:pPr>
      <w:r>
        <w:t>Under the Incurred-But-Not-Reported Indemnity Scheme, the government covers the costs of claims from medical defence organisations that do not have adequate reserves to cover their liabilities. United Medical Protection Limited is the only medical defence organisation actively participating in the scheme.</w:t>
      </w:r>
    </w:p>
    <w:p w14:paraId="161362DE" w14:textId="77777777" w:rsidR="00DD5D3A" w:rsidRDefault="00DD5D3A" w:rsidP="00DD5D3A">
      <w:pPr>
        <w:pStyle w:val="BodyText"/>
      </w:pPr>
      <w:r>
        <w:t>Table 29 shows the claims received and benefits paid under the scheme from 2022–23 to 2024–25.</w:t>
      </w:r>
    </w:p>
    <w:p w14:paraId="00C48C5C" w14:textId="6A7D03DD" w:rsidR="00DD5D3A" w:rsidRPr="00DD5D3A" w:rsidRDefault="005E0F63" w:rsidP="00DD5D3A">
      <w:pPr>
        <w:pStyle w:val="BodyText"/>
        <w:rPr>
          <w:b/>
          <w:bCs/>
        </w:rPr>
      </w:pPr>
      <w:r>
        <w:rPr>
          <w:b/>
          <w:bCs/>
        </w:rPr>
        <w:t>Table 29:</w:t>
      </w:r>
      <w:r w:rsidR="00DD5D3A" w:rsidRPr="00DD5D3A">
        <w:rPr>
          <w:b/>
          <w:bCs/>
        </w:rPr>
        <w:t xml:space="preserve"> Incurred-But-Not-Reported Indemnity Scheme claims and benefits paid</w:t>
      </w:r>
    </w:p>
    <w:tbl>
      <w:tblPr>
        <w:tblStyle w:val="TableGrid"/>
        <w:tblW w:w="5000" w:type="pct"/>
        <w:tblLook w:val="04A0" w:firstRow="1" w:lastRow="0" w:firstColumn="1" w:lastColumn="0" w:noHBand="0" w:noVBand="1"/>
        <w:tblCaption w:val="Incurred-But-Not-Reported Indemnity Scheme claims and benefits paid"/>
      </w:tblPr>
      <w:tblGrid>
        <w:gridCol w:w="4997"/>
        <w:gridCol w:w="2033"/>
        <w:gridCol w:w="2033"/>
        <w:gridCol w:w="2033"/>
      </w:tblGrid>
      <w:tr w:rsidR="00DD5D3A" w14:paraId="38DD1B04" w14:textId="77777777" w:rsidTr="00891C1C">
        <w:trPr>
          <w:trHeight w:val="396"/>
          <w:tblHeader/>
        </w:trPr>
        <w:tc>
          <w:tcPr>
            <w:tcW w:w="2252" w:type="pct"/>
          </w:tcPr>
          <w:p w14:paraId="0F495142" w14:textId="77777777" w:rsidR="00DD5D3A" w:rsidRPr="00770B09" w:rsidRDefault="00DD5D3A" w:rsidP="00770B09">
            <w:pPr>
              <w:pStyle w:val="BodyText"/>
              <w:rPr>
                <w:b/>
                <w:bCs/>
              </w:rPr>
            </w:pPr>
          </w:p>
        </w:tc>
        <w:tc>
          <w:tcPr>
            <w:tcW w:w="916" w:type="pct"/>
          </w:tcPr>
          <w:p w14:paraId="0ABF0E6C" w14:textId="77777777" w:rsidR="00DD5D3A" w:rsidRPr="00770B09" w:rsidRDefault="00DD5D3A" w:rsidP="00770B09">
            <w:pPr>
              <w:pStyle w:val="BodyText"/>
              <w:rPr>
                <w:b/>
                <w:bCs/>
              </w:rPr>
            </w:pPr>
            <w:r w:rsidRPr="00770B09">
              <w:rPr>
                <w:b/>
                <w:bCs/>
              </w:rPr>
              <w:t>2022–23</w:t>
            </w:r>
          </w:p>
        </w:tc>
        <w:tc>
          <w:tcPr>
            <w:tcW w:w="916" w:type="pct"/>
          </w:tcPr>
          <w:p w14:paraId="5E99021D" w14:textId="77777777" w:rsidR="00DD5D3A" w:rsidRPr="00770B09" w:rsidRDefault="00DD5D3A" w:rsidP="00770B09">
            <w:pPr>
              <w:pStyle w:val="BodyText"/>
              <w:rPr>
                <w:b/>
                <w:bCs/>
              </w:rPr>
            </w:pPr>
            <w:r w:rsidRPr="00770B09">
              <w:rPr>
                <w:b/>
                <w:bCs/>
              </w:rPr>
              <w:t>2023–24</w:t>
            </w:r>
          </w:p>
        </w:tc>
        <w:tc>
          <w:tcPr>
            <w:tcW w:w="916" w:type="pct"/>
          </w:tcPr>
          <w:p w14:paraId="2EF2EF8F" w14:textId="77777777" w:rsidR="00DD5D3A" w:rsidRPr="00770B09" w:rsidRDefault="00DD5D3A" w:rsidP="00770B09">
            <w:pPr>
              <w:pStyle w:val="BodyText"/>
              <w:rPr>
                <w:b/>
                <w:bCs/>
              </w:rPr>
            </w:pPr>
            <w:r w:rsidRPr="00770B09">
              <w:rPr>
                <w:b/>
                <w:bCs/>
              </w:rPr>
              <w:t>2024–25</w:t>
            </w:r>
          </w:p>
        </w:tc>
      </w:tr>
      <w:tr w:rsidR="00DD5D3A" w14:paraId="3A3BC29A" w14:textId="77777777" w:rsidTr="006A0585">
        <w:trPr>
          <w:trHeight w:val="396"/>
        </w:trPr>
        <w:tc>
          <w:tcPr>
            <w:tcW w:w="2252" w:type="pct"/>
          </w:tcPr>
          <w:p w14:paraId="156228AB" w14:textId="77777777" w:rsidR="00DD5D3A" w:rsidRDefault="00DD5D3A" w:rsidP="00770B09">
            <w:pPr>
              <w:pStyle w:val="BodyText"/>
            </w:pPr>
            <w:r>
              <w:t>Claims received</w:t>
            </w:r>
          </w:p>
        </w:tc>
        <w:tc>
          <w:tcPr>
            <w:tcW w:w="916" w:type="pct"/>
          </w:tcPr>
          <w:p w14:paraId="71BEF525" w14:textId="77777777" w:rsidR="00DD5D3A" w:rsidRDefault="00DD5D3A" w:rsidP="00770B09">
            <w:pPr>
              <w:pStyle w:val="BodyText"/>
            </w:pPr>
            <w:r>
              <w:t>13</w:t>
            </w:r>
          </w:p>
        </w:tc>
        <w:tc>
          <w:tcPr>
            <w:tcW w:w="916" w:type="pct"/>
          </w:tcPr>
          <w:p w14:paraId="45CF8227" w14:textId="77777777" w:rsidR="00DD5D3A" w:rsidRDefault="00DD5D3A" w:rsidP="00770B09">
            <w:pPr>
              <w:pStyle w:val="BodyText"/>
            </w:pPr>
            <w:r>
              <w:t>11</w:t>
            </w:r>
          </w:p>
        </w:tc>
        <w:tc>
          <w:tcPr>
            <w:tcW w:w="916" w:type="pct"/>
          </w:tcPr>
          <w:p w14:paraId="44C0F9CB" w14:textId="77777777" w:rsidR="00DD5D3A" w:rsidRDefault="00DD5D3A" w:rsidP="00770B09">
            <w:pPr>
              <w:pStyle w:val="BodyText"/>
            </w:pPr>
            <w:r>
              <w:t>9</w:t>
            </w:r>
          </w:p>
        </w:tc>
      </w:tr>
      <w:tr w:rsidR="00DD5D3A" w14:paraId="4E5FD0DC" w14:textId="77777777" w:rsidTr="006A0585">
        <w:trPr>
          <w:trHeight w:val="396"/>
        </w:trPr>
        <w:tc>
          <w:tcPr>
            <w:tcW w:w="2252" w:type="pct"/>
          </w:tcPr>
          <w:p w14:paraId="21A57054" w14:textId="77777777" w:rsidR="00DD5D3A" w:rsidRDefault="00DD5D3A" w:rsidP="00770B09">
            <w:pPr>
              <w:pStyle w:val="BodyText"/>
            </w:pPr>
            <w:r>
              <w:rPr>
                <w:rStyle w:val="Bold"/>
                <w:b w:val="0"/>
                <w:bCs w:val="0"/>
              </w:rPr>
              <w:t>Benefits paid</w:t>
            </w:r>
          </w:p>
        </w:tc>
        <w:tc>
          <w:tcPr>
            <w:tcW w:w="916" w:type="pct"/>
          </w:tcPr>
          <w:p w14:paraId="62D30CF2" w14:textId="77777777" w:rsidR="00DD5D3A" w:rsidRDefault="00DD5D3A" w:rsidP="00770B09">
            <w:pPr>
              <w:pStyle w:val="BodyText"/>
            </w:pPr>
            <w:r>
              <w:t>$0.3 million</w:t>
            </w:r>
          </w:p>
        </w:tc>
        <w:tc>
          <w:tcPr>
            <w:tcW w:w="916" w:type="pct"/>
          </w:tcPr>
          <w:p w14:paraId="55A4963A" w14:textId="77777777" w:rsidR="00DD5D3A" w:rsidRDefault="00DD5D3A" w:rsidP="00770B09">
            <w:pPr>
              <w:pStyle w:val="BodyText"/>
            </w:pPr>
            <w:r>
              <w:t>$2.4 million</w:t>
            </w:r>
          </w:p>
        </w:tc>
        <w:tc>
          <w:tcPr>
            <w:tcW w:w="916" w:type="pct"/>
          </w:tcPr>
          <w:p w14:paraId="262401A5" w14:textId="77777777" w:rsidR="00DD5D3A" w:rsidRDefault="00DD5D3A" w:rsidP="00770B09">
            <w:pPr>
              <w:pStyle w:val="BodyText"/>
            </w:pPr>
            <w:r>
              <w:t>$1.2 million</w:t>
            </w:r>
          </w:p>
        </w:tc>
      </w:tr>
    </w:tbl>
    <w:p w14:paraId="3FF80C7C" w14:textId="77777777" w:rsidR="00DD5D3A" w:rsidRDefault="00DD5D3A" w:rsidP="00DD5D3A">
      <w:pPr>
        <w:pStyle w:val="Heading3"/>
      </w:pPr>
      <w:r>
        <w:t>Exceptional Claims Scheme</w:t>
      </w:r>
    </w:p>
    <w:p w14:paraId="2A03B921" w14:textId="77777777" w:rsidR="00DD5D3A" w:rsidRDefault="00DD5D3A" w:rsidP="00DD5D3A">
      <w:pPr>
        <w:pStyle w:val="BodyText"/>
      </w:pPr>
      <w:r>
        <w:t>The Exceptional Claims Scheme protects medical practitioners against personal liability for eligible claims that exceed the level of their insurance. The government funds 100% of the cost of eligible claims above their insurance limit that equal or exceed the relevant threshold of $20 million. No claims were received and no benefits paid in 2024–25.</w:t>
      </w:r>
    </w:p>
    <w:p w14:paraId="6BE1F6C9" w14:textId="77777777" w:rsidR="00DD5D3A" w:rsidRDefault="00DD5D3A" w:rsidP="00DD5D3A">
      <w:pPr>
        <w:pStyle w:val="Heading3"/>
      </w:pPr>
      <w:r>
        <w:t>Allied Health Exceptional Claims Scheme</w:t>
      </w:r>
    </w:p>
    <w:p w14:paraId="56C56804" w14:textId="77777777" w:rsidR="00DD5D3A" w:rsidRDefault="00DD5D3A" w:rsidP="00DD5D3A">
      <w:pPr>
        <w:pStyle w:val="BodyText"/>
      </w:pPr>
      <w:r>
        <w:t>The Allied Health Exceptional Claims Scheme protects allied health practitioners against personal liability for eligible claims that exceed the level of their insurance. The government funds 100% of the cost of eligible claims above their insurance limit that equal or exceed the relevant threshold of $20 million. No claims were received and no benefits paid in 2024–25.</w:t>
      </w:r>
    </w:p>
    <w:p w14:paraId="6E3449FA" w14:textId="77777777" w:rsidR="00DD5D3A" w:rsidRDefault="00DD5D3A" w:rsidP="00DD5D3A">
      <w:pPr>
        <w:pStyle w:val="Heading3"/>
      </w:pPr>
      <w:r>
        <w:lastRenderedPageBreak/>
        <w:t>Run-off Cover Scheme</w:t>
      </w:r>
    </w:p>
    <w:p w14:paraId="6706E491" w14:textId="77777777" w:rsidR="00DD5D3A" w:rsidRDefault="00DD5D3A" w:rsidP="00DD5D3A">
      <w:pPr>
        <w:pStyle w:val="BodyText"/>
      </w:pPr>
      <w:r>
        <w:t>Under the Run-Off Cover Scheme, the government covers the cost of claims for eligible medical practitioners who have left the private medical workforce. To pay for the scheme, the government uses funds received through the Run-Off Cover Support Payment, which is a tax paid by medical indemnity insurers each year.</w:t>
      </w:r>
    </w:p>
    <w:p w14:paraId="0E7B8C7C" w14:textId="77777777" w:rsidR="00DD5D3A" w:rsidRDefault="00DD5D3A" w:rsidP="00DD5D3A">
      <w:pPr>
        <w:pStyle w:val="BodyText"/>
      </w:pPr>
      <w:r>
        <w:t>Table 30 shows the number of claims received and benefits paid under the scheme from 2022–23 to 2024–25.</w:t>
      </w:r>
    </w:p>
    <w:p w14:paraId="34C9238D" w14:textId="6B308F07" w:rsidR="00DD5D3A" w:rsidRPr="00DD5D3A" w:rsidRDefault="005E0F63" w:rsidP="00DD5D3A">
      <w:pPr>
        <w:pStyle w:val="BodyText"/>
        <w:rPr>
          <w:b/>
          <w:bCs/>
        </w:rPr>
      </w:pPr>
      <w:r>
        <w:rPr>
          <w:b/>
          <w:bCs/>
        </w:rPr>
        <w:t>Table 30:</w:t>
      </w:r>
      <w:r w:rsidR="00DD5D3A" w:rsidRPr="00DD5D3A">
        <w:rPr>
          <w:b/>
          <w:bCs/>
        </w:rPr>
        <w:t xml:space="preserve"> Run-Off Cover Scheme claims and benefits paid</w:t>
      </w:r>
    </w:p>
    <w:tbl>
      <w:tblPr>
        <w:tblStyle w:val="TableGrid"/>
        <w:tblW w:w="5000" w:type="pct"/>
        <w:tblLook w:val="04A0" w:firstRow="1" w:lastRow="0" w:firstColumn="1" w:lastColumn="0" w:noHBand="0" w:noVBand="1"/>
        <w:tblCaption w:val="Run-Off Cover Scheme claims and benefits paid"/>
      </w:tblPr>
      <w:tblGrid>
        <w:gridCol w:w="4997"/>
        <w:gridCol w:w="2033"/>
        <w:gridCol w:w="2033"/>
        <w:gridCol w:w="2033"/>
      </w:tblGrid>
      <w:tr w:rsidR="00DD5D3A" w14:paraId="1E47C747" w14:textId="77777777" w:rsidTr="00891C1C">
        <w:trPr>
          <w:trHeight w:val="396"/>
          <w:tblHeader/>
        </w:trPr>
        <w:tc>
          <w:tcPr>
            <w:tcW w:w="2252" w:type="pct"/>
          </w:tcPr>
          <w:p w14:paraId="23659C09" w14:textId="77777777" w:rsidR="00DD5D3A" w:rsidRPr="00770B09" w:rsidRDefault="00DD5D3A" w:rsidP="00770B09">
            <w:pPr>
              <w:pStyle w:val="BodyText"/>
              <w:rPr>
                <w:b/>
                <w:bCs/>
              </w:rPr>
            </w:pPr>
          </w:p>
        </w:tc>
        <w:tc>
          <w:tcPr>
            <w:tcW w:w="916" w:type="pct"/>
          </w:tcPr>
          <w:p w14:paraId="0C1FC782" w14:textId="77777777" w:rsidR="00DD5D3A" w:rsidRPr="00770B09" w:rsidRDefault="00DD5D3A" w:rsidP="00770B09">
            <w:pPr>
              <w:pStyle w:val="BodyText"/>
              <w:rPr>
                <w:b/>
                <w:bCs/>
              </w:rPr>
            </w:pPr>
            <w:r w:rsidRPr="00770B09">
              <w:rPr>
                <w:b/>
                <w:bCs/>
              </w:rPr>
              <w:t>2022–23</w:t>
            </w:r>
          </w:p>
        </w:tc>
        <w:tc>
          <w:tcPr>
            <w:tcW w:w="916" w:type="pct"/>
          </w:tcPr>
          <w:p w14:paraId="3A358F95" w14:textId="77777777" w:rsidR="00DD5D3A" w:rsidRPr="00770B09" w:rsidRDefault="00DD5D3A" w:rsidP="00770B09">
            <w:pPr>
              <w:pStyle w:val="BodyText"/>
              <w:rPr>
                <w:b/>
                <w:bCs/>
              </w:rPr>
            </w:pPr>
            <w:r w:rsidRPr="00770B09">
              <w:rPr>
                <w:b/>
                <w:bCs/>
              </w:rPr>
              <w:t>2023–24</w:t>
            </w:r>
          </w:p>
        </w:tc>
        <w:tc>
          <w:tcPr>
            <w:tcW w:w="916" w:type="pct"/>
          </w:tcPr>
          <w:p w14:paraId="33D21A4D" w14:textId="77777777" w:rsidR="00DD5D3A" w:rsidRPr="00770B09" w:rsidRDefault="00DD5D3A" w:rsidP="00770B09">
            <w:pPr>
              <w:pStyle w:val="BodyText"/>
              <w:rPr>
                <w:b/>
                <w:bCs/>
              </w:rPr>
            </w:pPr>
            <w:r w:rsidRPr="00770B09">
              <w:rPr>
                <w:b/>
                <w:bCs/>
              </w:rPr>
              <w:t>2024–25</w:t>
            </w:r>
          </w:p>
        </w:tc>
      </w:tr>
      <w:tr w:rsidR="00DD5D3A" w14:paraId="6CC2F2B7" w14:textId="77777777" w:rsidTr="006A0585">
        <w:trPr>
          <w:trHeight w:val="396"/>
        </w:trPr>
        <w:tc>
          <w:tcPr>
            <w:tcW w:w="2252" w:type="pct"/>
          </w:tcPr>
          <w:p w14:paraId="42B4B753" w14:textId="77777777" w:rsidR="00DD5D3A" w:rsidRDefault="00DD5D3A" w:rsidP="00770B09">
            <w:pPr>
              <w:pStyle w:val="BodyText"/>
            </w:pPr>
            <w:r>
              <w:t>Claims received</w:t>
            </w:r>
          </w:p>
        </w:tc>
        <w:tc>
          <w:tcPr>
            <w:tcW w:w="916" w:type="pct"/>
          </w:tcPr>
          <w:p w14:paraId="29E9BE66" w14:textId="77777777" w:rsidR="00DD5D3A" w:rsidRDefault="00DD5D3A" w:rsidP="00770B09">
            <w:pPr>
              <w:pStyle w:val="BodyText"/>
            </w:pPr>
            <w:r>
              <w:t>310</w:t>
            </w:r>
          </w:p>
        </w:tc>
        <w:tc>
          <w:tcPr>
            <w:tcW w:w="916" w:type="pct"/>
          </w:tcPr>
          <w:p w14:paraId="073A2154" w14:textId="77777777" w:rsidR="00DD5D3A" w:rsidRDefault="00DD5D3A" w:rsidP="00770B09">
            <w:pPr>
              <w:pStyle w:val="BodyText"/>
            </w:pPr>
            <w:r>
              <w:t>204</w:t>
            </w:r>
          </w:p>
        </w:tc>
        <w:tc>
          <w:tcPr>
            <w:tcW w:w="916" w:type="pct"/>
          </w:tcPr>
          <w:p w14:paraId="5C1D57EC" w14:textId="77777777" w:rsidR="00DD5D3A" w:rsidRDefault="00DD5D3A" w:rsidP="00770B09">
            <w:pPr>
              <w:pStyle w:val="BodyText"/>
            </w:pPr>
            <w:r>
              <w:t>195</w:t>
            </w:r>
          </w:p>
        </w:tc>
      </w:tr>
      <w:tr w:rsidR="00DD5D3A" w14:paraId="69F14A28" w14:textId="77777777" w:rsidTr="006A0585">
        <w:trPr>
          <w:trHeight w:val="396"/>
        </w:trPr>
        <w:tc>
          <w:tcPr>
            <w:tcW w:w="2252" w:type="pct"/>
          </w:tcPr>
          <w:p w14:paraId="0DE64B99" w14:textId="77777777" w:rsidR="00DD5D3A" w:rsidRDefault="00DD5D3A" w:rsidP="00770B09">
            <w:pPr>
              <w:pStyle w:val="BodyText"/>
            </w:pPr>
            <w:r>
              <w:rPr>
                <w:rStyle w:val="Bold"/>
                <w:b w:val="0"/>
                <w:bCs w:val="0"/>
              </w:rPr>
              <w:t>Benefits paid</w:t>
            </w:r>
          </w:p>
        </w:tc>
        <w:tc>
          <w:tcPr>
            <w:tcW w:w="916" w:type="pct"/>
          </w:tcPr>
          <w:p w14:paraId="56EEDC76" w14:textId="77777777" w:rsidR="00DD5D3A" w:rsidRDefault="00DD5D3A" w:rsidP="00770B09">
            <w:pPr>
              <w:pStyle w:val="BodyText"/>
            </w:pPr>
            <w:r>
              <w:t>$27.9 million</w:t>
            </w:r>
          </w:p>
        </w:tc>
        <w:tc>
          <w:tcPr>
            <w:tcW w:w="916" w:type="pct"/>
          </w:tcPr>
          <w:p w14:paraId="248C7755" w14:textId="77777777" w:rsidR="00DD5D3A" w:rsidRDefault="00DD5D3A" w:rsidP="00770B09">
            <w:pPr>
              <w:pStyle w:val="BodyText"/>
            </w:pPr>
            <w:r>
              <w:t>$18.9 million</w:t>
            </w:r>
          </w:p>
        </w:tc>
        <w:tc>
          <w:tcPr>
            <w:tcW w:w="916" w:type="pct"/>
          </w:tcPr>
          <w:p w14:paraId="3BCAB0E6" w14:textId="77777777" w:rsidR="00DD5D3A" w:rsidRDefault="00DD5D3A" w:rsidP="00770B09">
            <w:pPr>
              <w:pStyle w:val="BodyText"/>
            </w:pPr>
            <w:r>
              <w:t>$20.3 million</w:t>
            </w:r>
          </w:p>
        </w:tc>
      </w:tr>
    </w:tbl>
    <w:p w14:paraId="4B11DB62" w14:textId="77777777" w:rsidR="00DD5D3A" w:rsidRDefault="00DD5D3A" w:rsidP="00DD5D3A">
      <w:pPr>
        <w:pStyle w:val="Heading3"/>
      </w:pPr>
      <w:r>
        <w:t>Premium Support Scheme</w:t>
      </w:r>
    </w:p>
    <w:p w14:paraId="071A124D" w14:textId="77777777" w:rsidR="00DD5D3A" w:rsidRDefault="00DD5D3A" w:rsidP="00DD5D3A">
      <w:pPr>
        <w:pStyle w:val="BodyText"/>
      </w:pPr>
      <w:r>
        <w:t>Under the Premium Support Scheme, eligible medical practitioners receive a subsidised reduction in their insurance premiums. Insurers are then reimbursed the subsidised amount.</w:t>
      </w:r>
    </w:p>
    <w:p w14:paraId="0E3CC355" w14:textId="77777777" w:rsidR="00DD5D3A" w:rsidRDefault="00DD5D3A" w:rsidP="00DD5D3A">
      <w:pPr>
        <w:pStyle w:val="BodyText"/>
      </w:pPr>
      <w:r>
        <w:t>Table 31 shows the number of participating practitioners and amounts paid under the scheme from 2022–23 to 2024–25.</w:t>
      </w:r>
    </w:p>
    <w:p w14:paraId="4C1E3F90" w14:textId="7E692BC4" w:rsidR="00DD5D3A" w:rsidRPr="00DD5D3A" w:rsidRDefault="005E0F63" w:rsidP="00DD5D3A">
      <w:pPr>
        <w:pStyle w:val="BodyText"/>
        <w:rPr>
          <w:b/>
          <w:bCs/>
        </w:rPr>
      </w:pPr>
      <w:r>
        <w:rPr>
          <w:b/>
          <w:bCs/>
        </w:rPr>
        <w:t>Table 31:</w:t>
      </w:r>
      <w:r w:rsidR="00DD5D3A" w:rsidRPr="00DD5D3A">
        <w:rPr>
          <w:b/>
          <w:bCs/>
        </w:rPr>
        <w:t xml:space="preserve"> Premium Support Scheme participating practitioners and amounts paid</w:t>
      </w:r>
    </w:p>
    <w:tbl>
      <w:tblPr>
        <w:tblStyle w:val="TableGrid"/>
        <w:tblW w:w="5000" w:type="pct"/>
        <w:tblLook w:val="04A0" w:firstRow="1" w:lastRow="0" w:firstColumn="1" w:lastColumn="0" w:noHBand="0" w:noVBand="1"/>
        <w:tblCaption w:val="Premium Support Scheme participating practitioners and amounts paid"/>
      </w:tblPr>
      <w:tblGrid>
        <w:gridCol w:w="4997"/>
        <w:gridCol w:w="2033"/>
        <w:gridCol w:w="2033"/>
        <w:gridCol w:w="2033"/>
      </w:tblGrid>
      <w:tr w:rsidR="00DD5D3A" w14:paraId="4319A9FB" w14:textId="77777777" w:rsidTr="00891C1C">
        <w:trPr>
          <w:trHeight w:val="396"/>
          <w:tblHeader/>
        </w:trPr>
        <w:tc>
          <w:tcPr>
            <w:tcW w:w="2252" w:type="pct"/>
          </w:tcPr>
          <w:p w14:paraId="3F794D2E" w14:textId="77777777" w:rsidR="00DD5D3A" w:rsidRPr="00770B09" w:rsidRDefault="00DD5D3A" w:rsidP="00770B09">
            <w:pPr>
              <w:pStyle w:val="BodyText"/>
              <w:rPr>
                <w:b/>
                <w:bCs/>
              </w:rPr>
            </w:pPr>
          </w:p>
        </w:tc>
        <w:tc>
          <w:tcPr>
            <w:tcW w:w="916" w:type="pct"/>
          </w:tcPr>
          <w:p w14:paraId="2B92BDB2" w14:textId="77777777" w:rsidR="00DD5D3A" w:rsidRPr="00770B09" w:rsidRDefault="00DD5D3A" w:rsidP="00770B09">
            <w:pPr>
              <w:pStyle w:val="BodyText"/>
              <w:rPr>
                <w:b/>
                <w:bCs/>
              </w:rPr>
            </w:pPr>
            <w:r w:rsidRPr="00770B09">
              <w:rPr>
                <w:b/>
                <w:bCs/>
              </w:rPr>
              <w:t>2022–23</w:t>
            </w:r>
          </w:p>
        </w:tc>
        <w:tc>
          <w:tcPr>
            <w:tcW w:w="916" w:type="pct"/>
          </w:tcPr>
          <w:p w14:paraId="3784234A" w14:textId="77777777" w:rsidR="00DD5D3A" w:rsidRPr="00770B09" w:rsidRDefault="00DD5D3A" w:rsidP="00770B09">
            <w:pPr>
              <w:pStyle w:val="BodyText"/>
              <w:rPr>
                <w:b/>
                <w:bCs/>
              </w:rPr>
            </w:pPr>
            <w:r w:rsidRPr="00770B09">
              <w:rPr>
                <w:b/>
                <w:bCs/>
              </w:rPr>
              <w:t>2023–24</w:t>
            </w:r>
          </w:p>
        </w:tc>
        <w:tc>
          <w:tcPr>
            <w:tcW w:w="916" w:type="pct"/>
          </w:tcPr>
          <w:p w14:paraId="634AAE9D" w14:textId="77777777" w:rsidR="00DD5D3A" w:rsidRPr="00770B09" w:rsidRDefault="00DD5D3A" w:rsidP="00770B09">
            <w:pPr>
              <w:pStyle w:val="BodyText"/>
              <w:rPr>
                <w:b/>
                <w:bCs/>
              </w:rPr>
            </w:pPr>
            <w:r w:rsidRPr="00770B09">
              <w:rPr>
                <w:b/>
                <w:bCs/>
              </w:rPr>
              <w:t>2024–25</w:t>
            </w:r>
          </w:p>
        </w:tc>
      </w:tr>
      <w:tr w:rsidR="00DD5D3A" w14:paraId="50F5C785" w14:textId="77777777" w:rsidTr="006A0585">
        <w:trPr>
          <w:trHeight w:val="396"/>
        </w:trPr>
        <w:tc>
          <w:tcPr>
            <w:tcW w:w="2252" w:type="pct"/>
          </w:tcPr>
          <w:p w14:paraId="4A9AE012" w14:textId="77777777" w:rsidR="00DD5D3A" w:rsidRDefault="00DD5D3A" w:rsidP="00770B09">
            <w:pPr>
              <w:pStyle w:val="BodyText"/>
            </w:pPr>
            <w:r>
              <w:t>Eligible practitioners</w:t>
            </w:r>
          </w:p>
        </w:tc>
        <w:tc>
          <w:tcPr>
            <w:tcW w:w="916" w:type="pct"/>
          </w:tcPr>
          <w:p w14:paraId="3292DCDE" w14:textId="77777777" w:rsidR="00DD5D3A" w:rsidRDefault="00DD5D3A" w:rsidP="00770B09">
            <w:pPr>
              <w:pStyle w:val="BodyText"/>
            </w:pPr>
            <w:r>
              <w:t>533</w:t>
            </w:r>
          </w:p>
        </w:tc>
        <w:tc>
          <w:tcPr>
            <w:tcW w:w="916" w:type="pct"/>
          </w:tcPr>
          <w:p w14:paraId="473011AE" w14:textId="77777777" w:rsidR="00DD5D3A" w:rsidRDefault="00DD5D3A" w:rsidP="00770B09">
            <w:pPr>
              <w:pStyle w:val="BodyText"/>
            </w:pPr>
            <w:r>
              <w:t>557</w:t>
            </w:r>
          </w:p>
        </w:tc>
        <w:tc>
          <w:tcPr>
            <w:tcW w:w="916" w:type="pct"/>
          </w:tcPr>
          <w:p w14:paraId="1A2322AB" w14:textId="77777777" w:rsidR="00DD5D3A" w:rsidRDefault="00DD5D3A" w:rsidP="00770B09">
            <w:pPr>
              <w:pStyle w:val="BodyText"/>
            </w:pPr>
            <w:r>
              <w:t>324</w:t>
            </w:r>
          </w:p>
        </w:tc>
      </w:tr>
      <w:tr w:rsidR="00DD5D3A" w14:paraId="5BC4DF2B" w14:textId="77777777" w:rsidTr="006A0585">
        <w:trPr>
          <w:trHeight w:val="396"/>
        </w:trPr>
        <w:tc>
          <w:tcPr>
            <w:tcW w:w="2252" w:type="pct"/>
          </w:tcPr>
          <w:p w14:paraId="7FF42B81" w14:textId="77777777" w:rsidR="00DD5D3A" w:rsidRDefault="00DD5D3A" w:rsidP="00770B09">
            <w:pPr>
              <w:pStyle w:val="BodyText"/>
            </w:pPr>
            <w:r>
              <w:rPr>
                <w:rStyle w:val="Bold"/>
                <w:b w:val="0"/>
                <w:bCs w:val="0"/>
              </w:rPr>
              <w:t>Amount paid</w:t>
            </w:r>
          </w:p>
        </w:tc>
        <w:tc>
          <w:tcPr>
            <w:tcW w:w="916" w:type="pct"/>
          </w:tcPr>
          <w:p w14:paraId="5535ED2C" w14:textId="77777777" w:rsidR="00DD5D3A" w:rsidRDefault="00DD5D3A" w:rsidP="00770B09">
            <w:pPr>
              <w:pStyle w:val="BodyText"/>
            </w:pPr>
            <w:r>
              <w:t>$8 million</w:t>
            </w:r>
          </w:p>
        </w:tc>
        <w:tc>
          <w:tcPr>
            <w:tcW w:w="916" w:type="pct"/>
          </w:tcPr>
          <w:p w14:paraId="10D88DD3" w14:textId="77777777" w:rsidR="00DD5D3A" w:rsidRDefault="00DD5D3A" w:rsidP="00770B09">
            <w:pPr>
              <w:pStyle w:val="BodyText"/>
            </w:pPr>
            <w:r>
              <w:t>$8.1 million</w:t>
            </w:r>
          </w:p>
        </w:tc>
        <w:tc>
          <w:tcPr>
            <w:tcW w:w="916" w:type="pct"/>
          </w:tcPr>
          <w:p w14:paraId="5EC58D26" w14:textId="77777777" w:rsidR="00DD5D3A" w:rsidRDefault="00DD5D3A" w:rsidP="00770B09">
            <w:pPr>
              <w:pStyle w:val="BodyText"/>
            </w:pPr>
            <w:r>
              <w:t xml:space="preserve">$9.1 million </w:t>
            </w:r>
          </w:p>
        </w:tc>
      </w:tr>
    </w:tbl>
    <w:p w14:paraId="15FA30B9" w14:textId="77777777" w:rsidR="00DD5D3A" w:rsidRDefault="00DD5D3A" w:rsidP="00DD5D3A">
      <w:pPr>
        <w:pStyle w:val="Heading3"/>
      </w:pPr>
      <w:r>
        <w:t xml:space="preserve">Midwife Professional Indemnity Scheme </w:t>
      </w:r>
    </w:p>
    <w:p w14:paraId="3A2BE29A" w14:textId="77777777" w:rsidR="00DD5D3A" w:rsidRDefault="00DD5D3A" w:rsidP="00DD5D3A">
      <w:pPr>
        <w:pStyle w:val="BodyText"/>
      </w:pPr>
      <w:r>
        <w:t>The Midwife Professional Indemnity Scheme (MPIS) gives financial assistance to eligible insurers who give indemnity to eligible midwives. The scheme includes a government contribution to assist with claims against eligible midwives, and benefits private independent midwives by providing indemnity insurance policies.</w:t>
      </w:r>
    </w:p>
    <w:p w14:paraId="40A10D08" w14:textId="77777777" w:rsidR="00DD5D3A" w:rsidRDefault="00DD5D3A" w:rsidP="00DD5D3A">
      <w:pPr>
        <w:pStyle w:val="BodyText"/>
        <w:spacing w:after="57"/>
      </w:pPr>
      <w:r>
        <w:t>The MPIS includes 2 levels of cover:</w:t>
      </w:r>
    </w:p>
    <w:p w14:paraId="7D7DB2A3" w14:textId="77777777" w:rsidR="00DD5D3A" w:rsidRDefault="00DD5D3A" w:rsidP="00DD5D3A">
      <w:pPr>
        <w:pStyle w:val="ListBullet"/>
      </w:pPr>
      <w:r>
        <w:t>Level 1 Commonwealth contributions where the insurer pays the first $100,000 for each Level 1 claim and the government reimburses 80% of the cost that exceeds $100,000, up to a ceiling of $2 million.</w:t>
      </w:r>
    </w:p>
    <w:p w14:paraId="5A3B0309" w14:textId="77777777" w:rsidR="00DD5D3A" w:rsidRDefault="00DD5D3A" w:rsidP="00DD5D3A">
      <w:pPr>
        <w:pStyle w:val="ListBullet"/>
      </w:pPr>
      <w:r>
        <w:t xml:space="preserve">Level 2 Commonwealth contributions where the government reimburses the Level 1 payment plus 100% of the cost that exceeds $2 million. </w:t>
      </w:r>
    </w:p>
    <w:p w14:paraId="24F058CC" w14:textId="77777777" w:rsidR="00DD5D3A" w:rsidRDefault="00DD5D3A" w:rsidP="00DD5D3A">
      <w:pPr>
        <w:pStyle w:val="BodyText"/>
      </w:pPr>
      <w:r>
        <w:t>Table 32 shows the number of participating practitioners and amount paid under the scheme from 2022–23 to 2024–25.</w:t>
      </w:r>
    </w:p>
    <w:p w14:paraId="338B4C7F" w14:textId="46F6005C" w:rsidR="00DD5D3A" w:rsidRPr="00DD5D3A" w:rsidRDefault="00A66BE5" w:rsidP="00DD5D3A">
      <w:pPr>
        <w:pStyle w:val="BodyText"/>
        <w:rPr>
          <w:b/>
          <w:bCs/>
        </w:rPr>
      </w:pPr>
      <w:r>
        <w:rPr>
          <w:b/>
          <w:bCs/>
        </w:rPr>
        <w:lastRenderedPageBreak/>
        <w:t>Table 32:</w:t>
      </w:r>
      <w:r w:rsidR="00DD5D3A" w:rsidRPr="00DD5D3A">
        <w:rPr>
          <w:b/>
          <w:bCs/>
        </w:rPr>
        <w:t xml:space="preserve"> Midwife Professional Indemnity Scheme participating practitioners and amounts paid</w:t>
      </w:r>
    </w:p>
    <w:tbl>
      <w:tblPr>
        <w:tblStyle w:val="TableGrid"/>
        <w:tblW w:w="5000" w:type="pct"/>
        <w:tblLook w:val="04A0" w:firstRow="1" w:lastRow="0" w:firstColumn="1" w:lastColumn="0" w:noHBand="0" w:noVBand="1"/>
        <w:tblCaption w:val="Midwife Professional Indemnity Scheme participating practitioners and amounts paid"/>
      </w:tblPr>
      <w:tblGrid>
        <w:gridCol w:w="4997"/>
        <w:gridCol w:w="2033"/>
        <w:gridCol w:w="2033"/>
        <w:gridCol w:w="2033"/>
      </w:tblGrid>
      <w:tr w:rsidR="00DD5D3A" w14:paraId="13629BA1" w14:textId="77777777" w:rsidTr="005875A4">
        <w:trPr>
          <w:trHeight w:val="396"/>
          <w:tblHeader/>
        </w:trPr>
        <w:tc>
          <w:tcPr>
            <w:tcW w:w="2252" w:type="pct"/>
          </w:tcPr>
          <w:p w14:paraId="02027B6F"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3445F5E4" w14:textId="77777777" w:rsidR="00DD5D3A" w:rsidRPr="00891C1C" w:rsidRDefault="00DD5D3A" w:rsidP="00891C1C">
            <w:pPr>
              <w:pStyle w:val="BodyText"/>
              <w:rPr>
                <w:b/>
                <w:bCs/>
              </w:rPr>
            </w:pPr>
            <w:r w:rsidRPr="00891C1C">
              <w:rPr>
                <w:b/>
                <w:bCs/>
              </w:rPr>
              <w:t>2022–23</w:t>
            </w:r>
          </w:p>
        </w:tc>
        <w:tc>
          <w:tcPr>
            <w:tcW w:w="916" w:type="pct"/>
          </w:tcPr>
          <w:p w14:paraId="7AF6F7E1" w14:textId="77777777" w:rsidR="00DD5D3A" w:rsidRPr="00891C1C" w:rsidRDefault="00DD5D3A" w:rsidP="00891C1C">
            <w:pPr>
              <w:pStyle w:val="BodyText"/>
              <w:rPr>
                <w:b/>
                <w:bCs/>
              </w:rPr>
            </w:pPr>
            <w:r w:rsidRPr="00891C1C">
              <w:rPr>
                <w:b/>
                <w:bCs/>
              </w:rPr>
              <w:t>2023–24</w:t>
            </w:r>
          </w:p>
        </w:tc>
        <w:tc>
          <w:tcPr>
            <w:tcW w:w="916" w:type="pct"/>
          </w:tcPr>
          <w:p w14:paraId="6F907197" w14:textId="77777777" w:rsidR="00DD5D3A" w:rsidRPr="00891C1C" w:rsidRDefault="00DD5D3A" w:rsidP="00891C1C">
            <w:pPr>
              <w:pStyle w:val="BodyText"/>
              <w:rPr>
                <w:b/>
                <w:bCs/>
              </w:rPr>
            </w:pPr>
            <w:r w:rsidRPr="00891C1C">
              <w:rPr>
                <w:b/>
                <w:bCs/>
              </w:rPr>
              <w:t>2024–25</w:t>
            </w:r>
          </w:p>
        </w:tc>
      </w:tr>
      <w:tr w:rsidR="00DD5D3A" w14:paraId="5918A946" w14:textId="77777777" w:rsidTr="006A0585">
        <w:trPr>
          <w:trHeight w:val="396"/>
        </w:trPr>
        <w:tc>
          <w:tcPr>
            <w:tcW w:w="2252" w:type="pct"/>
          </w:tcPr>
          <w:p w14:paraId="48F92703" w14:textId="77777777" w:rsidR="00DD5D3A" w:rsidRDefault="00DD5D3A" w:rsidP="00874D7C">
            <w:pPr>
              <w:pStyle w:val="BodyText"/>
            </w:pPr>
            <w:r>
              <w:t>Eligible practitioners</w:t>
            </w:r>
          </w:p>
        </w:tc>
        <w:tc>
          <w:tcPr>
            <w:tcW w:w="916" w:type="pct"/>
          </w:tcPr>
          <w:p w14:paraId="195A686C" w14:textId="77777777" w:rsidR="00DD5D3A" w:rsidRDefault="00DD5D3A" w:rsidP="00874D7C">
            <w:pPr>
              <w:pStyle w:val="BodyText"/>
              <w:jc w:val="right"/>
            </w:pPr>
            <w:r>
              <w:t>549</w:t>
            </w:r>
          </w:p>
        </w:tc>
        <w:tc>
          <w:tcPr>
            <w:tcW w:w="916" w:type="pct"/>
          </w:tcPr>
          <w:p w14:paraId="3C64B1E7" w14:textId="77777777" w:rsidR="00DD5D3A" w:rsidRDefault="00DD5D3A" w:rsidP="00874D7C">
            <w:pPr>
              <w:pStyle w:val="BodyText"/>
              <w:jc w:val="right"/>
            </w:pPr>
            <w:r>
              <w:t>653</w:t>
            </w:r>
          </w:p>
        </w:tc>
        <w:tc>
          <w:tcPr>
            <w:tcW w:w="916" w:type="pct"/>
          </w:tcPr>
          <w:p w14:paraId="7E09CD5F" w14:textId="77777777" w:rsidR="00DD5D3A" w:rsidRDefault="00DD5D3A" w:rsidP="00874D7C">
            <w:pPr>
              <w:pStyle w:val="BodyText"/>
              <w:jc w:val="right"/>
            </w:pPr>
            <w:r>
              <w:t>746</w:t>
            </w:r>
          </w:p>
        </w:tc>
      </w:tr>
      <w:tr w:rsidR="00DD5D3A" w14:paraId="0C620853" w14:textId="77777777" w:rsidTr="006A0585">
        <w:trPr>
          <w:trHeight w:val="396"/>
        </w:trPr>
        <w:tc>
          <w:tcPr>
            <w:tcW w:w="2252" w:type="pct"/>
          </w:tcPr>
          <w:p w14:paraId="2222D4B3" w14:textId="77777777" w:rsidR="00DD5D3A" w:rsidRDefault="00DD5D3A" w:rsidP="00874D7C">
            <w:pPr>
              <w:pStyle w:val="BodyText"/>
            </w:pPr>
            <w:r>
              <w:rPr>
                <w:rStyle w:val="Bold"/>
                <w:b w:val="0"/>
                <w:bCs w:val="0"/>
              </w:rPr>
              <w:t>Amount paid</w:t>
            </w:r>
          </w:p>
        </w:tc>
        <w:tc>
          <w:tcPr>
            <w:tcW w:w="916" w:type="pct"/>
          </w:tcPr>
          <w:p w14:paraId="2D468A94" w14:textId="77777777" w:rsidR="00DD5D3A" w:rsidRDefault="00DD5D3A" w:rsidP="00874D7C">
            <w:pPr>
              <w:pStyle w:val="BodyText"/>
              <w:jc w:val="right"/>
            </w:pPr>
            <w:r>
              <w:t>$0</w:t>
            </w:r>
          </w:p>
        </w:tc>
        <w:tc>
          <w:tcPr>
            <w:tcW w:w="916" w:type="pct"/>
          </w:tcPr>
          <w:p w14:paraId="063F2869" w14:textId="77777777" w:rsidR="00DD5D3A" w:rsidRDefault="00DD5D3A" w:rsidP="00874D7C">
            <w:pPr>
              <w:pStyle w:val="BodyText"/>
              <w:jc w:val="right"/>
            </w:pPr>
            <w:r>
              <w:t>$0</w:t>
            </w:r>
          </w:p>
        </w:tc>
        <w:tc>
          <w:tcPr>
            <w:tcW w:w="916" w:type="pct"/>
          </w:tcPr>
          <w:p w14:paraId="3FFDF30D" w14:textId="77777777" w:rsidR="00DD5D3A" w:rsidRDefault="00DD5D3A" w:rsidP="00874D7C">
            <w:pPr>
              <w:pStyle w:val="BodyText"/>
              <w:jc w:val="right"/>
            </w:pPr>
            <w:r>
              <w:t xml:space="preserve">$0.6 million </w:t>
            </w:r>
          </w:p>
        </w:tc>
      </w:tr>
    </w:tbl>
    <w:p w14:paraId="42752D56" w14:textId="77777777" w:rsidR="00DD5D3A" w:rsidRDefault="00DD5D3A" w:rsidP="00DD5D3A">
      <w:pPr>
        <w:pStyle w:val="Heading3"/>
      </w:pPr>
      <w:r>
        <w:t>Midwife Professional Indemnity Run-Off Cover Scheme</w:t>
      </w:r>
    </w:p>
    <w:p w14:paraId="24591F00" w14:textId="77777777" w:rsidR="00DD5D3A" w:rsidRDefault="00DD5D3A" w:rsidP="00DD5D3A">
      <w:pPr>
        <w:pStyle w:val="BodyText"/>
      </w:pPr>
      <w:r>
        <w:t>The Midwife Professional Indemnity Run-Off Cover Scheme gives run-off cover to eligible midwives who have stopped private practice. No claims were received and no benefits paid in 2024–25.</w:t>
      </w:r>
    </w:p>
    <w:p w14:paraId="0A0705EA" w14:textId="77777777" w:rsidR="00DD5D3A" w:rsidRDefault="00DD5D3A" w:rsidP="00DD5D3A">
      <w:pPr>
        <w:pStyle w:val="Heading2"/>
      </w:pPr>
      <w:r>
        <w:t xml:space="preserve">Digital health </w:t>
      </w:r>
    </w:p>
    <w:p w14:paraId="4A7A9D5A" w14:textId="77777777" w:rsidR="00DD5D3A" w:rsidRDefault="00DD5D3A" w:rsidP="00DD5D3A">
      <w:pPr>
        <w:pStyle w:val="BodyText"/>
        <w:spacing w:after="57"/>
      </w:pPr>
      <w:r>
        <w:t>The agency delivers 4 core services that support the digital health ecosystem, as well as telephony services on behalf of the Australian Digital Health Agency (ADHA):</w:t>
      </w:r>
    </w:p>
    <w:p w14:paraId="5CF35A23" w14:textId="77777777" w:rsidR="00DD5D3A" w:rsidRDefault="00DD5D3A" w:rsidP="00DD5D3A">
      <w:pPr>
        <w:pStyle w:val="ListBullet"/>
      </w:pPr>
      <w:r>
        <w:t>the Healthcare Identifiers Service</w:t>
      </w:r>
    </w:p>
    <w:p w14:paraId="7ED5E5C0" w14:textId="77777777" w:rsidR="00DD5D3A" w:rsidRDefault="00DD5D3A" w:rsidP="00DD5D3A">
      <w:pPr>
        <w:pStyle w:val="ListBullet"/>
      </w:pPr>
      <w:r>
        <w:t>the National Authentication Service for Health</w:t>
      </w:r>
    </w:p>
    <w:p w14:paraId="6EDBEC4F" w14:textId="77777777" w:rsidR="00DD5D3A" w:rsidRDefault="00DD5D3A" w:rsidP="00DD5D3A">
      <w:pPr>
        <w:pStyle w:val="ListBullet"/>
      </w:pPr>
      <w:r>
        <w:t>components of the My Health Record digital health record platform</w:t>
      </w:r>
    </w:p>
    <w:p w14:paraId="060592C1" w14:textId="77777777" w:rsidR="00DD5D3A" w:rsidRDefault="00DD5D3A" w:rsidP="00DD5D3A">
      <w:pPr>
        <w:pStyle w:val="ListBullet"/>
      </w:pPr>
      <w:r>
        <w:t>My Health Record consumer and provider telephony services.</w:t>
      </w:r>
    </w:p>
    <w:p w14:paraId="1EDBB9ED" w14:textId="77777777" w:rsidR="00DD5D3A" w:rsidRDefault="00DD5D3A" w:rsidP="00DD5D3A">
      <w:pPr>
        <w:pStyle w:val="BodyText"/>
        <w:spacing w:after="57"/>
      </w:pPr>
      <w:r>
        <w:t>In partnership with DHDA and ADHA, we worked on a range of short and long-term digital health activities to support the development of a digitally connected health care ecosystem in 2024–25. We progressed activities under the ADHA-owned National Healthcare Identifiers Roadmap, including:</w:t>
      </w:r>
    </w:p>
    <w:p w14:paraId="6E787B55" w14:textId="77777777" w:rsidR="00DD5D3A" w:rsidRDefault="00DD5D3A" w:rsidP="00DD5D3A">
      <w:pPr>
        <w:pStyle w:val="ListBullet"/>
      </w:pPr>
      <w:r>
        <w:t xml:space="preserve">preparing for amendments to the </w:t>
      </w:r>
      <w:r>
        <w:rPr>
          <w:rStyle w:val="Italic"/>
        </w:rPr>
        <w:t>Healthcare Identifiers Act 2010</w:t>
      </w:r>
      <w:r>
        <w:t xml:space="preserve"> that will enable healthcare identifiers to be used more broadly across health, aged care and disability sectors</w:t>
      </w:r>
    </w:p>
    <w:p w14:paraId="1F205B99" w14:textId="77777777" w:rsidR="00DD5D3A" w:rsidRDefault="00DD5D3A" w:rsidP="00DD5D3A">
      <w:pPr>
        <w:pStyle w:val="ListBullet"/>
      </w:pPr>
      <w:r>
        <w:t>streamlining the Individual Healthcare Provider Identifier registration process for health professionals who are not registered with the Australian Health Practitioner Regulation Agency</w:t>
      </w:r>
    </w:p>
    <w:p w14:paraId="3766CFD4" w14:textId="77777777" w:rsidR="00DD5D3A" w:rsidRDefault="00DD5D3A" w:rsidP="00DD5D3A">
      <w:pPr>
        <w:pStyle w:val="ListBullet"/>
      </w:pPr>
      <w:r>
        <w:t>supporting DHDA to deliver the My Aged Care and My Health Record integration.</w:t>
      </w:r>
    </w:p>
    <w:p w14:paraId="7E3FCA49" w14:textId="77777777" w:rsidR="00DD5D3A" w:rsidRDefault="00DD5D3A" w:rsidP="00DD5D3A">
      <w:pPr>
        <w:pStyle w:val="BodyText"/>
      </w:pPr>
      <w:r>
        <w:t xml:space="preserve">We implemented a software developer compliance framework to strengthen our relationship with industry and support integration and development of software products used across the health care sector. </w:t>
      </w:r>
    </w:p>
    <w:p w14:paraId="70403D4A" w14:textId="77777777" w:rsidR="00DD5D3A" w:rsidRDefault="00DD5D3A" w:rsidP="00DD5D3A">
      <w:pPr>
        <w:pStyle w:val="BodyText"/>
        <w:spacing w:after="57"/>
      </w:pPr>
      <w:r>
        <w:t>Authentication, authorisation and access was a key focus, with activities focused on:</w:t>
      </w:r>
    </w:p>
    <w:p w14:paraId="6B7C39F0" w14:textId="77777777" w:rsidR="00DD5D3A" w:rsidRDefault="00DD5D3A" w:rsidP="00DD5D3A">
      <w:pPr>
        <w:pStyle w:val="ListBullet"/>
      </w:pPr>
      <w:r>
        <w:t>working with our partner agencies to simplify and improve authentication for the health and aged care sectors</w:t>
      </w:r>
    </w:p>
    <w:p w14:paraId="17C7A859" w14:textId="77777777" w:rsidR="00DD5D3A" w:rsidRDefault="00DD5D3A" w:rsidP="00DD5D3A">
      <w:pPr>
        <w:pStyle w:val="ListBullet"/>
      </w:pPr>
      <w:r>
        <w:t xml:space="preserve">improving authentication and authorisation capabilities of the Provider Digital Access (PRODA) platform by: </w:t>
      </w:r>
    </w:p>
    <w:p w14:paraId="6192110F" w14:textId="77777777" w:rsidR="00DD5D3A" w:rsidRDefault="00DD5D3A" w:rsidP="00A66BE5">
      <w:pPr>
        <w:pStyle w:val="ListBullet2"/>
      </w:pPr>
      <w:r>
        <w:t>modernising the PRODA ICT application infrastructure</w:t>
      </w:r>
    </w:p>
    <w:p w14:paraId="3BA5452A" w14:textId="77777777" w:rsidR="00DD5D3A" w:rsidRDefault="00DD5D3A" w:rsidP="00A66BE5">
      <w:pPr>
        <w:pStyle w:val="ListBullet2"/>
      </w:pPr>
      <w:r>
        <w:t>further integrating with the Australian Government Digital ID system to enable individuals to register for PRODA using their strong Digital ID</w:t>
      </w:r>
    </w:p>
    <w:p w14:paraId="4E5B387E" w14:textId="77777777" w:rsidR="00DD5D3A" w:rsidRDefault="00DD5D3A" w:rsidP="00A66BE5">
      <w:pPr>
        <w:pStyle w:val="ListBullet2"/>
      </w:pPr>
      <w:r>
        <w:t>further integrating with the ATO Relationship Authorisation Manager to make it easier to register an organisation in PRODA.</w:t>
      </w:r>
    </w:p>
    <w:p w14:paraId="1C932A9E" w14:textId="77777777" w:rsidR="00DD5D3A" w:rsidRDefault="00DD5D3A" w:rsidP="00DD5D3A">
      <w:pPr>
        <w:pStyle w:val="Heading1"/>
      </w:pPr>
      <w:bookmarkStart w:id="18" w:name="_Toc210815397"/>
      <w:r>
        <w:lastRenderedPageBreak/>
        <w:t>4.3 Child Support</w:t>
      </w:r>
      <w:bookmarkEnd w:id="18"/>
    </w:p>
    <w:p w14:paraId="54D6B801" w14:textId="77777777" w:rsidR="00DD5D3A" w:rsidRDefault="00DD5D3A" w:rsidP="00DD5D3A">
      <w:pPr>
        <w:pStyle w:val="BodyText"/>
      </w:pPr>
      <w:r>
        <w:t>The agency delivers the Child Support Program, which aims to ensure that children receive an appropriate level of financial support from parents who are separated.</w:t>
      </w:r>
    </w:p>
    <w:p w14:paraId="4C5DD894" w14:textId="77777777" w:rsidR="00DD5D3A" w:rsidRDefault="00DD5D3A" w:rsidP="00DD5D3A">
      <w:pPr>
        <w:pStyle w:val="BodyText"/>
      </w:pPr>
      <w:r>
        <w:t>We administer the program and are responsible for the registration, assessment, collection and disbursement of child support to parents and non-parent carers such as grandparents, legal guardians and other family members.</w:t>
      </w:r>
    </w:p>
    <w:p w14:paraId="474A73EA" w14:textId="77777777" w:rsidR="00DD5D3A" w:rsidRDefault="00DD5D3A" w:rsidP="00DD5D3A">
      <w:pPr>
        <w:pStyle w:val="BodyText"/>
      </w:pPr>
      <w:r>
        <w:t>The person entitled to receive child support can either elect to have child support payments transferred to them privately (Private Collect) or ask us to collect on their behalf (Child Support Collect). The agency has compliance and enforcement programs to maximise the timely collection and transfer of payments.</w:t>
      </w:r>
    </w:p>
    <w:p w14:paraId="0E4DC329" w14:textId="77777777" w:rsidR="00DD5D3A" w:rsidRDefault="00DD5D3A" w:rsidP="00DD5D3A">
      <w:pPr>
        <w:pStyle w:val="BodyText"/>
      </w:pPr>
      <w:r>
        <w:t xml:space="preserve">We work with parents to review and update child support assessments as circumstances change to ensure the right levels of child support are paid. </w:t>
      </w:r>
    </w:p>
    <w:p w14:paraId="5844A5A1" w14:textId="77777777" w:rsidR="00DD5D3A" w:rsidRDefault="00DD5D3A" w:rsidP="00DD5D3A">
      <w:pPr>
        <w:pStyle w:val="Heading2"/>
      </w:pPr>
      <w:r>
        <w:t>Child support transfers</w:t>
      </w:r>
    </w:p>
    <w:p w14:paraId="5C92F1FF" w14:textId="77777777" w:rsidR="00DD5D3A" w:rsidRDefault="00DD5D3A" w:rsidP="00DD5D3A">
      <w:pPr>
        <w:pStyle w:val="BodyText"/>
      </w:pPr>
      <w:r>
        <w:t>The amount of child support collected represents cash payments collected and transferred by the agency and other allowable payments (such as direct payment of school fees) that are credited as payments but are not collected and transferred by the agency. It does not include Private Collect transfers when the agency assesses the amount payable but does not arrange for collection.</w:t>
      </w:r>
    </w:p>
    <w:p w14:paraId="0C5A9BAE" w14:textId="77777777" w:rsidR="00DD5D3A" w:rsidRDefault="00DD5D3A" w:rsidP="00DD5D3A">
      <w:pPr>
        <w:pStyle w:val="BodyText"/>
      </w:pPr>
      <w:r>
        <w:t>Table 33 shows the proportion of Child Support Collect and Private Collect cases arrangements from 2022–23 to 2024–25.</w:t>
      </w:r>
    </w:p>
    <w:p w14:paraId="0B132619" w14:textId="26E53E67" w:rsidR="00DD5D3A" w:rsidRPr="00DD5D3A" w:rsidRDefault="00A66BE5" w:rsidP="00DD5D3A">
      <w:pPr>
        <w:pStyle w:val="BodyText"/>
        <w:rPr>
          <w:b/>
          <w:bCs/>
        </w:rPr>
      </w:pPr>
      <w:r>
        <w:rPr>
          <w:b/>
          <w:bCs/>
        </w:rPr>
        <w:t>Table 33:</w:t>
      </w:r>
      <w:r w:rsidR="00DD5D3A" w:rsidRPr="00DD5D3A">
        <w:rPr>
          <w:b/>
          <w:bCs/>
        </w:rPr>
        <w:t xml:space="preserve"> Child Support Collect and Private Collect cases arrangements in place as at 30 June</w:t>
      </w:r>
    </w:p>
    <w:tbl>
      <w:tblPr>
        <w:tblStyle w:val="TableGrid"/>
        <w:tblW w:w="5000" w:type="pct"/>
        <w:tblLook w:val="04A0" w:firstRow="1" w:lastRow="0" w:firstColumn="1" w:lastColumn="0" w:noHBand="0" w:noVBand="1"/>
        <w:tblCaption w:val="Child Support Collect and Private Collect cases arrangements in place as at 30 June"/>
      </w:tblPr>
      <w:tblGrid>
        <w:gridCol w:w="4997"/>
        <w:gridCol w:w="2033"/>
        <w:gridCol w:w="2033"/>
        <w:gridCol w:w="2033"/>
      </w:tblGrid>
      <w:tr w:rsidR="00DD5D3A" w14:paraId="7F0F8573" w14:textId="77777777" w:rsidTr="005875A4">
        <w:trPr>
          <w:trHeight w:val="396"/>
          <w:tblHeader/>
        </w:trPr>
        <w:tc>
          <w:tcPr>
            <w:tcW w:w="2252" w:type="pct"/>
          </w:tcPr>
          <w:p w14:paraId="78A95649"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13601A1F" w14:textId="77777777" w:rsidR="00DD5D3A" w:rsidRPr="00891C1C" w:rsidRDefault="00DD5D3A" w:rsidP="00891C1C">
            <w:pPr>
              <w:pStyle w:val="BodyText"/>
              <w:rPr>
                <w:b/>
                <w:bCs/>
              </w:rPr>
            </w:pPr>
            <w:r w:rsidRPr="00891C1C">
              <w:rPr>
                <w:b/>
                <w:bCs/>
              </w:rPr>
              <w:t xml:space="preserve">2022–23 </w:t>
            </w:r>
          </w:p>
        </w:tc>
        <w:tc>
          <w:tcPr>
            <w:tcW w:w="916" w:type="pct"/>
          </w:tcPr>
          <w:p w14:paraId="68D6C471" w14:textId="77777777" w:rsidR="00DD5D3A" w:rsidRPr="00891C1C" w:rsidRDefault="00DD5D3A" w:rsidP="00891C1C">
            <w:pPr>
              <w:pStyle w:val="BodyText"/>
              <w:rPr>
                <w:b/>
                <w:bCs/>
              </w:rPr>
            </w:pPr>
            <w:r w:rsidRPr="00891C1C">
              <w:rPr>
                <w:b/>
                <w:bCs/>
              </w:rPr>
              <w:t>2023–24</w:t>
            </w:r>
          </w:p>
        </w:tc>
        <w:tc>
          <w:tcPr>
            <w:tcW w:w="916" w:type="pct"/>
          </w:tcPr>
          <w:p w14:paraId="123B1133" w14:textId="77777777" w:rsidR="00DD5D3A" w:rsidRPr="00891C1C" w:rsidRDefault="00DD5D3A" w:rsidP="00891C1C">
            <w:pPr>
              <w:pStyle w:val="BodyText"/>
              <w:rPr>
                <w:b/>
                <w:bCs/>
              </w:rPr>
            </w:pPr>
            <w:r w:rsidRPr="00891C1C">
              <w:rPr>
                <w:b/>
                <w:bCs/>
              </w:rPr>
              <w:t>2024–25</w:t>
            </w:r>
          </w:p>
        </w:tc>
      </w:tr>
      <w:tr w:rsidR="00DD5D3A" w14:paraId="3E7A645F" w14:textId="77777777" w:rsidTr="006A0585">
        <w:trPr>
          <w:trHeight w:val="396"/>
        </w:trPr>
        <w:tc>
          <w:tcPr>
            <w:tcW w:w="2252" w:type="pct"/>
          </w:tcPr>
          <w:p w14:paraId="117F8843" w14:textId="77777777" w:rsidR="00DD5D3A" w:rsidRDefault="00DD5D3A" w:rsidP="00874D7C">
            <w:pPr>
              <w:pStyle w:val="BodyText"/>
            </w:pPr>
            <w:r>
              <w:t>Child Support Collect cases</w:t>
            </w:r>
          </w:p>
        </w:tc>
        <w:tc>
          <w:tcPr>
            <w:tcW w:w="916" w:type="pct"/>
          </w:tcPr>
          <w:p w14:paraId="649B3300" w14:textId="77777777" w:rsidR="00DD5D3A" w:rsidRDefault="00DD5D3A" w:rsidP="00874D7C">
            <w:pPr>
              <w:pStyle w:val="Tabletext-LHS"/>
              <w:jc w:val="right"/>
            </w:pPr>
            <w:r>
              <w:t>48.7%</w:t>
            </w:r>
          </w:p>
        </w:tc>
        <w:tc>
          <w:tcPr>
            <w:tcW w:w="916" w:type="pct"/>
          </w:tcPr>
          <w:p w14:paraId="31007DD6" w14:textId="77777777" w:rsidR="00DD5D3A" w:rsidRDefault="00DD5D3A" w:rsidP="00874D7C">
            <w:pPr>
              <w:pStyle w:val="Tabletext-LHS"/>
              <w:jc w:val="right"/>
            </w:pPr>
            <w:r>
              <w:t>49%</w:t>
            </w:r>
          </w:p>
        </w:tc>
        <w:tc>
          <w:tcPr>
            <w:tcW w:w="916" w:type="pct"/>
          </w:tcPr>
          <w:p w14:paraId="7AE857BA" w14:textId="77777777" w:rsidR="00DD5D3A" w:rsidRDefault="00DD5D3A" w:rsidP="00874D7C">
            <w:pPr>
              <w:pStyle w:val="Tabletext-LHS"/>
              <w:jc w:val="right"/>
            </w:pPr>
            <w:r>
              <w:t>49.2%</w:t>
            </w:r>
          </w:p>
        </w:tc>
      </w:tr>
      <w:tr w:rsidR="00DD5D3A" w14:paraId="2C9C94F0" w14:textId="77777777" w:rsidTr="006A0585">
        <w:trPr>
          <w:trHeight w:val="396"/>
        </w:trPr>
        <w:tc>
          <w:tcPr>
            <w:tcW w:w="2252" w:type="pct"/>
          </w:tcPr>
          <w:p w14:paraId="78695644" w14:textId="77777777" w:rsidR="00DD5D3A" w:rsidRDefault="00DD5D3A" w:rsidP="00874D7C">
            <w:pPr>
              <w:pStyle w:val="BodyText"/>
            </w:pPr>
            <w:r>
              <w:t>Private Collect cases</w:t>
            </w:r>
          </w:p>
        </w:tc>
        <w:tc>
          <w:tcPr>
            <w:tcW w:w="916" w:type="pct"/>
          </w:tcPr>
          <w:p w14:paraId="7C1F7306" w14:textId="77777777" w:rsidR="00DD5D3A" w:rsidRDefault="00DD5D3A" w:rsidP="00874D7C">
            <w:pPr>
              <w:pStyle w:val="Tabletext-LHS"/>
              <w:jc w:val="right"/>
            </w:pPr>
            <w:r>
              <w:t>51.3%</w:t>
            </w:r>
          </w:p>
        </w:tc>
        <w:tc>
          <w:tcPr>
            <w:tcW w:w="916" w:type="pct"/>
          </w:tcPr>
          <w:p w14:paraId="5D8CA4FD" w14:textId="77777777" w:rsidR="00DD5D3A" w:rsidRDefault="00DD5D3A" w:rsidP="00874D7C">
            <w:pPr>
              <w:pStyle w:val="Tabletext-LHS"/>
              <w:jc w:val="right"/>
            </w:pPr>
            <w:r>
              <w:t>51%</w:t>
            </w:r>
          </w:p>
        </w:tc>
        <w:tc>
          <w:tcPr>
            <w:tcW w:w="916" w:type="pct"/>
          </w:tcPr>
          <w:p w14:paraId="77A268D4" w14:textId="77777777" w:rsidR="00DD5D3A" w:rsidRDefault="00DD5D3A" w:rsidP="00874D7C">
            <w:pPr>
              <w:pStyle w:val="Tabletext-LHS"/>
              <w:jc w:val="right"/>
            </w:pPr>
            <w:r>
              <w:t>50.8%</w:t>
            </w:r>
          </w:p>
        </w:tc>
      </w:tr>
    </w:tbl>
    <w:p w14:paraId="44242053" w14:textId="77777777" w:rsidR="00DD5D3A" w:rsidRDefault="00DD5D3A" w:rsidP="00DD5D3A">
      <w:pPr>
        <w:pStyle w:val="Heading3"/>
      </w:pPr>
      <w:r>
        <w:t>Private Collect</w:t>
      </w:r>
    </w:p>
    <w:p w14:paraId="38F8D65C" w14:textId="77777777" w:rsidR="00DD5D3A" w:rsidRDefault="00DD5D3A" w:rsidP="00DD5D3A">
      <w:pPr>
        <w:pStyle w:val="BodyText"/>
      </w:pPr>
      <w:r>
        <w:t xml:space="preserve">When appropriate, separated parents can choose to manage their child support </w:t>
      </w:r>
      <w:r>
        <w:rPr>
          <w:spacing w:val="-2"/>
        </w:rPr>
        <w:t xml:space="preserve">responsibilities through Private Collect arrangements. In Private Collect cases, we assess the rate of child support payable, and the paying parent pays child support directly to the </w:t>
      </w:r>
      <w:r>
        <w:t>other parent or non-parent carer.</w:t>
      </w:r>
    </w:p>
    <w:p w14:paraId="3D4468D4" w14:textId="77777777" w:rsidR="00DD5D3A" w:rsidRDefault="00DD5D3A" w:rsidP="00DD5D3A">
      <w:pPr>
        <w:pStyle w:val="BodyText"/>
      </w:pPr>
      <w:r>
        <w:t>Table 34 shows total assessed amounts under Private Collect arrangements from 2022–23 to 2024–25.</w:t>
      </w:r>
    </w:p>
    <w:p w14:paraId="04766BF4" w14:textId="5F6B37A4" w:rsidR="00DD5D3A" w:rsidRPr="00DD5D3A" w:rsidRDefault="00A66BE5" w:rsidP="00DD5D3A">
      <w:pPr>
        <w:pStyle w:val="BodyText"/>
        <w:rPr>
          <w:b/>
          <w:bCs/>
        </w:rPr>
      </w:pPr>
      <w:r>
        <w:rPr>
          <w:b/>
          <w:bCs/>
        </w:rPr>
        <w:t>Table 34:</w:t>
      </w:r>
      <w:r w:rsidR="00DD5D3A" w:rsidRPr="00DD5D3A">
        <w:rPr>
          <w:b/>
          <w:bCs/>
        </w:rPr>
        <w:t xml:space="preserve"> Private Collect arrangements</w:t>
      </w:r>
    </w:p>
    <w:tbl>
      <w:tblPr>
        <w:tblStyle w:val="TableGrid"/>
        <w:tblW w:w="5000" w:type="pct"/>
        <w:tblLook w:val="04A0" w:firstRow="1" w:lastRow="0" w:firstColumn="1" w:lastColumn="0" w:noHBand="0" w:noVBand="1"/>
        <w:tblCaption w:val="Private Collect arrangements"/>
      </w:tblPr>
      <w:tblGrid>
        <w:gridCol w:w="4997"/>
        <w:gridCol w:w="2033"/>
        <w:gridCol w:w="2033"/>
        <w:gridCol w:w="2033"/>
      </w:tblGrid>
      <w:tr w:rsidR="00DD5D3A" w14:paraId="3185C764" w14:textId="77777777" w:rsidTr="004709AE">
        <w:trPr>
          <w:trHeight w:val="396"/>
          <w:tblHeader/>
        </w:trPr>
        <w:tc>
          <w:tcPr>
            <w:tcW w:w="2252" w:type="pct"/>
          </w:tcPr>
          <w:p w14:paraId="4E182870"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0FD41E64" w14:textId="77777777" w:rsidR="00DD5D3A" w:rsidRPr="00891C1C" w:rsidRDefault="00DD5D3A" w:rsidP="00891C1C">
            <w:pPr>
              <w:pStyle w:val="BodyText"/>
              <w:rPr>
                <w:b/>
                <w:bCs/>
              </w:rPr>
            </w:pPr>
            <w:r w:rsidRPr="00891C1C">
              <w:rPr>
                <w:b/>
                <w:bCs/>
              </w:rPr>
              <w:t xml:space="preserve">2022–23 </w:t>
            </w:r>
          </w:p>
        </w:tc>
        <w:tc>
          <w:tcPr>
            <w:tcW w:w="916" w:type="pct"/>
          </w:tcPr>
          <w:p w14:paraId="579EA3AA" w14:textId="77777777" w:rsidR="00DD5D3A" w:rsidRPr="00891C1C" w:rsidRDefault="00DD5D3A" w:rsidP="00891C1C">
            <w:pPr>
              <w:pStyle w:val="BodyText"/>
              <w:rPr>
                <w:b/>
                <w:bCs/>
              </w:rPr>
            </w:pPr>
            <w:r w:rsidRPr="00891C1C">
              <w:rPr>
                <w:b/>
                <w:bCs/>
              </w:rPr>
              <w:t>2023–24</w:t>
            </w:r>
          </w:p>
        </w:tc>
        <w:tc>
          <w:tcPr>
            <w:tcW w:w="916" w:type="pct"/>
          </w:tcPr>
          <w:p w14:paraId="7BF99994" w14:textId="77777777" w:rsidR="00DD5D3A" w:rsidRPr="00891C1C" w:rsidRDefault="00DD5D3A" w:rsidP="00891C1C">
            <w:pPr>
              <w:pStyle w:val="BodyText"/>
              <w:rPr>
                <w:b/>
                <w:bCs/>
              </w:rPr>
            </w:pPr>
            <w:r w:rsidRPr="00891C1C">
              <w:rPr>
                <w:b/>
                <w:bCs/>
              </w:rPr>
              <w:t>2024–25</w:t>
            </w:r>
          </w:p>
        </w:tc>
      </w:tr>
      <w:tr w:rsidR="00DD5D3A" w14:paraId="074F829A" w14:textId="77777777" w:rsidTr="006A0585">
        <w:trPr>
          <w:trHeight w:val="396"/>
        </w:trPr>
        <w:tc>
          <w:tcPr>
            <w:tcW w:w="2252" w:type="pct"/>
          </w:tcPr>
          <w:p w14:paraId="743F0E48" w14:textId="77777777" w:rsidR="00DD5D3A" w:rsidRDefault="00DD5D3A" w:rsidP="00874D7C">
            <w:pPr>
              <w:pStyle w:val="BodyText"/>
            </w:pPr>
            <w:r>
              <w:t>Total assessed amount</w:t>
            </w:r>
          </w:p>
        </w:tc>
        <w:tc>
          <w:tcPr>
            <w:tcW w:w="916" w:type="pct"/>
          </w:tcPr>
          <w:p w14:paraId="3213E0E2" w14:textId="77777777" w:rsidR="00DD5D3A" w:rsidRDefault="00DD5D3A" w:rsidP="00874D7C">
            <w:pPr>
              <w:pStyle w:val="BodyText"/>
              <w:jc w:val="right"/>
            </w:pPr>
            <w:r>
              <w:t xml:space="preserve">$2.1 billion </w:t>
            </w:r>
          </w:p>
        </w:tc>
        <w:tc>
          <w:tcPr>
            <w:tcW w:w="916" w:type="pct"/>
          </w:tcPr>
          <w:p w14:paraId="3FA71A57" w14:textId="77777777" w:rsidR="00DD5D3A" w:rsidRDefault="00DD5D3A" w:rsidP="00874D7C">
            <w:pPr>
              <w:pStyle w:val="BodyText"/>
              <w:jc w:val="right"/>
            </w:pPr>
            <w:r>
              <w:t>$2.2 billion</w:t>
            </w:r>
          </w:p>
        </w:tc>
        <w:tc>
          <w:tcPr>
            <w:tcW w:w="916" w:type="pct"/>
          </w:tcPr>
          <w:p w14:paraId="08AA4617" w14:textId="77777777" w:rsidR="00DD5D3A" w:rsidRDefault="00DD5D3A" w:rsidP="00874D7C">
            <w:pPr>
              <w:pStyle w:val="BodyText"/>
              <w:jc w:val="right"/>
            </w:pPr>
            <w:r>
              <w:t>$2.3 billion</w:t>
            </w:r>
          </w:p>
        </w:tc>
      </w:tr>
    </w:tbl>
    <w:p w14:paraId="351BBD43" w14:textId="77777777" w:rsidR="00DD5D3A" w:rsidRDefault="00DD5D3A" w:rsidP="00DD5D3A">
      <w:pPr>
        <w:pStyle w:val="Heading3"/>
      </w:pPr>
      <w:r>
        <w:lastRenderedPageBreak/>
        <w:t>Child Support Collect</w:t>
      </w:r>
    </w:p>
    <w:p w14:paraId="04387821" w14:textId="77777777" w:rsidR="00DD5D3A" w:rsidRDefault="00DD5D3A" w:rsidP="00DD5D3A">
      <w:pPr>
        <w:pStyle w:val="BodyText"/>
      </w:pPr>
      <w:r>
        <w:t xml:space="preserve">If parents do not choose to make and receive child support payments directly between themselves, they can ask the agency to collect and transfer payments on their behalf. </w:t>
      </w:r>
    </w:p>
    <w:p w14:paraId="056533BA" w14:textId="77777777" w:rsidR="00DD5D3A" w:rsidRDefault="00DD5D3A" w:rsidP="00DD5D3A">
      <w:pPr>
        <w:pStyle w:val="BodyText"/>
      </w:pPr>
      <w:r>
        <w:t xml:space="preserve">Table 35 shows the amount of child support collected and transferred between parents by the agency from 2022–23 to 2024–25. </w:t>
      </w:r>
    </w:p>
    <w:p w14:paraId="167E20B8" w14:textId="4E9BA502" w:rsidR="00DD5D3A" w:rsidRPr="00DD5D3A" w:rsidRDefault="006D0616" w:rsidP="00DD5D3A">
      <w:pPr>
        <w:pStyle w:val="BodyText"/>
        <w:rPr>
          <w:b/>
          <w:bCs/>
        </w:rPr>
      </w:pPr>
      <w:r>
        <w:rPr>
          <w:b/>
          <w:bCs/>
        </w:rPr>
        <w:t>Table 35:</w:t>
      </w:r>
      <w:r w:rsidR="00DD5D3A" w:rsidRPr="00DD5D3A">
        <w:rPr>
          <w:b/>
          <w:bCs/>
        </w:rPr>
        <w:t xml:space="preserve"> Child support collected and transferred between parents </w:t>
      </w:r>
    </w:p>
    <w:tbl>
      <w:tblPr>
        <w:tblStyle w:val="TableGrid"/>
        <w:tblW w:w="5000" w:type="pct"/>
        <w:tblLook w:val="04A0" w:firstRow="1" w:lastRow="0" w:firstColumn="1" w:lastColumn="0" w:noHBand="0" w:noVBand="1"/>
        <w:tblCaption w:val="Child support collected and transferred between parents "/>
      </w:tblPr>
      <w:tblGrid>
        <w:gridCol w:w="4997"/>
        <w:gridCol w:w="2033"/>
        <w:gridCol w:w="2033"/>
        <w:gridCol w:w="2033"/>
      </w:tblGrid>
      <w:tr w:rsidR="00DD5D3A" w14:paraId="137CF8B9" w14:textId="77777777" w:rsidTr="004709AE">
        <w:trPr>
          <w:trHeight w:val="396"/>
          <w:tblHeader/>
        </w:trPr>
        <w:tc>
          <w:tcPr>
            <w:tcW w:w="2252" w:type="pct"/>
          </w:tcPr>
          <w:p w14:paraId="7FB9E485"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1980AC91" w14:textId="77777777" w:rsidR="00DD5D3A" w:rsidRPr="00891C1C" w:rsidRDefault="00DD5D3A" w:rsidP="00891C1C">
            <w:pPr>
              <w:pStyle w:val="BodyText"/>
              <w:rPr>
                <w:b/>
                <w:bCs/>
              </w:rPr>
            </w:pPr>
            <w:r w:rsidRPr="00891C1C">
              <w:rPr>
                <w:b/>
                <w:bCs/>
              </w:rPr>
              <w:t xml:space="preserve">2022–23 </w:t>
            </w:r>
          </w:p>
        </w:tc>
        <w:tc>
          <w:tcPr>
            <w:tcW w:w="916" w:type="pct"/>
          </w:tcPr>
          <w:p w14:paraId="78690007" w14:textId="77777777" w:rsidR="00DD5D3A" w:rsidRPr="00891C1C" w:rsidRDefault="00DD5D3A" w:rsidP="00891C1C">
            <w:pPr>
              <w:pStyle w:val="BodyText"/>
              <w:rPr>
                <w:b/>
                <w:bCs/>
              </w:rPr>
            </w:pPr>
            <w:r w:rsidRPr="00891C1C">
              <w:rPr>
                <w:b/>
                <w:bCs/>
              </w:rPr>
              <w:t>2023–24</w:t>
            </w:r>
          </w:p>
        </w:tc>
        <w:tc>
          <w:tcPr>
            <w:tcW w:w="916" w:type="pct"/>
          </w:tcPr>
          <w:p w14:paraId="6F330613" w14:textId="77777777" w:rsidR="00DD5D3A" w:rsidRPr="00891C1C" w:rsidRDefault="00DD5D3A" w:rsidP="00891C1C">
            <w:pPr>
              <w:pStyle w:val="BodyText"/>
              <w:rPr>
                <w:b/>
                <w:bCs/>
              </w:rPr>
            </w:pPr>
            <w:r w:rsidRPr="00891C1C">
              <w:rPr>
                <w:b/>
                <w:bCs/>
              </w:rPr>
              <w:t>2024–25</w:t>
            </w:r>
          </w:p>
        </w:tc>
      </w:tr>
      <w:tr w:rsidR="00DD5D3A" w14:paraId="229C0656" w14:textId="77777777" w:rsidTr="004709AE">
        <w:trPr>
          <w:trHeight w:val="396"/>
        </w:trPr>
        <w:tc>
          <w:tcPr>
            <w:tcW w:w="2252" w:type="pct"/>
          </w:tcPr>
          <w:p w14:paraId="3C5E8163" w14:textId="77777777" w:rsidR="00DD5D3A" w:rsidRDefault="00DD5D3A" w:rsidP="00874D7C">
            <w:pPr>
              <w:pStyle w:val="BodyText"/>
            </w:pPr>
            <w:r>
              <w:t>Child Support Collect</w:t>
            </w:r>
            <w:r>
              <w:rPr>
                <w:vertAlign w:val="superscript"/>
              </w:rPr>
              <w:t>(a)</w:t>
            </w:r>
          </w:p>
        </w:tc>
        <w:tc>
          <w:tcPr>
            <w:tcW w:w="916" w:type="pct"/>
          </w:tcPr>
          <w:p w14:paraId="109684F1" w14:textId="77777777" w:rsidR="00DD5D3A" w:rsidRDefault="00DD5D3A" w:rsidP="00874D7C">
            <w:pPr>
              <w:pStyle w:val="BodyText"/>
              <w:jc w:val="right"/>
            </w:pPr>
            <w:r>
              <w:t xml:space="preserve">$1.8 billion </w:t>
            </w:r>
          </w:p>
        </w:tc>
        <w:tc>
          <w:tcPr>
            <w:tcW w:w="916" w:type="pct"/>
          </w:tcPr>
          <w:p w14:paraId="7976BA15" w14:textId="77777777" w:rsidR="00DD5D3A" w:rsidRDefault="00DD5D3A" w:rsidP="00874D7C">
            <w:pPr>
              <w:pStyle w:val="BodyText"/>
              <w:jc w:val="right"/>
            </w:pPr>
            <w:r>
              <w:t>$1.9 billion</w:t>
            </w:r>
          </w:p>
        </w:tc>
        <w:tc>
          <w:tcPr>
            <w:tcW w:w="916" w:type="pct"/>
          </w:tcPr>
          <w:p w14:paraId="5ACDC218" w14:textId="77777777" w:rsidR="00DD5D3A" w:rsidRDefault="00DD5D3A" w:rsidP="00874D7C">
            <w:pPr>
              <w:pStyle w:val="BodyText"/>
              <w:jc w:val="right"/>
            </w:pPr>
            <w:r>
              <w:t>$2 billion</w:t>
            </w:r>
          </w:p>
        </w:tc>
      </w:tr>
    </w:tbl>
    <w:p w14:paraId="1836268B" w14:textId="1DC95938" w:rsidR="00DD5D3A" w:rsidRDefault="00445F39" w:rsidP="00445F39">
      <w:pPr>
        <w:pStyle w:val="ProductCode"/>
      </w:pPr>
      <w:r>
        <w:t xml:space="preserve">(a) </w:t>
      </w:r>
      <w:r w:rsidR="00DD5D3A">
        <w:t>Data for 2022–23, 2023–24 and 2024–25 is drawn from financial reporting systems, whereas previous annual reports have drawn Child Support Collect data from customer systems, and should not be compared.</w:t>
      </w:r>
    </w:p>
    <w:p w14:paraId="70715824" w14:textId="77777777" w:rsidR="00DD5D3A" w:rsidRDefault="00DD5D3A" w:rsidP="00DD5D3A">
      <w:pPr>
        <w:pStyle w:val="Heading2"/>
      </w:pPr>
      <w:r>
        <w:t>Change of assessment in special circumstances</w:t>
      </w:r>
    </w:p>
    <w:p w14:paraId="474F5F61" w14:textId="77777777" w:rsidR="00DD5D3A" w:rsidRDefault="00DD5D3A" w:rsidP="00DD5D3A">
      <w:pPr>
        <w:pStyle w:val="BodyText"/>
      </w:pPr>
      <w:r>
        <w:t xml:space="preserve">The child support formula accommodates most parents’ circumstances and gives flexibility for most changes that affect the assessment. A parent can apply to have their child support assessment reviewed if there are certain special circumstances that the formula cannot accommodate and that significantly affect either parent’s capacity to financially support the child or maintain themselves or a dependant. </w:t>
      </w:r>
    </w:p>
    <w:p w14:paraId="4B0AE148" w14:textId="77777777" w:rsidR="00DD5D3A" w:rsidRDefault="00DD5D3A" w:rsidP="00DD5D3A">
      <w:pPr>
        <w:pStyle w:val="BodyText"/>
      </w:pPr>
      <w:r>
        <w:t>In 2024–25 we received 14,611 change of assessment in special circumstances applications. There were 15,538 finalised applications, with 43% resulting in a change to the rate of child support to better reflect the special circumstances of parents and their children. Of the applications to change the assessment in special circumstances, 70% related to a parent’s income, property, financial resources or earning capacity.</w:t>
      </w:r>
    </w:p>
    <w:p w14:paraId="7B716736" w14:textId="77777777" w:rsidR="00DD5D3A" w:rsidRDefault="00DD5D3A" w:rsidP="00DD5D3A">
      <w:pPr>
        <w:pStyle w:val="Heading2"/>
      </w:pPr>
      <w:r>
        <w:t>Compliance and enforcement</w:t>
      </w:r>
    </w:p>
    <w:p w14:paraId="48917D93" w14:textId="77777777" w:rsidR="00DD5D3A" w:rsidRDefault="00DD5D3A" w:rsidP="00DD5D3A">
      <w:pPr>
        <w:pStyle w:val="BodyText"/>
      </w:pPr>
      <w:r>
        <w:t xml:space="preserve">The agency focuses on reducing child support debt through its compliance and enforcement programs. This includes setting up payment arrangements to repay child support debt in the shortest possible time based on a parent’s capacity to pay. </w:t>
      </w:r>
    </w:p>
    <w:p w14:paraId="108B4D18" w14:textId="77777777" w:rsidR="00DD5D3A" w:rsidRDefault="00DD5D3A" w:rsidP="00DD5D3A">
      <w:pPr>
        <w:pStyle w:val="BodyText"/>
      </w:pPr>
      <w:r>
        <w:t xml:space="preserve">Table 36 shows the percentage of active paying parents who do not have a child support debt. It also shows the percentage of active paying parents with a child support debt who have a payment arrangement in place to repay the debt. An active paying parent is responsible for paying child support in at least one active child support case – that is, a case where there is a current or future liability. </w:t>
      </w:r>
    </w:p>
    <w:p w14:paraId="4B193948" w14:textId="24537C31" w:rsidR="00DD5D3A" w:rsidRPr="00DD5D3A" w:rsidRDefault="00445F39" w:rsidP="00DD5D3A">
      <w:pPr>
        <w:pStyle w:val="BodyText"/>
        <w:rPr>
          <w:b/>
          <w:bCs/>
        </w:rPr>
      </w:pPr>
      <w:r>
        <w:rPr>
          <w:b/>
          <w:bCs/>
        </w:rPr>
        <w:t>Table 36:</w:t>
      </w:r>
      <w:r w:rsidR="00DD5D3A" w:rsidRPr="00DD5D3A">
        <w:rPr>
          <w:b/>
          <w:bCs/>
        </w:rPr>
        <w:t xml:space="preserve"> Active paying parents without debt and with debt under a payment arrangement </w:t>
      </w:r>
    </w:p>
    <w:tbl>
      <w:tblPr>
        <w:tblStyle w:val="TableGrid"/>
        <w:tblW w:w="5000" w:type="pct"/>
        <w:tblLook w:val="04A0" w:firstRow="1" w:lastRow="0" w:firstColumn="1" w:lastColumn="0" w:noHBand="0" w:noVBand="1"/>
        <w:tblCaption w:val="Active paying parents without debt and with debt under a payment arrangement "/>
      </w:tblPr>
      <w:tblGrid>
        <w:gridCol w:w="4997"/>
        <w:gridCol w:w="2033"/>
        <w:gridCol w:w="2033"/>
        <w:gridCol w:w="2033"/>
      </w:tblGrid>
      <w:tr w:rsidR="00DD5D3A" w14:paraId="350A2E2C" w14:textId="77777777" w:rsidTr="004709AE">
        <w:trPr>
          <w:trHeight w:val="396"/>
          <w:tblHeader/>
        </w:trPr>
        <w:tc>
          <w:tcPr>
            <w:tcW w:w="2252" w:type="pct"/>
          </w:tcPr>
          <w:p w14:paraId="21B75567"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11540685" w14:textId="77777777" w:rsidR="00DD5D3A" w:rsidRPr="00891C1C" w:rsidRDefault="00DD5D3A" w:rsidP="00891C1C">
            <w:pPr>
              <w:pStyle w:val="BodyText"/>
              <w:rPr>
                <w:b/>
                <w:bCs/>
              </w:rPr>
            </w:pPr>
            <w:r w:rsidRPr="00891C1C">
              <w:rPr>
                <w:b/>
                <w:bCs/>
              </w:rPr>
              <w:t xml:space="preserve">2022–23 </w:t>
            </w:r>
          </w:p>
        </w:tc>
        <w:tc>
          <w:tcPr>
            <w:tcW w:w="916" w:type="pct"/>
          </w:tcPr>
          <w:p w14:paraId="5F8AD556" w14:textId="77777777" w:rsidR="00DD5D3A" w:rsidRPr="00891C1C" w:rsidRDefault="00DD5D3A" w:rsidP="00891C1C">
            <w:pPr>
              <w:pStyle w:val="BodyText"/>
              <w:rPr>
                <w:b/>
                <w:bCs/>
              </w:rPr>
            </w:pPr>
            <w:r w:rsidRPr="00891C1C">
              <w:rPr>
                <w:b/>
                <w:bCs/>
              </w:rPr>
              <w:t>2023–24</w:t>
            </w:r>
          </w:p>
        </w:tc>
        <w:tc>
          <w:tcPr>
            <w:tcW w:w="916" w:type="pct"/>
          </w:tcPr>
          <w:p w14:paraId="6C2726D8" w14:textId="77777777" w:rsidR="00DD5D3A" w:rsidRPr="00891C1C" w:rsidRDefault="00DD5D3A" w:rsidP="00891C1C">
            <w:pPr>
              <w:pStyle w:val="BodyText"/>
              <w:rPr>
                <w:b/>
                <w:bCs/>
              </w:rPr>
            </w:pPr>
            <w:r w:rsidRPr="00891C1C">
              <w:rPr>
                <w:b/>
                <w:bCs/>
              </w:rPr>
              <w:t>2024–25</w:t>
            </w:r>
          </w:p>
        </w:tc>
      </w:tr>
      <w:tr w:rsidR="00DD5D3A" w14:paraId="281BB1BD" w14:textId="77777777" w:rsidTr="006A0585">
        <w:trPr>
          <w:trHeight w:val="396"/>
        </w:trPr>
        <w:tc>
          <w:tcPr>
            <w:tcW w:w="2252" w:type="pct"/>
          </w:tcPr>
          <w:p w14:paraId="629A11A5" w14:textId="77777777" w:rsidR="00DD5D3A" w:rsidRDefault="00DD5D3A" w:rsidP="00874D7C">
            <w:pPr>
              <w:pStyle w:val="BodyText"/>
            </w:pPr>
            <w:r>
              <w:t>Active paying parents without debt</w:t>
            </w:r>
          </w:p>
        </w:tc>
        <w:tc>
          <w:tcPr>
            <w:tcW w:w="916" w:type="pct"/>
          </w:tcPr>
          <w:p w14:paraId="4BA3C19B" w14:textId="77777777" w:rsidR="00DD5D3A" w:rsidRDefault="00DD5D3A" w:rsidP="00874D7C">
            <w:pPr>
              <w:pStyle w:val="Tabletext-LHS"/>
              <w:jc w:val="right"/>
            </w:pPr>
            <w:r>
              <w:t>75.7%</w:t>
            </w:r>
          </w:p>
        </w:tc>
        <w:tc>
          <w:tcPr>
            <w:tcW w:w="916" w:type="pct"/>
          </w:tcPr>
          <w:p w14:paraId="644728E7" w14:textId="77777777" w:rsidR="00DD5D3A" w:rsidRDefault="00DD5D3A" w:rsidP="00874D7C">
            <w:pPr>
              <w:pStyle w:val="Tabletext-LHS"/>
              <w:jc w:val="right"/>
            </w:pPr>
            <w:r>
              <w:t>75.7%</w:t>
            </w:r>
          </w:p>
        </w:tc>
        <w:tc>
          <w:tcPr>
            <w:tcW w:w="916" w:type="pct"/>
          </w:tcPr>
          <w:p w14:paraId="18F91EB5" w14:textId="77777777" w:rsidR="00DD5D3A" w:rsidRDefault="00DD5D3A" w:rsidP="00874D7C">
            <w:pPr>
              <w:pStyle w:val="Tabletext-LHS"/>
              <w:jc w:val="right"/>
            </w:pPr>
            <w:r>
              <w:t>75.9%</w:t>
            </w:r>
          </w:p>
        </w:tc>
      </w:tr>
      <w:tr w:rsidR="00DD5D3A" w14:paraId="7435A20E" w14:textId="77777777" w:rsidTr="006A0585">
        <w:trPr>
          <w:trHeight w:val="396"/>
        </w:trPr>
        <w:tc>
          <w:tcPr>
            <w:tcW w:w="2252" w:type="pct"/>
          </w:tcPr>
          <w:p w14:paraId="497E6B0A" w14:textId="77777777" w:rsidR="00DD5D3A" w:rsidRDefault="00DD5D3A" w:rsidP="00874D7C">
            <w:pPr>
              <w:pStyle w:val="BodyText"/>
            </w:pPr>
            <w:r>
              <w:t xml:space="preserve">Active paying parents with a debt </w:t>
            </w:r>
            <w:r>
              <w:rPr>
                <w:spacing w:val="-2"/>
              </w:rPr>
              <w:t>that is under a payment arrangement</w:t>
            </w:r>
          </w:p>
        </w:tc>
        <w:tc>
          <w:tcPr>
            <w:tcW w:w="916" w:type="pct"/>
          </w:tcPr>
          <w:p w14:paraId="11DD2E23" w14:textId="77777777" w:rsidR="00DD5D3A" w:rsidRDefault="00DD5D3A" w:rsidP="00874D7C">
            <w:pPr>
              <w:pStyle w:val="Tabletext-LHS"/>
              <w:jc w:val="right"/>
            </w:pPr>
            <w:r>
              <w:t>50.9%</w:t>
            </w:r>
          </w:p>
        </w:tc>
        <w:tc>
          <w:tcPr>
            <w:tcW w:w="916" w:type="pct"/>
          </w:tcPr>
          <w:p w14:paraId="6D3F9D79" w14:textId="77777777" w:rsidR="00DD5D3A" w:rsidRDefault="00DD5D3A" w:rsidP="00874D7C">
            <w:pPr>
              <w:pStyle w:val="Tabletext-LHS"/>
              <w:jc w:val="right"/>
            </w:pPr>
            <w:r>
              <w:t>55.9%</w:t>
            </w:r>
          </w:p>
        </w:tc>
        <w:tc>
          <w:tcPr>
            <w:tcW w:w="916" w:type="pct"/>
          </w:tcPr>
          <w:p w14:paraId="3C8923F7" w14:textId="77777777" w:rsidR="00DD5D3A" w:rsidRDefault="00DD5D3A" w:rsidP="00874D7C">
            <w:pPr>
              <w:pStyle w:val="Tabletext-LHS"/>
              <w:jc w:val="right"/>
            </w:pPr>
            <w:r>
              <w:t>57.6%</w:t>
            </w:r>
          </w:p>
        </w:tc>
      </w:tr>
    </w:tbl>
    <w:p w14:paraId="5F0671F9" w14:textId="77777777" w:rsidR="00DD5D3A" w:rsidRDefault="00DD5D3A" w:rsidP="00DD5D3A">
      <w:pPr>
        <w:pStyle w:val="BodyText"/>
      </w:pPr>
      <w:r>
        <w:lastRenderedPageBreak/>
        <w:t xml:space="preserve">Whenever possible, child support is collected from employer withholding and income support payments to ensure timely and sustainable payments are made (see Table 38: Employer withholding from wages and salaries on page 86). </w:t>
      </w:r>
    </w:p>
    <w:p w14:paraId="154F56B2" w14:textId="77777777" w:rsidR="00DD5D3A" w:rsidRDefault="00DD5D3A" w:rsidP="00DD5D3A">
      <w:pPr>
        <w:pStyle w:val="BodyText"/>
      </w:pPr>
      <w:r>
        <w:t xml:space="preserve">Employers report child support deductions through Single Touch Payroll, reducing their administrative burden (see Single Touch Payroll on page 50). </w:t>
      </w:r>
    </w:p>
    <w:p w14:paraId="1FBD9A19" w14:textId="77777777" w:rsidR="00DD5D3A" w:rsidRDefault="00DD5D3A" w:rsidP="00DD5D3A">
      <w:pPr>
        <w:pStyle w:val="BodyText"/>
      </w:pPr>
      <w:r>
        <w:t xml:space="preserve">When voluntary compliance is not possible, the agency pursues collection. This could include seeking a Departure Prohibition Order (DPO) or pursuing collection from a paying parent through the courts. DPOs stop child support debtors from leaving Australia without paying or arranging to pay their child support. </w:t>
      </w:r>
    </w:p>
    <w:p w14:paraId="47CD63BC" w14:textId="77777777" w:rsidR="00DD5D3A" w:rsidRDefault="00DD5D3A" w:rsidP="00DD5D3A">
      <w:pPr>
        <w:pStyle w:val="BodyText"/>
      </w:pPr>
      <w:r>
        <w:t xml:space="preserve">In 2024–25, 968 DPOs were issued, resulting in $32.2 million being collected, compared to 716 DPOs issued and $27.4 million collected in 2023–24. </w:t>
      </w:r>
    </w:p>
    <w:p w14:paraId="2D77F50C" w14:textId="77777777" w:rsidR="00DD5D3A" w:rsidRDefault="00DD5D3A" w:rsidP="00DD5D3A">
      <w:pPr>
        <w:pStyle w:val="BodyText"/>
      </w:pPr>
      <w:r>
        <w:t>Table 37 shows the number of child support compliance and enforcement actions from 2022–23 to 2024–25.</w:t>
      </w:r>
    </w:p>
    <w:p w14:paraId="6E00875A" w14:textId="7269893C" w:rsidR="00DD5D3A" w:rsidRPr="00DD5D3A" w:rsidRDefault="00445F39" w:rsidP="00DD5D3A">
      <w:pPr>
        <w:pStyle w:val="BodyText"/>
        <w:rPr>
          <w:b/>
          <w:bCs/>
        </w:rPr>
      </w:pPr>
      <w:r>
        <w:rPr>
          <w:b/>
          <w:bCs/>
        </w:rPr>
        <w:t>Table 37:</w:t>
      </w:r>
      <w:r w:rsidR="00DD5D3A" w:rsidRPr="00DD5D3A">
        <w:rPr>
          <w:b/>
          <w:bCs/>
        </w:rPr>
        <w:t xml:space="preserve"> Child support compliance and enforcement actions</w:t>
      </w:r>
    </w:p>
    <w:tbl>
      <w:tblPr>
        <w:tblStyle w:val="TableGrid"/>
        <w:tblW w:w="5000" w:type="pct"/>
        <w:tblLook w:val="04A0" w:firstRow="1" w:lastRow="0" w:firstColumn="1" w:lastColumn="0" w:noHBand="0" w:noVBand="1"/>
        <w:tblCaption w:val="Child support compliance and enforcement actions"/>
      </w:tblPr>
      <w:tblGrid>
        <w:gridCol w:w="2458"/>
        <w:gridCol w:w="1440"/>
        <w:gridCol w:w="1440"/>
        <w:gridCol w:w="1438"/>
        <w:gridCol w:w="1440"/>
        <w:gridCol w:w="1440"/>
        <w:gridCol w:w="1440"/>
      </w:tblGrid>
      <w:tr w:rsidR="00DD5D3A" w14:paraId="67433266" w14:textId="77777777" w:rsidTr="004709AE">
        <w:trPr>
          <w:trHeight w:val="396"/>
          <w:tblHeader/>
        </w:trPr>
        <w:tc>
          <w:tcPr>
            <w:tcW w:w="1107" w:type="pct"/>
          </w:tcPr>
          <w:p w14:paraId="2555782A"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1946" w:type="pct"/>
            <w:gridSpan w:val="3"/>
          </w:tcPr>
          <w:p w14:paraId="5AEFAF75" w14:textId="77777777" w:rsidR="00DD5D3A" w:rsidRPr="00891C1C" w:rsidRDefault="00DD5D3A" w:rsidP="00891C1C">
            <w:pPr>
              <w:pStyle w:val="BodyText"/>
              <w:rPr>
                <w:b/>
                <w:bCs/>
              </w:rPr>
            </w:pPr>
            <w:r w:rsidRPr="00891C1C">
              <w:rPr>
                <w:b/>
                <w:bCs/>
              </w:rPr>
              <w:t>Number of actions</w:t>
            </w:r>
          </w:p>
        </w:tc>
        <w:tc>
          <w:tcPr>
            <w:tcW w:w="1947" w:type="pct"/>
            <w:gridSpan w:val="3"/>
          </w:tcPr>
          <w:p w14:paraId="382B114B" w14:textId="77777777" w:rsidR="00DD5D3A" w:rsidRPr="00891C1C" w:rsidRDefault="00DD5D3A" w:rsidP="00891C1C">
            <w:pPr>
              <w:pStyle w:val="BodyText"/>
              <w:rPr>
                <w:b/>
                <w:bCs/>
              </w:rPr>
            </w:pPr>
            <w:r w:rsidRPr="00891C1C">
              <w:rPr>
                <w:b/>
                <w:bCs/>
              </w:rPr>
              <w:t>Child support collected/corrected</w:t>
            </w:r>
            <w:r w:rsidRPr="00891C1C">
              <w:rPr>
                <w:b/>
                <w:bCs/>
                <w:vertAlign w:val="superscript"/>
              </w:rPr>
              <w:t>(a)</w:t>
            </w:r>
          </w:p>
        </w:tc>
      </w:tr>
      <w:tr w:rsidR="00DD5D3A" w14:paraId="02F81504" w14:textId="77777777" w:rsidTr="004709AE">
        <w:trPr>
          <w:trHeight w:val="396"/>
          <w:tblHeader/>
        </w:trPr>
        <w:tc>
          <w:tcPr>
            <w:tcW w:w="1107" w:type="pct"/>
          </w:tcPr>
          <w:p w14:paraId="17F17030"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649" w:type="pct"/>
          </w:tcPr>
          <w:p w14:paraId="2469A1F4" w14:textId="77777777" w:rsidR="00DD5D3A" w:rsidRPr="00891C1C" w:rsidRDefault="00DD5D3A" w:rsidP="00891C1C">
            <w:pPr>
              <w:pStyle w:val="BodyText"/>
              <w:rPr>
                <w:b/>
                <w:bCs/>
              </w:rPr>
            </w:pPr>
            <w:r w:rsidRPr="00891C1C">
              <w:rPr>
                <w:b/>
                <w:bCs/>
              </w:rPr>
              <w:t>2022–23</w:t>
            </w:r>
          </w:p>
        </w:tc>
        <w:tc>
          <w:tcPr>
            <w:tcW w:w="649" w:type="pct"/>
          </w:tcPr>
          <w:p w14:paraId="0376D02E" w14:textId="77777777" w:rsidR="00DD5D3A" w:rsidRPr="00891C1C" w:rsidRDefault="00DD5D3A" w:rsidP="00891C1C">
            <w:pPr>
              <w:pStyle w:val="BodyText"/>
              <w:rPr>
                <w:b/>
                <w:bCs/>
              </w:rPr>
            </w:pPr>
            <w:r w:rsidRPr="00891C1C">
              <w:rPr>
                <w:b/>
                <w:bCs/>
              </w:rPr>
              <w:t>2023–24</w:t>
            </w:r>
          </w:p>
        </w:tc>
        <w:tc>
          <w:tcPr>
            <w:tcW w:w="648" w:type="pct"/>
          </w:tcPr>
          <w:p w14:paraId="001D3394" w14:textId="77777777" w:rsidR="00DD5D3A" w:rsidRPr="00891C1C" w:rsidRDefault="00DD5D3A" w:rsidP="00891C1C">
            <w:pPr>
              <w:pStyle w:val="BodyText"/>
              <w:rPr>
                <w:b/>
                <w:bCs/>
              </w:rPr>
            </w:pPr>
            <w:r w:rsidRPr="00891C1C">
              <w:rPr>
                <w:b/>
                <w:bCs/>
              </w:rPr>
              <w:t>2024–25</w:t>
            </w:r>
          </w:p>
        </w:tc>
        <w:tc>
          <w:tcPr>
            <w:tcW w:w="649" w:type="pct"/>
          </w:tcPr>
          <w:p w14:paraId="7B507773" w14:textId="77777777" w:rsidR="00DD5D3A" w:rsidRPr="00891C1C" w:rsidRDefault="00DD5D3A" w:rsidP="00891C1C">
            <w:pPr>
              <w:pStyle w:val="BodyText"/>
              <w:rPr>
                <w:b/>
                <w:bCs/>
              </w:rPr>
            </w:pPr>
            <w:r w:rsidRPr="00891C1C">
              <w:rPr>
                <w:b/>
                <w:bCs/>
              </w:rPr>
              <w:t>2022–23</w:t>
            </w:r>
          </w:p>
        </w:tc>
        <w:tc>
          <w:tcPr>
            <w:tcW w:w="649" w:type="pct"/>
          </w:tcPr>
          <w:p w14:paraId="590369F1" w14:textId="77777777" w:rsidR="00DD5D3A" w:rsidRPr="00891C1C" w:rsidRDefault="00DD5D3A" w:rsidP="00891C1C">
            <w:pPr>
              <w:pStyle w:val="BodyText"/>
              <w:rPr>
                <w:b/>
                <w:bCs/>
              </w:rPr>
            </w:pPr>
            <w:r w:rsidRPr="00891C1C">
              <w:rPr>
                <w:b/>
                <w:bCs/>
              </w:rPr>
              <w:t>2023–24</w:t>
            </w:r>
          </w:p>
        </w:tc>
        <w:tc>
          <w:tcPr>
            <w:tcW w:w="649" w:type="pct"/>
          </w:tcPr>
          <w:p w14:paraId="730431D1" w14:textId="77777777" w:rsidR="00DD5D3A" w:rsidRPr="00891C1C" w:rsidRDefault="00DD5D3A" w:rsidP="00891C1C">
            <w:pPr>
              <w:pStyle w:val="BodyText"/>
              <w:rPr>
                <w:b/>
                <w:bCs/>
              </w:rPr>
            </w:pPr>
            <w:r w:rsidRPr="00891C1C">
              <w:rPr>
                <w:b/>
                <w:bCs/>
              </w:rPr>
              <w:t>2024–25</w:t>
            </w:r>
          </w:p>
        </w:tc>
      </w:tr>
      <w:tr w:rsidR="00DD5D3A" w14:paraId="1ACF3CDF" w14:textId="77777777" w:rsidTr="006A0585">
        <w:trPr>
          <w:trHeight w:val="396"/>
        </w:trPr>
        <w:tc>
          <w:tcPr>
            <w:tcW w:w="1107" w:type="pct"/>
          </w:tcPr>
          <w:p w14:paraId="024AF820" w14:textId="77777777" w:rsidR="00DD5D3A" w:rsidRDefault="00DD5D3A" w:rsidP="00874D7C">
            <w:pPr>
              <w:pStyle w:val="BodyText"/>
            </w:pPr>
            <w:r>
              <w:t>Lodgement of finalisations</w:t>
            </w:r>
            <w:r>
              <w:rPr>
                <w:vertAlign w:val="superscript"/>
              </w:rPr>
              <w:t>(b)</w:t>
            </w:r>
          </w:p>
        </w:tc>
        <w:tc>
          <w:tcPr>
            <w:tcW w:w="649" w:type="pct"/>
          </w:tcPr>
          <w:p w14:paraId="111D838D" w14:textId="77777777" w:rsidR="00DD5D3A" w:rsidRDefault="00DD5D3A" w:rsidP="00874D7C">
            <w:pPr>
              <w:pStyle w:val="BodyText"/>
              <w:jc w:val="right"/>
            </w:pPr>
            <w:r>
              <w:t>73,426</w:t>
            </w:r>
          </w:p>
        </w:tc>
        <w:tc>
          <w:tcPr>
            <w:tcW w:w="649" w:type="pct"/>
          </w:tcPr>
          <w:p w14:paraId="344C6ADF" w14:textId="77777777" w:rsidR="00DD5D3A" w:rsidRDefault="00DD5D3A" w:rsidP="00874D7C">
            <w:pPr>
              <w:pStyle w:val="BodyText"/>
              <w:jc w:val="right"/>
            </w:pPr>
            <w:r>
              <w:t>77,269</w:t>
            </w:r>
          </w:p>
        </w:tc>
        <w:tc>
          <w:tcPr>
            <w:tcW w:w="648" w:type="pct"/>
          </w:tcPr>
          <w:p w14:paraId="72ACB722" w14:textId="77777777" w:rsidR="00DD5D3A" w:rsidRDefault="00DD5D3A" w:rsidP="00874D7C">
            <w:pPr>
              <w:pStyle w:val="BodyText"/>
              <w:jc w:val="right"/>
            </w:pPr>
            <w:r>
              <w:t>63,247</w:t>
            </w:r>
          </w:p>
        </w:tc>
        <w:tc>
          <w:tcPr>
            <w:tcW w:w="649" w:type="pct"/>
          </w:tcPr>
          <w:p w14:paraId="66FA7DF9" w14:textId="77777777" w:rsidR="00DD5D3A" w:rsidRDefault="00DD5D3A" w:rsidP="00874D7C">
            <w:pPr>
              <w:pStyle w:val="BodyText"/>
              <w:jc w:val="right"/>
            </w:pPr>
            <w:r>
              <w:t>$10.4 million</w:t>
            </w:r>
          </w:p>
        </w:tc>
        <w:tc>
          <w:tcPr>
            <w:tcW w:w="649" w:type="pct"/>
          </w:tcPr>
          <w:p w14:paraId="32BFA594" w14:textId="77777777" w:rsidR="00DD5D3A" w:rsidRDefault="00DD5D3A" w:rsidP="00874D7C">
            <w:pPr>
              <w:pStyle w:val="BodyText"/>
              <w:jc w:val="right"/>
            </w:pPr>
            <w:r>
              <w:t>$10.4 million</w:t>
            </w:r>
          </w:p>
        </w:tc>
        <w:tc>
          <w:tcPr>
            <w:tcW w:w="649" w:type="pct"/>
          </w:tcPr>
          <w:p w14:paraId="7D3FFCB9" w14:textId="77777777" w:rsidR="00DD5D3A" w:rsidRDefault="00DD5D3A" w:rsidP="00874D7C">
            <w:pPr>
              <w:pStyle w:val="BodyText"/>
              <w:jc w:val="right"/>
            </w:pPr>
            <w:r>
              <w:t>$8.3 million</w:t>
            </w:r>
          </w:p>
        </w:tc>
      </w:tr>
      <w:tr w:rsidR="00DD5D3A" w14:paraId="77285B6D" w14:textId="77777777" w:rsidTr="006A0585">
        <w:trPr>
          <w:trHeight w:val="396"/>
        </w:trPr>
        <w:tc>
          <w:tcPr>
            <w:tcW w:w="1107" w:type="pct"/>
          </w:tcPr>
          <w:p w14:paraId="1B5EEDA3" w14:textId="77777777" w:rsidR="00DD5D3A" w:rsidRDefault="00DD5D3A" w:rsidP="00874D7C">
            <w:pPr>
              <w:pStyle w:val="BodyText"/>
            </w:pPr>
            <w:r>
              <w:t>Tax refund intercept payment</w:t>
            </w:r>
            <w:r>
              <w:rPr>
                <w:vertAlign w:val="superscript"/>
              </w:rPr>
              <w:t>(c)</w:t>
            </w:r>
          </w:p>
        </w:tc>
        <w:tc>
          <w:tcPr>
            <w:tcW w:w="649" w:type="pct"/>
          </w:tcPr>
          <w:p w14:paraId="23CF49A7" w14:textId="77777777" w:rsidR="00DD5D3A" w:rsidRDefault="00DD5D3A" w:rsidP="00874D7C">
            <w:pPr>
              <w:pStyle w:val="BodyText"/>
              <w:jc w:val="right"/>
            </w:pPr>
            <w:r>
              <w:t>119,105</w:t>
            </w:r>
          </w:p>
        </w:tc>
        <w:tc>
          <w:tcPr>
            <w:tcW w:w="649" w:type="pct"/>
          </w:tcPr>
          <w:p w14:paraId="6249516D" w14:textId="77777777" w:rsidR="00DD5D3A" w:rsidRDefault="00DD5D3A" w:rsidP="00874D7C">
            <w:pPr>
              <w:pStyle w:val="BodyText"/>
              <w:jc w:val="right"/>
            </w:pPr>
            <w:r>
              <w:t>106,751</w:t>
            </w:r>
          </w:p>
        </w:tc>
        <w:tc>
          <w:tcPr>
            <w:tcW w:w="648" w:type="pct"/>
          </w:tcPr>
          <w:p w14:paraId="31C5A08F" w14:textId="77777777" w:rsidR="00DD5D3A" w:rsidRDefault="00DD5D3A" w:rsidP="00874D7C">
            <w:pPr>
              <w:pStyle w:val="BodyText"/>
              <w:jc w:val="right"/>
            </w:pPr>
            <w:r>
              <w:t>105,431</w:t>
            </w:r>
          </w:p>
        </w:tc>
        <w:tc>
          <w:tcPr>
            <w:tcW w:w="649" w:type="pct"/>
          </w:tcPr>
          <w:p w14:paraId="05AD5F40" w14:textId="77777777" w:rsidR="00DD5D3A" w:rsidRDefault="00DD5D3A" w:rsidP="00874D7C">
            <w:pPr>
              <w:pStyle w:val="BodyText"/>
              <w:jc w:val="right"/>
            </w:pPr>
            <w:r>
              <w:t>$168.3 million</w:t>
            </w:r>
          </w:p>
        </w:tc>
        <w:tc>
          <w:tcPr>
            <w:tcW w:w="649" w:type="pct"/>
          </w:tcPr>
          <w:p w14:paraId="672BD0CC" w14:textId="77777777" w:rsidR="00DD5D3A" w:rsidRDefault="00DD5D3A" w:rsidP="00874D7C">
            <w:pPr>
              <w:pStyle w:val="BodyText"/>
              <w:jc w:val="right"/>
            </w:pPr>
            <w:r>
              <w:t>$138.6 million</w:t>
            </w:r>
          </w:p>
        </w:tc>
        <w:tc>
          <w:tcPr>
            <w:tcW w:w="649" w:type="pct"/>
          </w:tcPr>
          <w:p w14:paraId="16F604F1" w14:textId="77777777" w:rsidR="00DD5D3A" w:rsidRDefault="00DD5D3A" w:rsidP="00874D7C">
            <w:pPr>
              <w:pStyle w:val="BodyText"/>
              <w:jc w:val="right"/>
            </w:pPr>
            <w:r>
              <w:t>$141 million</w:t>
            </w:r>
          </w:p>
        </w:tc>
      </w:tr>
      <w:tr w:rsidR="00DD5D3A" w14:paraId="20A03B89" w14:textId="77777777" w:rsidTr="006A0585">
        <w:trPr>
          <w:trHeight w:val="396"/>
        </w:trPr>
        <w:tc>
          <w:tcPr>
            <w:tcW w:w="1107" w:type="pct"/>
          </w:tcPr>
          <w:p w14:paraId="6248688B" w14:textId="77777777" w:rsidR="00DD5D3A" w:rsidRDefault="00DD5D3A" w:rsidP="00874D7C">
            <w:pPr>
              <w:pStyle w:val="BodyText"/>
            </w:pPr>
            <w:r>
              <w:rPr>
                <w:rStyle w:val="Bold"/>
                <w:b w:val="0"/>
                <w:bCs w:val="0"/>
              </w:rPr>
              <w:t>DPOs</w:t>
            </w:r>
            <w:r>
              <w:rPr>
                <w:rStyle w:val="Bold"/>
                <w:b w:val="0"/>
                <w:bCs w:val="0"/>
                <w:vertAlign w:val="superscript"/>
              </w:rPr>
              <w:t>(d)</w:t>
            </w:r>
          </w:p>
        </w:tc>
        <w:tc>
          <w:tcPr>
            <w:tcW w:w="649" w:type="pct"/>
          </w:tcPr>
          <w:p w14:paraId="0EDF97C2" w14:textId="77777777" w:rsidR="00DD5D3A" w:rsidRDefault="00DD5D3A" w:rsidP="00874D7C">
            <w:pPr>
              <w:pStyle w:val="BodyText"/>
              <w:jc w:val="right"/>
            </w:pPr>
            <w:r>
              <w:t>872</w:t>
            </w:r>
          </w:p>
        </w:tc>
        <w:tc>
          <w:tcPr>
            <w:tcW w:w="649" w:type="pct"/>
          </w:tcPr>
          <w:p w14:paraId="32CD993C" w14:textId="77777777" w:rsidR="00DD5D3A" w:rsidRDefault="00DD5D3A" w:rsidP="00874D7C">
            <w:pPr>
              <w:pStyle w:val="BodyText"/>
              <w:jc w:val="right"/>
            </w:pPr>
            <w:r>
              <w:t>716</w:t>
            </w:r>
          </w:p>
        </w:tc>
        <w:tc>
          <w:tcPr>
            <w:tcW w:w="648" w:type="pct"/>
          </w:tcPr>
          <w:p w14:paraId="147C6FA3" w14:textId="77777777" w:rsidR="00DD5D3A" w:rsidRDefault="00DD5D3A" w:rsidP="00874D7C">
            <w:pPr>
              <w:pStyle w:val="BodyText"/>
              <w:jc w:val="right"/>
            </w:pPr>
            <w:r>
              <w:t>968</w:t>
            </w:r>
          </w:p>
        </w:tc>
        <w:tc>
          <w:tcPr>
            <w:tcW w:w="649" w:type="pct"/>
          </w:tcPr>
          <w:p w14:paraId="04D375B8" w14:textId="77777777" w:rsidR="00DD5D3A" w:rsidRDefault="00DD5D3A" w:rsidP="00874D7C">
            <w:pPr>
              <w:pStyle w:val="BodyText"/>
              <w:jc w:val="right"/>
            </w:pPr>
            <w:r>
              <w:t>$29.9 million</w:t>
            </w:r>
          </w:p>
        </w:tc>
        <w:tc>
          <w:tcPr>
            <w:tcW w:w="649" w:type="pct"/>
          </w:tcPr>
          <w:p w14:paraId="3F57BB7B" w14:textId="77777777" w:rsidR="00DD5D3A" w:rsidRDefault="00DD5D3A" w:rsidP="00874D7C">
            <w:pPr>
              <w:pStyle w:val="BodyText"/>
              <w:jc w:val="right"/>
            </w:pPr>
            <w:r>
              <w:t>$27.4 million</w:t>
            </w:r>
          </w:p>
        </w:tc>
        <w:tc>
          <w:tcPr>
            <w:tcW w:w="649" w:type="pct"/>
          </w:tcPr>
          <w:p w14:paraId="23C03AE5" w14:textId="77777777" w:rsidR="00DD5D3A" w:rsidRDefault="00DD5D3A" w:rsidP="00874D7C">
            <w:pPr>
              <w:pStyle w:val="BodyText"/>
              <w:jc w:val="right"/>
            </w:pPr>
            <w:r>
              <w:t>$32.2 million</w:t>
            </w:r>
          </w:p>
        </w:tc>
      </w:tr>
      <w:tr w:rsidR="00DD5D3A" w14:paraId="6ED5F27F" w14:textId="77777777" w:rsidTr="006A0585">
        <w:trPr>
          <w:trHeight w:val="396"/>
        </w:trPr>
        <w:tc>
          <w:tcPr>
            <w:tcW w:w="1107" w:type="pct"/>
          </w:tcPr>
          <w:p w14:paraId="3E18B02A" w14:textId="77777777" w:rsidR="00DD5D3A" w:rsidRDefault="00DD5D3A" w:rsidP="00874D7C">
            <w:pPr>
              <w:pStyle w:val="BodyText"/>
            </w:pPr>
            <w:r>
              <w:rPr>
                <w:rStyle w:val="Bold"/>
                <w:b w:val="0"/>
                <w:bCs w:val="0"/>
              </w:rPr>
              <w:t>Litigation</w:t>
            </w:r>
            <w:r>
              <w:rPr>
                <w:rStyle w:val="Bold"/>
                <w:b w:val="0"/>
                <w:bCs w:val="0"/>
                <w:vertAlign w:val="superscript"/>
              </w:rPr>
              <w:t>(e)</w:t>
            </w:r>
            <w:r>
              <w:rPr>
                <w:rStyle w:val="Bold"/>
                <w:b w:val="0"/>
                <w:bCs w:val="0"/>
              </w:rPr>
              <w:t xml:space="preserve"> </w:t>
            </w:r>
          </w:p>
        </w:tc>
        <w:tc>
          <w:tcPr>
            <w:tcW w:w="649" w:type="pct"/>
          </w:tcPr>
          <w:p w14:paraId="542B1A57" w14:textId="77777777" w:rsidR="00DD5D3A" w:rsidRDefault="00DD5D3A" w:rsidP="00874D7C">
            <w:pPr>
              <w:pStyle w:val="BodyText"/>
              <w:jc w:val="right"/>
            </w:pPr>
            <w:r>
              <w:t>37</w:t>
            </w:r>
          </w:p>
        </w:tc>
        <w:tc>
          <w:tcPr>
            <w:tcW w:w="649" w:type="pct"/>
          </w:tcPr>
          <w:p w14:paraId="149E68B4" w14:textId="77777777" w:rsidR="00DD5D3A" w:rsidRDefault="00DD5D3A" w:rsidP="00874D7C">
            <w:pPr>
              <w:pStyle w:val="BodyText"/>
              <w:jc w:val="right"/>
            </w:pPr>
            <w:r>
              <w:t>39</w:t>
            </w:r>
          </w:p>
        </w:tc>
        <w:tc>
          <w:tcPr>
            <w:tcW w:w="648" w:type="pct"/>
          </w:tcPr>
          <w:p w14:paraId="1C2386DA" w14:textId="77777777" w:rsidR="00DD5D3A" w:rsidRDefault="00DD5D3A" w:rsidP="00874D7C">
            <w:pPr>
              <w:pStyle w:val="BodyText"/>
              <w:jc w:val="right"/>
            </w:pPr>
            <w:r>
              <w:t>43</w:t>
            </w:r>
          </w:p>
        </w:tc>
        <w:tc>
          <w:tcPr>
            <w:tcW w:w="649" w:type="pct"/>
          </w:tcPr>
          <w:p w14:paraId="19F91B49" w14:textId="77777777" w:rsidR="00DD5D3A" w:rsidRDefault="00DD5D3A" w:rsidP="00874D7C">
            <w:pPr>
              <w:pStyle w:val="BodyText"/>
              <w:jc w:val="right"/>
            </w:pPr>
            <w:r>
              <w:t>$11.8 million</w:t>
            </w:r>
          </w:p>
        </w:tc>
        <w:tc>
          <w:tcPr>
            <w:tcW w:w="649" w:type="pct"/>
          </w:tcPr>
          <w:p w14:paraId="04987AF1" w14:textId="77777777" w:rsidR="00DD5D3A" w:rsidRDefault="00DD5D3A" w:rsidP="00874D7C">
            <w:pPr>
              <w:pStyle w:val="BodyText"/>
              <w:jc w:val="right"/>
            </w:pPr>
            <w:r>
              <w:t>$9.5 million</w:t>
            </w:r>
          </w:p>
        </w:tc>
        <w:tc>
          <w:tcPr>
            <w:tcW w:w="649" w:type="pct"/>
          </w:tcPr>
          <w:p w14:paraId="68B12499" w14:textId="77777777" w:rsidR="00DD5D3A" w:rsidRDefault="00DD5D3A" w:rsidP="00874D7C">
            <w:pPr>
              <w:pStyle w:val="BodyText"/>
              <w:jc w:val="right"/>
            </w:pPr>
            <w:r>
              <w:t>$9 million</w:t>
            </w:r>
          </w:p>
        </w:tc>
      </w:tr>
    </w:tbl>
    <w:p w14:paraId="3D07F725" w14:textId="51DDB925" w:rsidR="00DD5D3A" w:rsidRDefault="00DD5D3A" w:rsidP="00445F39">
      <w:pPr>
        <w:pStyle w:val="ProductCode"/>
      </w:pPr>
      <w:r>
        <w:t>(a)</w:t>
      </w:r>
      <w:r w:rsidR="00445F39">
        <w:t xml:space="preserve"> </w:t>
      </w:r>
      <w:r>
        <w:t>The child support amounts collected/corrected should not be summed as they are not mutually exclusive.</w:t>
      </w:r>
    </w:p>
    <w:p w14:paraId="75A122E6" w14:textId="2F12E3EE" w:rsidR="00DD5D3A" w:rsidRDefault="00DD5D3A" w:rsidP="00445F39">
      <w:pPr>
        <w:pStyle w:val="ProductCode"/>
      </w:pPr>
      <w:r>
        <w:t>(b)</w:t>
      </w:r>
      <w:r w:rsidR="00445F39">
        <w:t xml:space="preserve"> </w:t>
      </w:r>
      <w:r>
        <w:t xml:space="preserve">To ensure assessments for child support are accurate, the ATO takes lodgement enforcement action for mutual customers. A finalisation is defined as a tax return lodgement, an ATO determination that a return is not necessary, a further return is not necessary, or an ATO determined income. This definition has been updated to include all actions undertaken by the ATO, therefore this table will differ from previously published annual reports. </w:t>
      </w:r>
    </w:p>
    <w:p w14:paraId="41C4D74D" w14:textId="6F0A00B3" w:rsidR="00DD5D3A" w:rsidRDefault="00DD5D3A" w:rsidP="00445F39">
      <w:pPr>
        <w:pStyle w:val="ProductCode"/>
      </w:pPr>
      <w:r>
        <w:t>(c)</w:t>
      </w:r>
      <w:r w:rsidR="00445F39">
        <w:t xml:space="preserve"> </w:t>
      </w:r>
      <w:r>
        <w:t xml:space="preserve">Tax refund intercepts resulting from actions taken to enforce ATO taxable incomes (lodgement enforcement) are included in this figure. </w:t>
      </w:r>
    </w:p>
    <w:p w14:paraId="378487A7" w14:textId="72186E59" w:rsidR="00DD5D3A" w:rsidRDefault="00DD5D3A" w:rsidP="00445F39">
      <w:pPr>
        <w:pStyle w:val="ProductCode"/>
      </w:pPr>
      <w:r>
        <w:t>(d)</w:t>
      </w:r>
      <w:r w:rsidR="00445F39">
        <w:t xml:space="preserve"> </w:t>
      </w:r>
      <w:r>
        <w:t xml:space="preserve">DPOs preventing overseas travel are issued to people who have not made satisfactory arrangements to clear substantial debts. </w:t>
      </w:r>
    </w:p>
    <w:p w14:paraId="7254F3F9" w14:textId="0B87C4C8" w:rsidR="00DD5D3A" w:rsidRDefault="00DD5D3A" w:rsidP="00445F39">
      <w:pPr>
        <w:pStyle w:val="ProductCode"/>
      </w:pPr>
      <w:r w:rsidRPr="00DD5D3A">
        <w:t>(e)</w:t>
      </w:r>
      <w:r w:rsidR="00445F39">
        <w:t xml:space="preserve"> </w:t>
      </w:r>
      <w:r w:rsidRPr="00DD5D3A">
        <w:t xml:space="preserve">When other enforcement options have been unsuccessful and an assets or income stream is identified, </w:t>
      </w:r>
      <w:r>
        <w:t>the agency takes litigation action against parents who repeatedly avoid paying their child support.</w:t>
      </w:r>
    </w:p>
    <w:p w14:paraId="39732DAA" w14:textId="77777777" w:rsidR="00DD5D3A" w:rsidRDefault="00DD5D3A" w:rsidP="00DD5D3A">
      <w:pPr>
        <w:pStyle w:val="BodyText"/>
      </w:pPr>
      <w:r>
        <w:t>Table 38 details employer withholdings from wages and salaries from 2022–23 to 2024–25.</w:t>
      </w:r>
    </w:p>
    <w:p w14:paraId="12ABABED" w14:textId="127842AB" w:rsidR="00DD5D3A" w:rsidRPr="00DD5D3A" w:rsidRDefault="00445F39" w:rsidP="00DD5D3A">
      <w:pPr>
        <w:pStyle w:val="BodyText"/>
        <w:rPr>
          <w:b/>
          <w:bCs/>
        </w:rPr>
      </w:pPr>
      <w:r>
        <w:rPr>
          <w:b/>
          <w:bCs/>
        </w:rPr>
        <w:t>Table 38:</w:t>
      </w:r>
      <w:r w:rsidR="00DD5D3A" w:rsidRPr="00DD5D3A">
        <w:rPr>
          <w:b/>
          <w:bCs/>
        </w:rPr>
        <w:t xml:space="preserve"> Employer withholding from wages and salaries </w:t>
      </w:r>
    </w:p>
    <w:tbl>
      <w:tblPr>
        <w:tblStyle w:val="TableGrid"/>
        <w:tblW w:w="5000" w:type="pct"/>
        <w:tblLook w:val="04A0" w:firstRow="1" w:lastRow="0" w:firstColumn="1" w:lastColumn="0" w:noHBand="0" w:noVBand="1"/>
        <w:tblCaption w:val="Employer withholding from wages and salaries "/>
      </w:tblPr>
      <w:tblGrid>
        <w:gridCol w:w="4997"/>
        <w:gridCol w:w="2033"/>
        <w:gridCol w:w="2033"/>
        <w:gridCol w:w="2033"/>
      </w:tblGrid>
      <w:tr w:rsidR="00DD5D3A" w14:paraId="5670C07D" w14:textId="77777777" w:rsidTr="004709AE">
        <w:trPr>
          <w:trHeight w:val="396"/>
          <w:tblHeader/>
        </w:trPr>
        <w:tc>
          <w:tcPr>
            <w:tcW w:w="2252" w:type="pct"/>
          </w:tcPr>
          <w:p w14:paraId="5EEF5C6B"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1FB94CFD" w14:textId="77777777" w:rsidR="00DD5D3A" w:rsidRPr="00891C1C" w:rsidRDefault="00DD5D3A" w:rsidP="00891C1C">
            <w:pPr>
              <w:pStyle w:val="BodyText"/>
              <w:rPr>
                <w:b/>
                <w:bCs/>
              </w:rPr>
            </w:pPr>
            <w:r w:rsidRPr="00891C1C">
              <w:rPr>
                <w:b/>
                <w:bCs/>
              </w:rPr>
              <w:t>2022–23</w:t>
            </w:r>
          </w:p>
        </w:tc>
        <w:tc>
          <w:tcPr>
            <w:tcW w:w="916" w:type="pct"/>
          </w:tcPr>
          <w:p w14:paraId="22CB50C4" w14:textId="77777777" w:rsidR="00DD5D3A" w:rsidRPr="00891C1C" w:rsidRDefault="00DD5D3A" w:rsidP="00891C1C">
            <w:pPr>
              <w:pStyle w:val="BodyText"/>
              <w:rPr>
                <w:b/>
                <w:bCs/>
              </w:rPr>
            </w:pPr>
            <w:r w:rsidRPr="00891C1C">
              <w:rPr>
                <w:b/>
                <w:bCs/>
              </w:rPr>
              <w:t>2023–24</w:t>
            </w:r>
          </w:p>
        </w:tc>
        <w:tc>
          <w:tcPr>
            <w:tcW w:w="916" w:type="pct"/>
          </w:tcPr>
          <w:p w14:paraId="6CE63449" w14:textId="77777777" w:rsidR="00DD5D3A" w:rsidRPr="00891C1C" w:rsidRDefault="00DD5D3A" w:rsidP="00891C1C">
            <w:pPr>
              <w:pStyle w:val="BodyText"/>
              <w:rPr>
                <w:b/>
                <w:bCs/>
              </w:rPr>
            </w:pPr>
            <w:r w:rsidRPr="00891C1C">
              <w:rPr>
                <w:b/>
                <w:bCs/>
              </w:rPr>
              <w:t>2024–25</w:t>
            </w:r>
          </w:p>
        </w:tc>
      </w:tr>
      <w:tr w:rsidR="00DD5D3A" w14:paraId="798D06E7" w14:textId="77777777" w:rsidTr="006A0585">
        <w:trPr>
          <w:trHeight w:val="396"/>
        </w:trPr>
        <w:tc>
          <w:tcPr>
            <w:tcW w:w="2252" w:type="pct"/>
          </w:tcPr>
          <w:p w14:paraId="3E9571DF" w14:textId="77777777" w:rsidR="00DD5D3A" w:rsidRDefault="00DD5D3A" w:rsidP="00874D7C">
            <w:pPr>
              <w:pStyle w:val="BodyText"/>
            </w:pPr>
            <w:r>
              <w:t>Active paying parents with employer withholding payments set up</w:t>
            </w:r>
            <w:r>
              <w:rPr>
                <w:vertAlign w:val="superscript"/>
              </w:rPr>
              <w:t>(a)</w:t>
            </w:r>
          </w:p>
        </w:tc>
        <w:tc>
          <w:tcPr>
            <w:tcW w:w="916" w:type="pct"/>
          </w:tcPr>
          <w:p w14:paraId="063E5886" w14:textId="77777777" w:rsidR="00DD5D3A" w:rsidRDefault="00DD5D3A" w:rsidP="00874D7C">
            <w:pPr>
              <w:pStyle w:val="BodyText"/>
              <w:jc w:val="right"/>
            </w:pPr>
            <w:r>
              <w:t>88,976</w:t>
            </w:r>
          </w:p>
        </w:tc>
        <w:tc>
          <w:tcPr>
            <w:tcW w:w="916" w:type="pct"/>
          </w:tcPr>
          <w:p w14:paraId="20D6BE5C" w14:textId="77777777" w:rsidR="00DD5D3A" w:rsidRDefault="00DD5D3A" w:rsidP="00874D7C">
            <w:pPr>
              <w:pStyle w:val="BodyText"/>
              <w:jc w:val="right"/>
            </w:pPr>
            <w:r>
              <w:t>92,783</w:t>
            </w:r>
          </w:p>
        </w:tc>
        <w:tc>
          <w:tcPr>
            <w:tcW w:w="916" w:type="pct"/>
          </w:tcPr>
          <w:p w14:paraId="6951934E" w14:textId="77777777" w:rsidR="00DD5D3A" w:rsidRDefault="00DD5D3A" w:rsidP="00874D7C">
            <w:pPr>
              <w:pStyle w:val="BodyText"/>
              <w:jc w:val="right"/>
            </w:pPr>
            <w:r>
              <w:t>90,541</w:t>
            </w:r>
          </w:p>
        </w:tc>
      </w:tr>
    </w:tbl>
    <w:p w14:paraId="10E31680" w14:textId="051A4A09" w:rsidR="00DD5D3A" w:rsidRDefault="00DD5D3A" w:rsidP="00445F39">
      <w:pPr>
        <w:pStyle w:val="ProductCode"/>
      </w:pPr>
      <w:r>
        <w:t>(a)</w:t>
      </w:r>
      <w:r w:rsidR="00445F39">
        <w:t xml:space="preserve"> </w:t>
      </w:r>
      <w:r>
        <w:t xml:space="preserve">The agency may initiate employer withholding for both current liability and child support debt. </w:t>
      </w:r>
    </w:p>
    <w:p w14:paraId="72E2F447" w14:textId="77777777" w:rsidR="00DD5D3A" w:rsidRDefault="00DD5D3A" w:rsidP="00DD5D3A">
      <w:pPr>
        <w:pStyle w:val="BodyText"/>
      </w:pPr>
      <w:r>
        <w:rPr>
          <w:spacing w:val="-3"/>
        </w:rPr>
        <w:t>Table 39 details deductions from Centrelink and DVA payments from 2022–23 to 2024–25.</w:t>
      </w:r>
    </w:p>
    <w:p w14:paraId="07C24873" w14:textId="1449BB7B" w:rsidR="00DD5D3A" w:rsidRPr="00DD5D3A" w:rsidRDefault="00445F39" w:rsidP="00DD5D3A">
      <w:pPr>
        <w:pStyle w:val="BodyText"/>
        <w:rPr>
          <w:b/>
          <w:bCs/>
        </w:rPr>
      </w:pPr>
      <w:r>
        <w:rPr>
          <w:b/>
          <w:bCs/>
        </w:rPr>
        <w:t>Table 39:</w:t>
      </w:r>
      <w:r w:rsidR="00DD5D3A" w:rsidRPr="00DD5D3A">
        <w:rPr>
          <w:b/>
          <w:bCs/>
        </w:rPr>
        <w:t xml:space="preserve"> Deductions from Centrelink and DVA payments </w:t>
      </w:r>
    </w:p>
    <w:tbl>
      <w:tblPr>
        <w:tblStyle w:val="TableGrid"/>
        <w:tblW w:w="5000" w:type="pct"/>
        <w:tblLook w:val="04A0" w:firstRow="1" w:lastRow="0" w:firstColumn="1" w:lastColumn="0" w:noHBand="0" w:noVBand="1"/>
        <w:tblCaption w:val="Deductions from Centrelink and DVA payments "/>
      </w:tblPr>
      <w:tblGrid>
        <w:gridCol w:w="4997"/>
        <w:gridCol w:w="2033"/>
        <w:gridCol w:w="2033"/>
        <w:gridCol w:w="2033"/>
      </w:tblGrid>
      <w:tr w:rsidR="00DD5D3A" w14:paraId="207048E4" w14:textId="77777777" w:rsidTr="004709AE">
        <w:trPr>
          <w:trHeight w:val="396"/>
          <w:tblHeader/>
        </w:trPr>
        <w:tc>
          <w:tcPr>
            <w:tcW w:w="2252" w:type="pct"/>
          </w:tcPr>
          <w:p w14:paraId="4362129C" w14:textId="77777777" w:rsidR="00DD5D3A" w:rsidRDefault="00DD5D3A" w:rsidP="00874D7C">
            <w:pPr>
              <w:pStyle w:val="NoParagraphStyle"/>
              <w:spacing w:line="240" w:lineRule="auto"/>
              <w:textAlignment w:val="auto"/>
              <w:rPr>
                <w:rFonts w:ascii="Roboto-Medium" w:hAnsi="Roboto-Medium" w:cstheme="minorBidi"/>
                <w:color w:val="auto"/>
                <w:lang w:val="en-AU"/>
              </w:rPr>
            </w:pPr>
          </w:p>
        </w:tc>
        <w:tc>
          <w:tcPr>
            <w:tcW w:w="916" w:type="pct"/>
          </w:tcPr>
          <w:p w14:paraId="2470B24E" w14:textId="77777777" w:rsidR="00DD5D3A" w:rsidRPr="00891C1C" w:rsidRDefault="00DD5D3A" w:rsidP="00891C1C">
            <w:pPr>
              <w:pStyle w:val="BodyText"/>
              <w:rPr>
                <w:b/>
                <w:bCs/>
              </w:rPr>
            </w:pPr>
            <w:r w:rsidRPr="00891C1C">
              <w:rPr>
                <w:b/>
                <w:bCs/>
              </w:rPr>
              <w:t>2022–23</w:t>
            </w:r>
          </w:p>
        </w:tc>
        <w:tc>
          <w:tcPr>
            <w:tcW w:w="916" w:type="pct"/>
          </w:tcPr>
          <w:p w14:paraId="127526B1" w14:textId="77777777" w:rsidR="00DD5D3A" w:rsidRPr="00891C1C" w:rsidRDefault="00DD5D3A" w:rsidP="00891C1C">
            <w:pPr>
              <w:pStyle w:val="BodyText"/>
              <w:rPr>
                <w:b/>
                <w:bCs/>
              </w:rPr>
            </w:pPr>
            <w:r w:rsidRPr="00891C1C">
              <w:rPr>
                <w:b/>
                <w:bCs/>
              </w:rPr>
              <w:t>2023–24</w:t>
            </w:r>
          </w:p>
        </w:tc>
        <w:tc>
          <w:tcPr>
            <w:tcW w:w="916" w:type="pct"/>
          </w:tcPr>
          <w:p w14:paraId="335A0B4D" w14:textId="77777777" w:rsidR="00DD5D3A" w:rsidRPr="00891C1C" w:rsidRDefault="00DD5D3A" w:rsidP="00891C1C">
            <w:pPr>
              <w:pStyle w:val="BodyText"/>
              <w:rPr>
                <w:b/>
                <w:bCs/>
              </w:rPr>
            </w:pPr>
            <w:r w:rsidRPr="00891C1C">
              <w:rPr>
                <w:b/>
                <w:bCs/>
              </w:rPr>
              <w:t>2024–25</w:t>
            </w:r>
          </w:p>
        </w:tc>
      </w:tr>
      <w:tr w:rsidR="00DD5D3A" w14:paraId="0D21C1F2" w14:textId="77777777" w:rsidTr="006A0585">
        <w:trPr>
          <w:trHeight w:val="396"/>
        </w:trPr>
        <w:tc>
          <w:tcPr>
            <w:tcW w:w="2252" w:type="pct"/>
          </w:tcPr>
          <w:p w14:paraId="0EA903FC" w14:textId="77777777" w:rsidR="00DD5D3A" w:rsidRDefault="00DD5D3A" w:rsidP="00874D7C">
            <w:pPr>
              <w:pStyle w:val="BodyText"/>
            </w:pPr>
            <w:r>
              <w:t>Amounts collected from Centrelink and DVA payments</w:t>
            </w:r>
            <w:r>
              <w:rPr>
                <w:vertAlign w:val="superscript"/>
              </w:rPr>
              <w:t>(a)(b)</w:t>
            </w:r>
          </w:p>
        </w:tc>
        <w:tc>
          <w:tcPr>
            <w:tcW w:w="916" w:type="pct"/>
          </w:tcPr>
          <w:p w14:paraId="050A9405" w14:textId="77777777" w:rsidR="00DD5D3A" w:rsidRDefault="00DD5D3A" w:rsidP="00874D7C">
            <w:pPr>
              <w:pStyle w:val="BodyText"/>
              <w:jc w:val="right"/>
            </w:pPr>
            <w:r>
              <w:t>$73.9 million</w:t>
            </w:r>
          </w:p>
        </w:tc>
        <w:tc>
          <w:tcPr>
            <w:tcW w:w="916" w:type="pct"/>
          </w:tcPr>
          <w:p w14:paraId="01DD4382" w14:textId="77777777" w:rsidR="00DD5D3A" w:rsidRDefault="00DD5D3A" w:rsidP="00874D7C">
            <w:pPr>
              <w:pStyle w:val="BodyText"/>
              <w:jc w:val="right"/>
            </w:pPr>
            <w:r>
              <w:t>$77.8 million</w:t>
            </w:r>
          </w:p>
        </w:tc>
        <w:tc>
          <w:tcPr>
            <w:tcW w:w="916" w:type="pct"/>
          </w:tcPr>
          <w:p w14:paraId="207394D7" w14:textId="77777777" w:rsidR="00DD5D3A" w:rsidRDefault="00DD5D3A" w:rsidP="00874D7C">
            <w:pPr>
              <w:pStyle w:val="BodyText"/>
              <w:jc w:val="right"/>
            </w:pPr>
            <w:r>
              <w:t>$87.4 million</w:t>
            </w:r>
          </w:p>
        </w:tc>
      </w:tr>
    </w:tbl>
    <w:p w14:paraId="79E9395E" w14:textId="04E5BAA9" w:rsidR="00DD5D3A" w:rsidRDefault="00DD5D3A" w:rsidP="00445F39">
      <w:pPr>
        <w:pStyle w:val="ProductCode"/>
      </w:pPr>
      <w:r>
        <w:t>(a)</w:t>
      </w:r>
      <w:r w:rsidR="00445F39">
        <w:t xml:space="preserve"> </w:t>
      </w:r>
      <w:r>
        <w:t xml:space="preserve">Represents the total amount of deductions from both Centrelink and DVA payments. </w:t>
      </w:r>
    </w:p>
    <w:p w14:paraId="034ACFA0" w14:textId="55EF708B" w:rsidR="00DD5D3A" w:rsidRDefault="00DD5D3A" w:rsidP="00445F39">
      <w:pPr>
        <w:pStyle w:val="ProductCode"/>
      </w:pPr>
      <w:r>
        <w:t>(b)</w:t>
      </w:r>
      <w:r w:rsidR="00445F39">
        <w:t xml:space="preserve"> </w:t>
      </w:r>
      <w:r>
        <w:t>These deductions may be made for both current liability and child support debt.</w:t>
      </w:r>
    </w:p>
    <w:p w14:paraId="2B833C4F" w14:textId="77777777" w:rsidR="00DD5D3A" w:rsidRDefault="00DD5D3A" w:rsidP="00DD5D3A">
      <w:pPr>
        <w:pStyle w:val="Heading1"/>
      </w:pPr>
      <w:bookmarkStart w:id="19" w:name="_Toc210815398"/>
      <w:r>
        <w:t xml:space="preserve">4.4 </w:t>
      </w:r>
      <w:r>
        <w:rPr>
          <w:spacing w:val="-10"/>
        </w:rPr>
        <w:t>Disasters and emergency events in 2024–25</w:t>
      </w:r>
      <w:bookmarkEnd w:id="19"/>
    </w:p>
    <w:p w14:paraId="64AD76EB" w14:textId="77777777" w:rsidR="00DD5D3A" w:rsidRDefault="00DD5D3A" w:rsidP="00DD5D3A">
      <w:pPr>
        <w:pStyle w:val="BodyText"/>
      </w:pPr>
      <w:r>
        <w:t xml:space="preserve">In 2024–25 we responded quickly to provide government assistance, including payments to support Australians impacted by declared natural disasters. We provided an online claims process for disaster payments, with claiming available through myGov in addition to phone and paper claiming options. </w:t>
      </w:r>
    </w:p>
    <w:p w14:paraId="6DB7F580" w14:textId="77777777" w:rsidR="00DD5D3A" w:rsidRDefault="00DD5D3A" w:rsidP="00DD5D3A">
      <w:pPr>
        <w:pStyle w:val="BodyText"/>
        <w:spacing w:after="57"/>
      </w:pPr>
      <w:r>
        <w:t>We administered the following disaster recovery payments on behalf of the National Emergency Management Agency:</w:t>
      </w:r>
    </w:p>
    <w:p w14:paraId="4552316D" w14:textId="77777777" w:rsidR="00DD5D3A" w:rsidRDefault="00DD5D3A" w:rsidP="00DD5D3A">
      <w:pPr>
        <w:pStyle w:val="ListBullet"/>
      </w:pPr>
      <w:r>
        <w:t>Australian Government Disaster Recovery Payment (AGDRP)</w:t>
      </w:r>
    </w:p>
    <w:p w14:paraId="7D3EFB3C" w14:textId="77777777" w:rsidR="00DD5D3A" w:rsidRDefault="00DD5D3A" w:rsidP="00DD5D3A">
      <w:pPr>
        <w:pStyle w:val="ListBullet"/>
      </w:pPr>
      <w:r>
        <w:t>Disaster Recovery Allowance (DRA)</w:t>
      </w:r>
    </w:p>
    <w:p w14:paraId="7439286D" w14:textId="77777777" w:rsidR="00DD5D3A" w:rsidRDefault="00DD5D3A" w:rsidP="00DD5D3A">
      <w:pPr>
        <w:pStyle w:val="ListBullet"/>
      </w:pPr>
      <w:r>
        <w:t>New Zealand Disaster Recovery Payment (NZDRP)</w:t>
      </w:r>
    </w:p>
    <w:p w14:paraId="4FD0D2B6" w14:textId="77777777" w:rsidR="00DD5D3A" w:rsidRDefault="00DD5D3A" w:rsidP="00DD5D3A">
      <w:pPr>
        <w:pStyle w:val="ListBullet"/>
      </w:pPr>
      <w:r>
        <w:t>New Zealand Disaster Recovery Allowance (NZDRA).</w:t>
      </w:r>
    </w:p>
    <w:p w14:paraId="1930665D" w14:textId="77777777" w:rsidR="00DD5D3A" w:rsidRDefault="00DD5D3A" w:rsidP="00DD5D3A">
      <w:pPr>
        <w:pStyle w:val="BodyText"/>
      </w:pPr>
      <w:r>
        <w:t>We also administered the Australian Victims of Terrorism Overseas Payment (AVTOP) on behalf of the Department of Home Affairs (Home Affairs).</w:t>
      </w:r>
    </w:p>
    <w:p w14:paraId="70D3B3E1" w14:textId="77777777" w:rsidR="00DD5D3A" w:rsidRDefault="00DD5D3A" w:rsidP="00DD5D3A">
      <w:pPr>
        <w:pStyle w:val="Heading2"/>
      </w:pPr>
      <w:r>
        <w:t>Support in disaster affected communities</w:t>
      </w:r>
    </w:p>
    <w:p w14:paraId="04A8C47D" w14:textId="77777777" w:rsidR="00DD5D3A" w:rsidRDefault="00DD5D3A" w:rsidP="00DD5D3A">
      <w:pPr>
        <w:pStyle w:val="BodyText"/>
        <w:spacing w:after="57"/>
      </w:pPr>
      <w:r>
        <w:t xml:space="preserve">In 2024–25 we provided financial assistance to individuals and communities in the following events: </w:t>
      </w:r>
    </w:p>
    <w:p w14:paraId="5986ABBA" w14:textId="77777777" w:rsidR="00DD5D3A" w:rsidRDefault="00DD5D3A" w:rsidP="00DD5D3A">
      <w:pPr>
        <w:pStyle w:val="ListBullet"/>
      </w:pPr>
      <w:r>
        <w:t>Far West New South Wales storms and power outages – October 2024</w:t>
      </w:r>
    </w:p>
    <w:p w14:paraId="1E76E0E1" w14:textId="77777777" w:rsidR="00DD5D3A" w:rsidRDefault="00DD5D3A" w:rsidP="00DD5D3A">
      <w:pPr>
        <w:pStyle w:val="ListBullet"/>
      </w:pPr>
      <w:r>
        <w:t>Western Victoria bushfires – December 2024</w:t>
      </w:r>
    </w:p>
    <w:p w14:paraId="519DD734" w14:textId="77777777" w:rsidR="00DD5D3A" w:rsidRDefault="00DD5D3A" w:rsidP="00DD5D3A">
      <w:pPr>
        <w:pStyle w:val="ListBullet"/>
      </w:pPr>
      <w:r>
        <w:t>North Queensland floods – January-February 2025</w:t>
      </w:r>
    </w:p>
    <w:p w14:paraId="2F55B9F6" w14:textId="77777777" w:rsidR="00DD5D3A" w:rsidRDefault="00DD5D3A" w:rsidP="00DD5D3A">
      <w:pPr>
        <w:pStyle w:val="ListBullet"/>
      </w:pPr>
      <w:r>
        <w:t>Queensland Ex-Tropical Cyclone Alfred – March 2025</w:t>
      </w:r>
    </w:p>
    <w:p w14:paraId="06CBE491" w14:textId="77777777" w:rsidR="00DD5D3A" w:rsidRDefault="00DD5D3A" w:rsidP="00DD5D3A">
      <w:pPr>
        <w:pStyle w:val="ListBullet"/>
      </w:pPr>
      <w:r>
        <w:t>New South Wales Ex-Tropical Cyclone Alfred – March 2025</w:t>
      </w:r>
    </w:p>
    <w:p w14:paraId="570C4C1E" w14:textId="77777777" w:rsidR="00DD5D3A" w:rsidRDefault="00DD5D3A" w:rsidP="00DD5D3A">
      <w:pPr>
        <w:pStyle w:val="ListBullet"/>
      </w:pPr>
      <w:r>
        <w:t>Western Queensland heavy rain and flooding – March 2025</w:t>
      </w:r>
    </w:p>
    <w:p w14:paraId="0DD0F2A5" w14:textId="77777777" w:rsidR="00DD5D3A" w:rsidRDefault="00DD5D3A" w:rsidP="00DD5D3A">
      <w:pPr>
        <w:pStyle w:val="ListBullet"/>
      </w:pPr>
      <w:r>
        <w:t>New South Wales East Coast severe weather and flooding – May 2025.</w:t>
      </w:r>
    </w:p>
    <w:p w14:paraId="23F94BF5" w14:textId="77777777" w:rsidR="00DD5D3A" w:rsidRDefault="00DD5D3A" w:rsidP="00DD5D3A">
      <w:pPr>
        <w:pStyle w:val="BodyText"/>
      </w:pPr>
      <w:r>
        <w:lastRenderedPageBreak/>
        <w:t xml:space="preserve">We deployed Service Officers and specialist staff to recovery centres in 129 locations, </w:t>
      </w:r>
      <w:r>
        <w:rPr>
          <w:spacing w:val="-4"/>
        </w:rPr>
        <w:t xml:space="preserve">providing support to over 25,000 people. Our mobile service centres visited 14 communities and supported over 8,000 people to claim disaster assistance and connect with social work </w:t>
      </w:r>
      <w:r>
        <w:t>services, counselling and other government and community services.</w:t>
      </w:r>
    </w:p>
    <w:p w14:paraId="2DE3A955" w14:textId="77777777" w:rsidR="00DD5D3A" w:rsidRDefault="00DD5D3A" w:rsidP="00DD5D3A">
      <w:pPr>
        <w:pStyle w:val="BodyText"/>
        <w:spacing w:after="57"/>
      </w:pPr>
      <w:r>
        <w:t>We delivered:</w:t>
      </w:r>
    </w:p>
    <w:p w14:paraId="11E3E59E" w14:textId="77777777" w:rsidR="00DD5D3A" w:rsidRDefault="00DD5D3A" w:rsidP="00DD5D3A">
      <w:pPr>
        <w:pStyle w:val="ListBullet"/>
      </w:pPr>
      <w:r>
        <w:t>$566.7 million in AGDRP</w:t>
      </w:r>
    </w:p>
    <w:p w14:paraId="6EEC99AA" w14:textId="77777777" w:rsidR="00DD5D3A" w:rsidRDefault="00DD5D3A" w:rsidP="00DD5D3A">
      <w:pPr>
        <w:pStyle w:val="ListBullet"/>
      </w:pPr>
      <w:r>
        <w:t>$197.7 million in DRA</w:t>
      </w:r>
    </w:p>
    <w:p w14:paraId="05D0029A" w14:textId="77777777" w:rsidR="00DD5D3A" w:rsidRDefault="00DD5D3A" w:rsidP="00DD5D3A">
      <w:pPr>
        <w:pStyle w:val="ListBullet"/>
      </w:pPr>
      <w:r>
        <w:t>$8.9 million in NZDRP</w:t>
      </w:r>
    </w:p>
    <w:p w14:paraId="18007A88" w14:textId="77777777" w:rsidR="00DD5D3A" w:rsidRDefault="00DD5D3A" w:rsidP="00DD5D3A">
      <w:pPr>
        <w:pStyle w:val="ListBullet"/>
      </w:pPr>
      <w:r>
        <w:t>$1.2 million in NZDRA.</w:t>
      </w:r>
    </w:p>
    <w:p w14:paraId="180CD8BC" w14:textId="77777777" w:rsidR="00DD5D3A" w:rsidRDefault="00DD5D3A" w:rsidP="00DD5D3A">
      <w:pPr>
        <w:pStyle w:val="Heading2"/>
      </w:pPr>
      <w:r>
        <w:t>National Emergency Call Centre Surge Capacity</w:t>
      </w:r>
    </w:p>
    <w:p w14:paraId="3FE3500E" w14:textId="77777777" w:rsidR="00DD5D3A" w:rsidRDefault="00DD5D3A" w:rsidP="00DD5D3A">
      <w:pPr>
        <w:pStyle w:val="BodyText"/>
      </w:pPr>
      <w:r>
        <w:t xml:space="preserve">The agency hosts critical, rapid response infrastructure through its National Emergency Call Centre Surge Capability (NECCSC). This capability can be activated during emergency or disaster events, to give surge support to other federal, state and territory government call centres. </w:t>
      </w:r>
    </w:p>
    <w:p w14:paraId="0E8305ED" w14:textId="77777777" w:rsidR="00DD5D3A" w:rsidRDefault="00DD5D3A" w:rsidP="00DD5D3A">
      <w:pPr>
        <w:pStyle w:val="BodyText"/>
        <w:spacing w:after="57"/>
      </w:pPr>
      <w:r>
        <w:t>In 2024–25 the NECCSC was activated 2 times to support the Department of Foreign Affairs and Trade (DFAT). Our support included registering the details of Australians in impacted regions and providing them with key information. If required, we also connected Australians to social workers. More than 3,000 calls were answered in response to the following events:</w:t>
      </w:r>
    </w:p>
    <w:p w14:paraId="53870A98" w14:textId="77777777" w:rsidR="00DD5D3A" w:rsidRDefault="00DD5D3A" w:rsidP="00DD5D3A">
      <w:pPr>
        <w:pStyle w:val="ListBullet"/>
      </w:pPr>
      <w:r>
        <w:t>Lebanon crisis, October 2024</w:t>
      </w:r>
    </w:p>
    <w:p w14:paraId="7EAE5D94" w14:textId="77777777" w:rsidR="00DD5D3A" w:rsidRDefault="00DD5D3A" w:rsidP="00DD5D3A">
      <w:pPr>
        <w:pStyle w:val="ListBullet"/>
      </w:pPr>
      <w:r>
        <w:t>Iran, Israel and the Occupied Palestinian Territories conflict, June 2025.</w:t>
      </w:r>
    </w:p>
    <w:p w14:paraId="0248FA58" w14:textId="77777777" w:rsidR="00DD5D3A" w:rsidRDefault="00DD5D3A" w:rsidP="00DD5D3A">
      <w:pPr>
        <w:pStyle w:val="Heading2"/>
      </w:pPr>
      <w:r>
        <w:t>Emergency Reserve</w:t>
      </w:r>
    </w:p>
    <w:p w14:paraId="44B8B3F2" w14:textId="77777777" w:rsidR="00DD5D3A" w:rsidRDefault="00DD5D3A" w:rsidP="00DD5D3A">
      <w:pPr>
        <w:pStyle w:val="BodyText"/>
        <w:spacing w:after="57"/>
      </w:pPr>
      <w:r>
        <w:t>Services Australia maintains a register of Emergency Reserve staff prepared to help in response and recovery efforts. Over 1,000 staff are registered to rapidly deploy, to help with functions including:</w:t>
      </w:r>
    </w:p>
    <w:p w14:paraId="7CDC2AAC" w14:textId="77777777" w:rsidR="00DD5D3A" w:rsidRDefault="00DD5D3A" w:rsidP="00DD5D3A">
      <w:pPr>
        <w:pStyle w:val="ListBullet"/>
      </w:pPr>
      <w:r>
        <w:t xml:space="preserve">face to face service delivery – working in recovery centres, backfilling in impacted </w:t>
      </w:r>
      <w:r>
        <w:rPr>
          <w:spacing w:val="-1"/>
        </w:rPr>
        <w:t>service centres, working on mobile service centres or as part of mobile service teams</w:t>
      </w:r>
    </w:p>
    <w:p w14:paraId="255DFE93" w14:textId="77777777" w:rsidR="00DD5D3A" w:rsidRDefault="00DD5D3A" w:rsidP="00DD5D3A">
      <w:pPr>
        <w:pStyle w:val="ListBullet"/>
      </w:pPr>
      <w:r>
        <w:t>emergency payment processing – surge support for claim processing.</w:t>
      </w:r>
    </w:p>
    <w:p w14:paraId="21FC0B12" w14:textId="77777777" w:rsidR="00DD5D3A" w:rsidRDefault="00DD5D3A" w:rsidP="00DD5D3A">
      <w:pPr>
        <w:pStyle w:val="Heading2"/>
        <w:spacing w:after="113"/>
      </w:pPr>
      <w:r>
        <w:t xml:space="preserve">Payments and support following other emergency events </w:t>
      </w:r>
    </w:p>
    <w:p w14:paraId="5D4177D2" w14:textId="77777777" w:rsidR="00DD5D3A" w:rsidRDefault="00DD5D3A" w:rsidP="00DD5D3A">
      <w:pPr>
        <w:pStyle w:val="Heading3"/>
      </w:pPr>
      <w:r>
        <w:t>Disaster Health Care Assistance Scheme</w:t>
      </w:r>
    </w:p>
    <w:p w14:paraId="339E9BAA" w14:textId="77777777" w:rsidR="00DD5D3A" w:rsidRDefault="00DD5D3A" w:rsidP="00DD5D3A">
      <w:pPr>
        <w:pStyle w:val="BodyText"/>
      </w:pPr>
      <w:r>
        <w:t xml:space="preserve">The Disaster Health Care Assistance Scheme helps with reasonable health-related out-of-pocket costs for people who have suffered an injury as a direct result of specific international acts of terrorism and natural disaster events. In 2024–25 there were no new disaster events. The declared events under the scheme are listed on the Services Australia website. </w:t>
      </w:r>
    </w:p>
    <w:p w14:paraId="66C6A392" w14:textId="77777777" w:rsidR="00DD5D3A" w:rsidRDefault="00DD5D3A" w:rsidP="00DD5D3A">
      <w:pPr>
        <w:pStyle w:val="Heading3"/>
        <w:spacing w:before="57"/>
      </w:pPr>
      <w:r>
        <w:t xml:space="preserve">Australian Victims of Terrorism Overseas Payment </w:t>
      </w:r>
    </w:p>
    <w:p w14:paraId="6D7DF792" w14:textId="77777777" w:rsidR="00DD5D3A" w:rsidRDefault="00DD5D3A" w:rsidP="00DD5D3A">
      <w:pPr>
        <w:pStyle w:val="BodyText"/>
      </w:pPr>
      <w:r>
        <w:t>The AVTOP is a one-off payment to Australians who were harmed (primary victim) or had a close family member who died (secondary victim) as a direct result of a declared overseas terrorist attack. The agency delivers AVTOP on behalf of Home Affairs.</w:t>
      </w:r>
    </w:p>
    <w:p w14:paraId="148F8C96" w14:textId="77777777" w:rsidR="00DD5D3A" w:rsidRDefault="00DD5D3A" w:rsidP="00DD5D3A">
      <w:pPr>
        <w:pStyle w:val="BodyText"/>
      </w:pPr>
      <w:r>
        <w:t>During the year, the AVTOP hotline answered over 800 calls and 19 new claims were received.</w:t>
      </w:r>
    </w:p>
    <w:p w14:paraId="6211035F" w14:textId="77777777" w:rsidR="00DD5D3A" w:rsidRDefault="00DD5D3A" w:rsidP="00DD5D3A">
      <w:pPr>
        <w:pStyle w:val="Heading3"/>
        <w:spacing w:before="57"/>
      </w:pPr>
      <w:r>
        <w:lastRenderedPageBreak/>
        <w:t>National Security Hotline</w:t>
      </w:r>
    </w:p>
    <w:p w14:paraId="41BB4C26" w14:textId="77777777" w:rsidR="00DD5D3A" w:rsidRDefault="00DD5D3A" w:rsidP="00DD5D3A">
      <w:pPr>
        <w:pStyle w:val="BodyText"/>
      </w:pPr>
      <w:r>
        <w:t xml:space="preserve">In 2024–25 surge assistance for the National Security Hotline (NSH) was not required. </w:t>
      </w:r>
      <w:r>
        <w:rPr>
          <w:spacing w:val="-2"/>
        </w:rPr>
        <w:t xml:space="preserve">The agency provides surge assistance when requested and this capability can be enabled as the single point of contact for members of the public to report any concerns relating to national security. This could be in relation to terrorism, but also a range of other threats to national security. Information collected by NSH operators is referred to federal and state </w:t>
      </w:r>
      <w:r>
        <w:t xml:space="preserve">law enforcement agencies and intelligence agencies for further investigation. </w:t>
      </w:r>
    </w:p>
    <w:tbl>
      <w:tblPr>
        <w:tblStyle w:val="TableGrid"/>
        <w:tblW w:w="5000" w:type="pct"/>
        <w:tblLook w:val="04A0" w:firstRow="1" w:lastRow="0" w:firstColumn="1" w:lastColumn="0" w:noHBand="0" w:noVBand="1"/>
        <w:tblCaption w:val="Case study – Easy and efficient payments for disaster victims"/>
      </w:tblPr>
      <w:tblGrid>
        <w:gridCol w:w="11096"/>
      </w:tblGrid>
      <w:tr w:rsidR="00445F39" w14:paraId="23E64969" w14:textId="77777777" w:rsidTr="006A0585">
        <w:tc>
          <w:tcPr>
            <w:tcW w:w="5000" w:type="pct"/>
          </w:tcPr>
          <w:p w14:paraId="7AC95956" w14:textId="5DDD9835" w:rsidR="00445F39" w:rsidRPr="00445F39" w:rsidRDefault="00445F39" w:rsidP="00445F39">
            <w:pPr>
              <w:pStyle w:val="Heading2"/>
              <w:rPr>
                <w:lang w:val="en-GB"/>
              </w:rPr>
            </w:pPr>
            <w:r>
              <w:rPr>
                <w:lang w:val="en-GB"/>
              </w:rPr>
              <w:t xml:space="preserve">Case study – </w:t>
            </w:r>
            <w:r w:rsidRPr="00445F39">
              <w:rPr>
                <w:lang w:val="en-GB"/>
              </w:rPr>
              <w:t>Easy and efficient payments for disaster victims</w:t>
            </w:r>
          </w:p>
          <w:p w14:paraId="197538AC" w14:textId="77777777" w:rsidR="00445F39" w:rsidRPr="00445F39" w:rsidRDefault="00445F39" w:rsidP="00445F39">
            <w:pPr>
              <w:pStyle w:val="BodyText"/>
              <w:rPr>
                <w:lang w:val="en-GB"/>
              </w:rPr>
            </w:pPr>
            <w:r w:rsidRPr="00445F39">
              <w:rPr>
                <w:lang w:val="en-GB"/>
              </w:rPr>
              <w:t>Changes in the climate are resulting in more frequent and more severe natural disasters across our country.</w:t>
            </w:r>
          </w:p>
          <w:p w14:paraId="410BDED9" w14:textId="77777777" w:rsidR="00445F39" w:rsidRPr="00445F39" w:rsidRDefault="00445F39" w:rsidP="00445F39">
            <w:pPr>
              <w:pStyle w:val="BodyText"/>
              <w:rPr>
                <w:lang w:val="en-GB"/>
              </w:rPr>
            </w:pPr>
            <w:r w:rsidRPr="00445F39">
              <w:rPr>
                <w:lang w:val="en-GB"/>
              </w:rPr>
              <w:t>When Australians are impacted by the devastation of storms, floods, cyclones or bushfires, Services Australia is on hand to provide support.</w:t>
            </w:r>
          </w:p>
          <w:p w14:paraId="7F7105CB" w14:textId="77777777" w:rsidR="00445F39" w:rsidRPr="00445F39" w:rsidRDefault="00445F39" w:rsidP="00445F39">
            <w:pPr>
              <w:pStyle w:val="BodyText"/>
              <w:rPr>
                <w:lang w:val="en-GB"/>
              </w:rPr>
            </w:pPr>
            <w:r w:rsidRPr="00445F39">
              <w:rPr>
                <w:lang w:val="en-GB"/>
              </w:rPr>
              <w:t>Services Australia administers the AGDRP on behalf of the Australian Government.</w:t>
            </w:r>
          </w:p>
          <w:p w14:paraId="2DF82A38" w14:textId="77777777" w:rsidR="00445F39" w:rsidRPr="00445F39" w:rsidRDefault="00445F39" w:rsidP="00445F39">
            <w:pPr>
              <w:pStyle w:val="BodyText"/>
              <w:rPr>
                <w:lang w:val="en-GB"/>
              </w:rPr>
            </w:pPr>
            <w:r w:rsidRPr="00445F39">
              <w:rPr>
                <w:lang w:val="en-GB"/>
              </w:rPr>
              <w:t>It’s a one-off payment to support those who have been adversely impacted by a disaster.</w:t>
            </w:r>
          </w:p>
          <w:p w14:paraId="2478685C" w14:textId="77777777" w:rsidR="00445F39" w:rsidRPr="00445F39" w:rsidRDefault="00445F39" w:rsidP="00445F39">
            <w:pPr>
              <w:pStyle w:val="BodyText"/>
              <w:rPr>
                <w:lang w:val="en-GB"/>
              </w:rPr>
            </w:pPr>
            <w:r w:rsidRPr="00445F39">
              <w:rPr>
                <w:lang w:val="en-GB"/>
              </w:rPr>
              <w:t>People may be eligible if their principal place of residence or their major assets – like a vehicle, caravan, water tank or machinery – have been destroyed or sustained major damage.</w:t>
            </w:r>
          </w:p>
          <w:p w14:paraId="3A4845DF" w14:textId="77777777" w:rsidR="00445F39" w:rsidRPr="00445F39" w:rsidRDefault="00445F39" w:rsidP="00445F39">
            <w:pPr>
              <w:pStyle w:val="BodyText"/>
              <w:rPr>
                <w:lang w:val="en-GB"/>
              </w:rPr>
            </w:pPr>
            <w:r w:rsidRPr="00445F39">
              <w:rPr>
                <w:lang w:val="en-GB"/>
              </w:rPr>
              <w:t>Eligibility may also apply if they or a child they care for have been seriously injured, or if a family member has died or is missing.</w:t>
            </w:r>
          </w:p>
          <w:p w14:paraId="01AD5B8D" w14:textId="77777777" w:rsidR="00445F39" w:rsidRPr="00445F39" w:rsidRDefault="00445F39" w:rsidP="00445F39">
            <w:pPr>
              <w:pStyle w:val="BodyText"/>
              <w:rPr>
                <w:lang w:val="en-GB"/>
              </w:rPr>
            </w:pPr>
            <w:r w:rsidRPr="00445F39">
              <w:rPr>
                <w:lang w:val="en-GB"/>
              </w:rPr>
              <w:t>Eligible customers can get $1,000 per adult, and $400 for each eligible child under the age of 16. These payments help customers to recover in the immediate aftermath of a disaster.</w:t>
            </w:r>
          </w:p>
          <w:p w14:paraId="729DD409" w14:textId="77777777" w:rsidR="00445F39" w:rsidRPr="00445F39" w:rsidRDefault="00445F39" w:rsidP="00445F39">
            <w:pPr>
              <w:pStyle w:val="BodyText"/>
              <w:rPr>
                <w:lang w:val="en-GB"/>
              </w:rPr>
            </w:pPr>
            <w:r w:rsidRPr="00445F39">
              <w:rPr>
                <w:lang w:val="en-GB"/>
              </w:rPr>
              <w:t>Services Australia granted over 500,000 claims for AGDRP relating to 4 natural disasters across the country in 2024–25.</w:t>
            </w:r>
          </w:p>
          <w:p w14:paraId="3EF81F46" w14:textId="77777777" w:rsidR="00445F39" w:rsidRPr="00445F39" w:rsidRDefault="00445F39" w:rsidP="00445F39">
            <w:pPr>
              <w:pStyle w:val="BodyText"/>
              <w:rPr>
                <w:lang w:val="en-GB"/>
              </w:rPr>
            </w:pPr>
            <w:r w:rsidRPr="00445F39">
              <w:rPr>
                <w:lang w:val="en-GB"/>
              </w:rPr>
              <w:t>This included customers like John, in Queensland, who was impacted by a large storm and subsequent flooding.</w:t>
            </w:r>
          </w:p>
          <w:p w14:paraId="4FD48404" w14:textId="77777777" w:rsidR="00445F39" w:rsidRPr="00445F39" w:rsidRDefault="00445F39" w:rsidP="00445F39">
            <w:pPr>
              <w:pStyle w:val="BodyText"/>
              <w:rPr>
                <w:lang w:val="en-GB"/>
              </w:rPr>
            </w:pPr>
            <w:r w:rsidRPr="00445F39">
              <w:rPr>
                <w:lang w:val="en-GB"/>
              </w:rPr>
              <w:t>The floodwaters entered John’s home and damaged carpets and floorboards, as well as some furniture and electrical goods.</w:t>
            </w:r>
          </w:p>
          <w:p w14:paraId="26D96126" w14:textId="77777777" w:rsidR="00445F39" w:rsidRPr="00445F39" w:rsidRDefault="00445F39" w:rsidP="00445F39">
            <w:pPr>
              <w:pStyle w:val="BodyText"/>
              <w:rPr>
                <w:lang w:val="en-GB"/>
              </w:rPr>
            </w:pPr>
            <w:r w:rsidRPr="00445F39">
              <w:rPr>
                <w:lang w:val="en-GB"/>
              </w:rPr>
              <w:t xml:space="preserve">John accessed myGov and navigated to his Centrelink online account, where he lodged an online claim for AGDRP. </w:t>
            </w:r>
          </w:p>
          <w:p w14:paraId="7C70C485" w14:textId="77777777" w:rsidR="00445F39" w:rsidRPr="00445F39" w:rsidRDefault="00445F39" w:rsidP="00445F39">
            <w:pPr>
              <w:pStyle w:val="BodyText"/>
              <w:rPr>
                <w:lang w:val="en-GB"/>
              </w:rPr>
            </w:pPr>
            <w:r w:rsidRPr="00445F39">
              <w:rPr>
                <w:lang w:val="en-GB"/>
              </w:rPr>
              <w:t>The claim took John about 10 minutes to complete and submit.</w:t>
            </w:r>
          </w:p>
          <w:p w14:paraId="0D301ABB" w14:textId="77777777" w:rsidR="00445F39" w:rsidRPr="00445F39" w:rsidRDefault="00445F39" w:rsidP="00445F39">
            <w:pPr>
              <w:pStyle w:val="BodyText"/>
              <w:rPr>
                <w:lang w:val="en-GB"/>
              </w:rPr>
            </w:pPr>
            <w:r w:rsidRPr="00445F39">
              <w:rPr>
                <w:lang w:val="en-GB"/>
              </w:rPr>
              <w:t xml:space="preserve">Our Service Officers assessed the claim and finalised it that day, with payment made to John’s nominated bank account. </w:t>
            </w:r>
          </w:p>
          <w:p w14:paraId="04E6C37D" w14:textId="097E2784" w:rsidR="00445F39" w:rsidRDefault="00445F39" w:rsidP="00445F39">
            <w:pPr>
              <w:pStyle w:val="BodyText"/>
            </w:pPr>
            <w:r w:rsidRPr="00445F39">
              <w:rPr>
                <w:lang w:val="en-GB"/>
              </w:rPr>
              <w:t>Customers can make a claim and receive payment quickly and efficiently, helping prevent any extra stress or anxiety for people who find themselves adversely affected by a disaster.</w:t>
            </w:r>
          </w:p>
        </w:tc>
      </w:tr>
    </w:tbl>
    <w:p w14:paraId="49651237" w14:textId="2F3597EE" w:rsidR="00DD5D3A" w:rsidRDefault="00DD5D3A" w:rsidP="00DD5D3A">
      <w:pPr>
        <w:pStyle w:val="Heading1"/>
      </w:pPr>
      <w:bookmarkStart w:id="20" w:name="_Toc210815399"/>
      <w:r>
        <w:t>4.5 Tailored support services</w:t>
      </w:r>
      <w:bookmarkEnd w:id="20"/>
    </w:p>
    <w:p w14:paraId="45789B9A" w14:textId="77777777" w:rsidR="00DD5D3A" w:rsidRDefault="00DD5D3A" w:rsidP="00DD5D3A">
      <w:pPr>
        <w:pStyle w:val="BodyText"/>
      </w:pPr>
      <w:r>
        <w:t xml:space="preserve">Our customers have varied needs, experiences and abilities that may influence how and when they interact with us. The agency provides several services tailored to our customers’ unique circumstances. </w:t>
      </w:r>
    </w:p>
    <w:p w14:paraId="3EF631B2" w14:textId="77777777" w:rsidR="00DD5D3A" w:rsidRDefault="00DD5D3A" w:rsidP="00DD5D3A">
      <w:pPr>
        <w:pStyle w:val="Heading2"/>
      </w:pPr>
      <w:r>
        <w:lastRenderedPageBreak/>
        <w:t>Vulnerability strategy</w:t>
      </w:r>
    </w:p>
    <w:p w14:paraId="05DD4FD6" w14:textId="77777777" w:rsidR="00DD5D3A" w:rsidRDefault="00DD5D3A" w:rsidP="00DD5D3A">
      <w:pPr>
        <w:pStyle w:val="BodyText"/>
      </w:pPr>
      <w:r>
        <w:t>The agency is committed to providing timely connections to services and support for individuals facing vulnerability. Our enterprise-wide vulnerability strategy focuses on establishing a consistent and coordinated approach in helping customers at risk of or experiencing vulnerable circumstances.</w:t>
      </w:r>
    </w:p>
    <w:p w14:paraId="164C73E0" w14:textId="77777777" w:rsidR="00DD5D3A" w:rsidRDefault="00DD5D3A" w:rsidP="00DD5D3A">
      <w:pPr>
        <w:pStyle w:val="BodyText"/>
      </w:pPr>
      <w:r>
        <w:t>The strategy acknowledges the complex and transient nature of vulnerability and empowers staff to address individual needs whilst ensuring a safe and respectful environment. It integrates the requirements of vulnerable individuals into our policy and process design.</w:t>
      </w:r>
    </w:p>
    <w:p w14:paraId="0E061585" w14:textId="77777777" w:rsidR="00DD5D3A" w:rsidRDefault="00DD5D3A" w:rsidP="00DD5D3A">
      <w:pPr>
        <w:pStyle w:val="Heading2"/>
      </w:pPr>
      <w:r>
        <w:t>Advocates Channel</w:t>
      </w:r>
    </w:p>
    <w:p w14:paraId="1A744B30" w14:textId="77777777" w:rsidR="00DD5D3A" w:rsidRDefault="00DD5D3A" w:rsidP="00DD5D3A">
      <w:pPr>
        <w:pStyle w:val="BodyText"/>
      </w:pPr>
      <w:r>
        <w:t>The Advocates Channel enables legal advocates from community legal centres to email enquiries directly to Services Australia about Centrelink, Child Support and Medicare on behalf of clients who are vulnerable, at risk of serious harm, or in need of urgent help to address their circumstances. Enquiries are triaged by a team of specialist staff who ensure a timely response is given to the advocate. Since 1 July 2024 the Advocates Channel has resolved over 1,700 enquiries.</w:t>
      </w:r>
    </w:p>
    <w:p w14:paraId="7A7528EE" w14:textId="77777777" w:rsidR="00DD5D3A" w:rsidRDefault="00DD5D3A" w:rsidP="00DD5D3A">
      <w:pPr>
        <w:pStyle w:val="BodyText"/>
      </w:pPr>
      <w:r>
        <w:t>For more information about the Advocates Channel see Streamlined service improves outcomes for vulnerable customers on page 138.</w:t>
      </w:r>
    </w:p>
    <w:p w14:paraId="7BB03103" w14:textId="77777777" w:rsidR="00DD5D3A" w:rsidRDefault="00DD5D3A" w:rsidP="00DD5D3A">
      <w:pPr>
        <w:pStyle w:val="Heading2"/>
      </w:pPr>
      <w:r>
        <w:t xml:space="preserve">People affected by family and domestic violence </w:t>
      </w:r>
    </w:p>
    <w:p w14:paraId="3155385A" w14:textId="77777777" w:rsidR="00DD5D3A" w:rsidRDefault="00DD5D3A" w:rsidP="00DD5D3A">
      <w:pPr>
        <w:pStyle w:val="BodyText"/>
      </w:pPr>
      <w:r>
        <w:rPr>
          <w:spacing w:val="-2"/>
        </w:rPr>
        <w:t xml:space="preserve">Our priority is to help people who are affected by family and domestic violence to access </w:t>
      </w:r>
      <w:r>
        <w:t>payments, services and support. The agency’s family and domestic violence support model helps staff identify these customers and offer them support. We acknowledge that anyone, of any gender, in any relationship, including those involving carers, relatives or guardians, kinship groups, and other family groups recognised by various cultures and communities, can experience family and domestic violence.</w:t>
      </w:r>
    </w:p>
    <w:p w14:paraId="2D5F9CB4" w14:textId="77777777" w:rsidR="00DD5D3A" w:rsidRDefault="00DD5D3A" w:rsidP="00DD5D3A">
      <w:pPr>
        <w:pStyle w:val="BodyText"/>
        <w:spacing w:after="57"/>
      </w:pPr>
      <w:r>
        <w:t>In 2024–25:</w:t>
      </w:r>
    </w:p>
    <w:p w14:paraId="480B6E39" w14:textId="77777777" w:rsidR="00DD5D3A" w:rsidRDefault="00DD5D3A" w:rsidP="00DD5D3A">
      <w:pPr>
        <w:pStyle w:val="ListBullet"/>
      </w:pPr>
      <w:r>
        <w:t>we granted 38,700 crisis payments to support these customers affected by family and domestic violence</w:t>
      </w:r>
    </w:p>
    <w:p w14:paraId="79904976" w14:textId="77777777" w:rsidR="00DD5D3A" w:rsidRDefault="00DD5D3A" w:rsidP="00DD5D3A">
      <w:pPr>
        <w:pStyle w:val="ListBullet"/>
      </w:pPr>
      <w:r>
        <w:t>our family and domestic violence webpages were viewed 264,926 times across 227,440 unique sessions</w:t>
      </w:r>
    </w:p>
    <w:p w14:paraId="2F5F1C05" w14:textId="77777777" w:rsidR="00DD5D3A" w:rsidRDefault="00DD5D3A" w:rsidP="00DD5D3A">
      <w:pPr>
        <w:pStyle w:val="ListBullet"/>
      </w:pPr>
      <w:r>
        <w:t xml:space="preserve">our staff completed 49,651 training sessions targeting how to help customers and agency staff affected by family and domestic violence. </w:t>
      </w:r>
    </w:p>
    <w:p w14:paraId="6EC2B1DF" w14:textId="77777777" w:rsidR="00DD5D3A" w:rsidRDefault="00DD5D3A" w:rsidP="00DD5D3A">
      <w:pPr>
        <w:pStyle w:val="BodyText"/>
      </w:pPr>
      <w:r>
        <w:t>Our Family and Domestic Violence Strategic Commitment was released in December 2024 and sets the direction on how we support customers experiencing family and domestic violence. It is aligned to the National Plan to End Violence against Women and Children 2022–32 and guides how we uphold and define our role in supporting Australians and ending family and domestic violence.</w:t>
      </w:r>
    </w:p>
    <w:p w14:paraId="3E2EB1D8" w14:textId="77777777" w:rsidR="00DD5D3A" w:rsidRDefault="00DD5D3A" w:rsidP="00DD5D3A">
      <w:pPr>
        <w:pStyle w:val="Heading2"/>
      </w:pPr>
      <w:r>
        <w:t xml:space="preserve">Commonwealth Child Safe Framework </w:t>
      </w:r>
    </w:p>
    <w:p w14:paraId="206992CC" w14:textId="77777777" w:rsidR="00DD5D3A" w:rsidRDefault="00DD5D3A" w:rsidP="00DD5D3A">
      <w:pPr>
        <w:pStyle w:val="BodyText"/>
      </w:pPr>
      <w:r>
        <w:t xml:space="preserve">The Commonwealth Child Safe Framework aims to protect children from risk of harm or abuse. The agency is committed to the safety of children and vulnerable people. We have zero tolerance for child abuse and take any allegation of reportable conduct and safety concerns seriously. We interact with children directly and indirectly via the delivery of our payments and services and we undertake an annual child safety risk assessment with the aim of identifying and mitigating risks to children through the interactions they may have with us. Our most recent annual child safety risk assessment indicates a low-risk rating. The agency is compliant with the framework.This is embedded in our policy, business </w:t>
      </w:r>
      <w:r>
        <w:lastRenderedPageBreak/>
        <w:t>resources, and training, which are regularly reviewed and updated as part of our child safety initiatives to support our commitment to being a child safe organisation.</w:t>
      </w:r>
    </w:p>
    <w:p w14:paraId="0D316219" w14:textId="77777777" w:rsidR="00DD5D3A" w:rsidRDefault="00DD5D3A" w:rsidP="00DD5D3A">
      <w:pPr>
        <w:pStyle w:val="Heading2"/>
      </w:pPr>
      <w:r>
        <w:t>Aboriginal and Torres Strait Islander Australians</w:t>
      </w:r>
    </w:p>
    <w:p w14:paraId="3A8CFF39" w14:textId="77777777" w:rsidR="00DD5D3A" w:rsidRDefault="00DD5D3A" w:rsidP="00DD5D3A">
      <w:pPr>
        <w:pStyle w:val="BodyText"/>
      </w:pPr>
      <w:r>
        <w:t>The agency has a long-standing commitment to improve outcomes with and for Aboriginal and Torres Strait Islander Australians living in urban, regional, rural and remote communities, through providing payments, programs and services. We acknowledge that Aboriginal and Torres Strait Islander Australians can often face challenges in accessing services, especially if they live in remote areas.</w:t>
      </w:r>
    </w:p>
    <w:p w14:paraId="4E27F2A4" w14:textId="77777777" w:rsidR="00DD5D3A" w:rsidRDefault="00DD5D3A" w:rsidP="00DD5D3A">
      <w:pPr>
        <w:pStyle w:val="BodyText"/>
      </w:pPr>
      <w:r>
        <w:t xml:space="preserve">We are committed to prioritising Aboriginal and Torres Strait Islander cultures and embracing the new approach outlined in the National Agreement on Closing the Gap (National Agreement). The National Agreement is a call to action for governments and their agencies to transform their approach to design and deliver programs and services in full and genuine partnership with Aboriginal and Torres Strait Islander Australians. </w:t>
      </w:r>
    </w:p>
    <w:p w14:paraId="6D945B9C" w14:textId="77777777" w:rsidR="00DD5D3A" w:rsidRDefault="00DD5D3A" w:rsidP="00DD5D3A">
      <w:pPr>
        <w:pStyle w:val="BodyText"/>
      </w:pPr>
      <w:r>
        <w:t>Our commitment to the new approach of the National Agreement guides our actions. The agency’s strengths-based cultural principles of listen, share, value and learn and the Aboriginal and Torres Strait Islander ways of thinking, knowing, being and doing, reflect our commitment.</w:t>
      </w:r>
    </w:p>
    <w:tbl>
      <w:tblPr>
        <w:tblStyle w:val="TableGrid"/>
        <w:tblW w:w="5000" w:type="pct"/>
        <w:tblLook w:val="04A0" w:firstRow="1" w:lastRow="0" w:firstColumn="1" w:lastColumn="0" w:noHBand="0" w:noVBand="1"/>
        <w:tblCaption w:val="Case study – Indigenous Service Officers celebrate deadly milestone"/>
      </w:tblPr>
      <w:tblGrid>
        <w:gridCol w:w="11096"/>
      </w:tblGrid>
      <w:tr w:rsidR="00445F39" w14:paraId="290BE38E" w14:textId="77777777" w:rsidTr="006A0585">
        <w:tc>
          <w:tcPr>
            <w:tcW w:w="5000" w:type="pct"/>
          </w:tcPr>
          <w:p w14:paraId="6DAD962B" w14:textId="370C54CF" w:rsidR="00445F39" w:rsidRPr="00445F39" w:rsidRDefault="00445F39" w:rsidP="00445F39">
            <w:pPr>
              <w:pStyle w:val="Heading2"/>
              <w:rPr>
                <w:lang w:val="en-GB"/>
              </w:rPr>
            </w:pPr>
            <w:r>
              <w:rPr>
                <w:lang w:val="en-GB"/>
              </w:rPr>
              <w:lastRenderedPageBreak/>
              <w:t xml:space="preserve">Case study – </w:t>
            </w:r>
            <w:r w:rsidRPr="00445F39">
              <w:rPr>
                <w:lang w:val="en-GB"/>
              </w:rPr>
              <w:t>Indigenous Service Officers celebrate deadly milestone</w:t>
            </w:r>
          </w:p>
          <w:p w14:paraId="3766DAEB" w14:textId="77777777" w:rsidR="00445F39" w:rsidRPr="00445F39" w:rsidRDefault="00445F39" w:rsidP="00445F39">
            <w:pPr>
              <w:pStyle w:val="BodyText"/>
              <w:rPr>
                <w:lang w:val="en-GB"/>
              </w:rPr>
            </w:pPr>
            <w:r w:rsidRPr="00445F39">
              <w:rPr>
                <w:lang w:val="en-GB"/>
              </w:rPr>
              <w:t>For half a century, ISOs have been at the heart of connecting Aboriginal and Torres Strait Islander communities with government services.</w:t>
            </w:r>
          </w:p>
          <w:p w14:paraId="7FE94767" w14:textId="77777777" w:rsidR="00445F39" w:rsidRPr="00445F39" w:rsidRDefault="00445F39" w:rsidP="00445F39">
            <w:pPr>
              <w:pStyle w:val="BodyText"/>
              <w:rPr>
                <w:lang w:val="en-GB"/>
              </w:rPr>
            </w:pPr>
            <w:r w:rsidRPr="00445F39">
              <w:rPr>
                <w:lang w:val="en-GB"/>
              </w:rPr>
              <w:t>This year marks 50 years of the program, a milestone that signifies not just longevity but also a legacy of resilience, empowerment and advocacy.</w:t>
            </w:r>
          </w:p>
          <w:p w14:paraId="3365390C" w14:textId="77777777" w:rsidR="00445F39" w:rsidRPr="00445F39" w:rsidRDefault="00445F39" w:rsidP="00445F39">
            <w:pPr>
              <w:pStyle w:val="BodyText"/>
              <w:rPr>
                <w:lang w:val="en-GB"/>
              </w:rPr>
            </w:pPr>
            <w:r w:rsidRPr="00445F39">
              <w:rPr>
                <w:lang w:val="en-GB"/>
              </w:rPr>
              <w:t xml:space="preserve">After the devastation of Cyclone Tracy in December 1974, Aunty Euna Watson Coolwell helped displaced Aboriginal people relocate from Darwin to Brisbane to rebuild their lives. </w:t>
            </w:r>
          </w:p>
          <w:p w14:paraId="4D4A5A4C" w14:textId="77777777" w:rsidR="00445F39" w:rsidRPr="00445F39" w:rsidRDefault="00445F39" w:rsidP="00445F39">
            <w:pPr>
              <w:pStyle w:val="BodyText"/>
              <w:rPr>
                <w:lang w:val="en-GB"/>
              </w:rPr>
            </w:pPr>
            <w:r w:rsidRPr="00445F39">
              <w:rPr>
                <w:lang w:val="en-GB"/>
              </w:rPr>
              <w:t>As the first Aboriginal Liaison Officer, as they were called then, she would never have imagined the foundations she was laying. Aunty Euna set in motion what would become a long-standing commitment to culturally appropriate service delivery and genuine partnership with Aboriginal and Torres Strait Islander communities.</w:t>
            </w:r>
          </w:p>
          <w:p w14:paraId="387706C0" w14:textId="77777777" w:rsidR="00445F39" w:rsidRPr="00445F39" w:rsidRDefault="00445F39" w:rsidP="00445F39">
            <w:pPr>
              <w:pStyle w:val="BodyText"/>
              <w:rPr>
                <w:lang w:val="en-GB"/>
              </w:rPr>
            </w:pPr>
            <w:r w:rsidRPr="00445F39">
              <w:rPr>
                <w:lang w:val="en-GB"/>
              </w:rPr>
              <w:t xml:space="preserve">Five decades on, Aunty Euna’s legacy is as strong as ever, with a network of about 72 committed and passionate ISOs supporting Aboriginal and Torres Strait Islander communities across the country. </w:t>
            </w:r>
          </w:p>
          <w:p w14:paraId="494AD83B" w14:textId="77777777" w:rsidR="00445F39" w:rsidRPr="00445F39" w:rsidRDefault="00445F39" w:rsidP="00445F39">
            <w:pPr>
              <w:pStyle w:val="BodyText"/>
              <w:rPr>
                <w:lang w:val="en-GB"/>
              </w:rPr>
            </w:pPr>
            <w:r w:rsidRPr="00445F39">
              <w:rPr>
                <w:lang w:val="en-GB"/>
              </w:rPr>
              <w:t>ISOs are not only Aboriginal and Torres Strait Islander staff members, they are also proud members of the communities they live in, with deep and enduring connections that span families, cultures and Country.</w:t>
            </w:r>
          </w:p>
          <w:p w14:paraId="57561929" w14:textId="77777777" w:rsidR="00445F39" w:rsidRPr="00445F39" w:rsidRDefault="00445F39" w:rsidP="00445F39">
            <w:pPr>
              <w:pStyle w:val="BodyText"/>
              <w:rPr>
                <w:lang w:val="en-GB"/>
              </w:rPr>
            </w:pPr>
            <w:r w:rsidRPr="00445F39">
              <w:rPr>
                <w:lang w:val="en-GB"/>
              </w:rPr>
              <w:t>This connection allows them to walk alongside communities with understanding, respect and care, helping people engage with Services Australia in ways that are culturally safe, supportive and empowering.</w:t>
            </w:r>
          </w:p>
          <w:p w14:paraId="1D102FE9" w14:textId="77777777" w:rsidR="00445F39" w:rsidRPr="00445F39" w:rsidRDefault="00445F39" w:rsidP="00445F39">
            <w:pPr>
              <w:pStyle w:val="BodyText"/>
              <w:rPr>
                <w:lang w:val="en-GB"/>
              </w:rPr>
            </w:pPr>
            <w:r w:rsidRPr="00445F39">
              <w:rPr>
                <w:lang w:val="en-GB"/>
              </w:rPr>
              <w:t>ISOs work with schools to improve attendance and educational outcomes, participate in projects that support children and families, and attend workshops to educate people on our services.</w:t>
            </w:r>
          </w:p>
          <w:p w14:paraId="110AB458" w14:textId="77777777" w:rsidR="00445F39" w:rsidRPr="00445F39" w:rsidRDefault="00445F39" w:rsidP="00445F39">
            <w:pPr>
              <w:pStyle w:val="BodyText"/>
              <w:rPr>
                <w:lang w:val="en-GB"/>
              </w:rPr>
            </w:pPr>
            <w:r w:rsidRPr="00445F39">
              <w:rPr>
                <w:lang w:val="en-GB"/>
              </w:rPr>
              <w:t xml:space="preserve">Beyond that, they lead our commitment to identify service delivery gaps, explore ways to work in genuine partnership with communities to find local solutions, and ensure people have a voice in shaping the services and policies that impact them. </w:t>
            </w:r>
          </w:p>
          <w:p w14:paraId="62B55E5F" w14:textId="77777777" w:rsidR="00445F39" w:rsidRPr="00445F39" w:rsidRDefault="00445F39" w:rsidP="00445F39">
            <w:pPr>
              <w:pStyle w:val="BodyText"/>
              <w:rPr>
                <w:lang w:val="en-GB"/>
              </w:rPr>
            </w:pPr>
            <w:r w:rsidRPr="00445F39">
              <w:rPr>
                <w:lang w:val="en-GB"/>
              </w:rPr>
              <w:t>Their work complements the initiatives and advocacy priorities in the action plan.</w:t>
            </w:r>
          </w:p>
          <w:p w14:paraId="6007DF3C" w14:textId="62F24A83" w:rsidR="00445F39" w:rsidRDefault="00445F39" w:rsidP="00445F39">
            <w:pPr>
              <w:pStyle w:val="BodyText"/>
            </w:pPr>
            <w:r w:rsidRPr="00445F39">
              <w:rPr>
                <w:lang w:val="en-GB"/>
              </w:rPr>
              <w:t>In this milestone year, we celebrate all ISOs, past and present, who’ve shown passion and dedication to enhancing the quality of life for Aboriginal and Torres Strait Islander Australians. None more so than Aunty Euna Watson Coolwell 50 years ago.</w:t>
            </w:r>
          </w:p>
        </w:tc>
      </w:tr>
    </w:tbl>
    <w:p w14:paraId="531358E9" w14:textId="77777777" w:rsidR="00DD5D3A" w:rsidRDefault="00DD5D3A" w:rsidP="00DD5D3A">
      <w:pPr>
        <w:pStyle w:val="Heading3"/>
      </w:pPr>
      <w:r>
        <w:t>Progress</w:t>
      </w:r>
    </w:p>
    <w:p w14:paraId="2846D3DD" w14:textId="77777777" w:rsidR="00DD5D3A" w:rsidRDefault="00DD5D3A" w:rsidP="00DD5D3A">
      <w:pPr>
        <w:pStyle w:val="BodyText"/>
        <w:spacing w:after="57"/>
      </w:pPr>
      <w:r>
        <w:t>In 2024–25 we:</w:t>
      </w:r>
    </w:p>
    <w:p w14:paraId="403A8A5F" w14:textId="77777777" w:rsidR="00DD5D3A" w:rsidRDefault="00DD5D3A" w:rsidP="00DD5D3A">
      <w:pPr>
        <w:pStyle w:val="ListBullet"/>
      </w:pPr>
      <w:r>
        <w:t>launched our Closing the Gap Action Plan (the action plan) and Aboriginal and Torres Strait Islander Community Engagement Principles</w:t>
      </w:r>
    </w:p>
    <w:p w14:paraId="20DB241F" w14:textId="77777777" w:rsidR="00DD5D3A" w:rsidRDefault="00DD5D3A" w:rsidP="00DD5D3A">
      <w:pPr>
        <w:pStyle w:val="ListBullet"/>
      </w:pPr>
      <w:r>
        <w:t>marked 50 years of the Indigenous Service Officer (ISO) program, which builds connections and partnerships with the community in step with our commitment to the National Agreement</w:t>
      </w:r>
    </w:p>
    <w:p w14:paraId="1205894A" w14:textId="77777777" w:rsidR="00DD5D3A" w:rsidRDefault="00DD5D3A" w:rsidP="00DD5D3A">
      <w:pPr>
        <w:pStyle w:val="ListBullet"/>
      </w:pPr>
      <w:r>
        <w:t xml:space="preserve">continued to provide Indigenous on-demand telephone interpreting service in 16 languages </w:t>
      </w:r>
    </w:p>
    <w:p w14:paraId="79708F0E" w14:textId="77777777" w:rsidR="00DD5D3A" w:rsidRDefault="00DD5D3A" w:rsidP="00DD5D3A">
      <w:pPr>
        <w:pStyle w:val="ListBullet"/>
      </w:pPr>
      <w:r>
        <w:lastRenderedPageBreak/>
        <w:t>opened 1 additional bespoke service centre at Western Cape (Weipa), Queensland, and co-designed 5 service centres, designed to meet the cultural needs of the local Aboriginal and Torres Strait Islander communities.</w:t>
      </w:r>
    </w:p>
    <w:p w14:paraId="6E2D0E9C" w14:textId="77777777" w:rsidR="00DD5D3A" w:rsidRDefault="00DD5D3A" w:rsidP="00DD5D3A">
      <w:pPr>
        <w:pStyle w:val="Heading3"/>
      </w:pPr>
      <w:r>
        <w:t>Closing the Gap</w:t>
      </w:r>
    </w:p>
    <w:p w14:paraId="519660B2" w14:textId="77777777" w:rsidR="00DD5D3A" w:rsidRDefault="00DD5D3A" w:rsidP="00DD5D3A">
      <w:pPr>
        <w:pStyle w:val="BodyText"/>
      </w:pPr>
      <w:r>
        <w:t xml:space="preserve">Services Australia has made significant improvements in implementing the National Agreement through the launch of the action plan in June 2025. The action plan reinforces our commitment to improving life outcomes with Aboriginal and Torres Strait Islander Australians. </w:t>
      </w:r>
    </w:p>
    <w:p w14:paraId="11086768" w14:textId="77777777" w:rsidR="00DD5D3A" w:rsidRDefault="00DD5D3A" w:rsidP="00DD5D3A">
      <w:pPr>
        <w:pStyle w:val="BodyText"/>
        <w:spacing w:after="113"/>
      </w:pPr>
      <w:r>
        <w:t>The action plan continues our journey of transformation with long-term objectives aligned to the priority reforms and socio-economic targets of the National Agreement. The plan also supports the agency’s own Statement of Commitment to the National Agreement by turning our commitments into actions.</w:t>
      </w:r>
    </w:p>
    <w:p w14:paraId="0A73B2FD" w14:textId="77777777" w:rsidR="00DD5D3A" w:rsidRDefault="00DD5D3A" w:rsidP="00DD5D3A">
      <w:pPr>
        <w:pStyle w:val="Heading3"/>
      </w:pPr>
      <w:r>
        <w:t xml:space="preserve">Indigenous Servicing Pathway Plan </w:t>
      </w:r>
    </w:p>
    <w:p w14:paraId="13A63BDA" w14:textId="77777777" w:rsidR="00DD5D3A" w:rsidRDefault="00DD5D3A" w:rsidP="00DD5D3A">
      <w:pPr>
        <w:pStyle w:val="BodyText"/>
      </w:pPr>
      <w:r>
        <w:t xml:space="preserve">The Indigenous Servicing Pathway Plan 2024–28 (ISPP) outlines our commitment </w:t>
      </w:r>
      <w:r>
        <w:rPr>
          <w:spacing w:val="-2"/>
        </w:rPr>
        <w:t>to improving outcomes with Aboriginal and Torres Strait Islander people and communities.</w:t>
      </w:r>
    </w:p>
    <w:p w14:paraId="6B52C68D" w14:textId="77777777" w:rsidR="00DD5D3A" w:rsidRDefault="00DD5D3A" w:rsidP="00DD5D3A">
      <w:pPr>
        <w:pStyle w:val="BodyText"/>
        <w:spacing w:after="57"/>
      </w:pPr>
      <w:r>
        <w:t>The ISPP is a future focused, action-oriented blueprint that:</w:t>
      </w:r>
    </w:p>
    <w:p w14:paraId="6197FD71" w14:textId="77777777" w:rsidR="00DD5D3A" w:rsidRDefault="00DD5D3A" w:rsidP="00DD5D3A">
      <w:pPr>
        <w:pStyle w:val="ListBullet"/>
      </w:pPr>
      <w:r>
        <w:t xml:space="preserve">supports our commitment to the National Agreement </w:t>
      </w:r>
    </w:p>
    <w:p w14:paraId="1EE2B963" w14:textId="77777777" w:rsidR="00DD5D3A" w:rsidRDefault="00DD5D3A" w:rsidP="00DD5D3A">
      <w:pPr>
        <w:pStyle w:val="ListBullet"/>
      </w:pPr>
      <w:r>
        <w:t>outlines areas of action across all agency programs</w:t>
      </w:r>
    </w:p>
    <w:p w14:paraId="7AEEBC90" w14:textId="77777777" w:rsidR="00DD5D3A" w:rsidRDefault="00DD5D3A" w:rsidP="00DD5D3A">
      <w:pPr>
        <w:pStyle w:val="ListBullet"/>
      </w:pPr>
      <w:r>
        <w:t>gives guidance and direction for all agency staff designing and delivering services for Aboriginal and Torres Strait Islander people and communities.</w:t>
      </w:r>
    </w:p>
    <w:p w14:paraId="33C4E9F5" w14:textId="77777777" w:rsidR="00DD5D3A" w:rsidRDefault="00DD5D3A" w:rsidP="00DD5D3A">
      <w:pPr>
        <w:pStyle w:val="BodyText"/>
        <w:spacing w:after="113"/>
      </w:pPr>
      <w:r>
        <w:t>Areas of action have been identified across our programs. From July to December 2024 business and program teams established baseline data to inform and support the development of action strategies over the lifetime of the ISPP.</w:t>
      </w:r>
    </w:p>
    <w:p w14:paraId="24502968" w14:textId="77777777" w:rsidR="00DD5D3A" w:rsidRDefault="00DD5D3A" w:rsidP="00DD5D3A">
      <w:pPr>
        <w:pStyle w:val="Heading3"/>
      </w:pPr>
      <w:r>
        <w:t>Indigenous Service Officers</w:t>
      </w:r>
    </w:p>
    <w:p w14:paraId="3251469C" w14:textId="77777777" w:rsidR="00DD5D3A" w:rsidRDefault="00DD5D3A" w:rsidP="00DD5D3A">
      <w:pPr>
        <w:pStyle w:val="BodyText"/>
        <w:spacing w:after="113"/>
      </w:pPr>
      <w:r>
        <w:t>The ISO program is a customer and community focused role that establishes genuine partnerships with Aboriginal and Torres Strait Islander customers and communities to understand and access the agency’s payments, services and programs. In 2024–25 there were approximately 72 ISOs nationally, who applied cultural insights, working in collaboration with their established stakeholder and community relationships to help improve service delivery outcomes.</w:t>
      </w:r>
    </w:p>
    <w:p w14:paraId="730EA19D" w14:textId="77777777" w:rsidR="00DD5D3A" w:rsidRDefault="00DD5D3A" w:rsidP="00DD5D3A">
      <w:pPr>
        <w:pStyle w:val="Heading3"/>
      </w:pPr>
      <w:r>
        <w:t>Indigenous interpreting services</w:t>
      </w:r>
    </w:p>
    <w:p w14:paraId="135B072A" w14:textId="77777777" w:rsidR="00DD5D3A" w:rsidRDefault="00DD5D3A" w:rsidP="00DD5D3A">
      <w:pPr>
        <w:pStyle w:val="BodyText"/>
      </w:pPr>
      <w:r>
        <w:t>The agency gives free access to interpreters for Aboriginal and Torres Strait Islander customers. Indigenous language interpreters are sourced from several language service providers including the Northern Territory Government’s Aboriginal Interpreter Service, Government of South Australia’s Aboriginal Language Interpreting Services, Aboriginal Interpreting Western Australia, and ABC Multilingual Pty Ltd.</w:t>
      </w:r>
    </w:p>
    <w:p w14:paraId="262E84F1" w14:textId="77777777" w:rsidR="00DD5D3A" w:rsidRDefault="00DD5D3A" w:rsidP="00DD5D3A">
      <w:pPr>
        <w:pStyle w:val="BodyText"/>
      </w:pPr>
      <w:r>
        <w:t xml:space="preserve">The Indigenous on-demand telephone interpreting service offers immediate access to an Indigenous language interpreter. This service is available in 16 languages. Indigenous language interpreters can also be booked for future phone or face to face appointments in various languages. </w:t>
      </w:r>
    </w:p>
    <w:p w14:paraId="61AECB3E" w14:textId="77777777" w:rsidR="00DD5D3A" w:rsidRDefault="00DD5D3A" w:rsidP="00DD5D3A">
      <w:pPr>
        <w:pStyle w:val="BodyText"/>
      </w:pPr>
      <w:r>
        <w:t>In 2024–25 we received 3,812 requests for Indigenous telephone interpreting and delivered over 600 hours of face to face Indigenous interpreting services in service centres. In communities with limited interpreting services, Indigenous Language Officers have been employed to deliver face to face and telephone interpreting support.</w:t>
      </w:r>
    </w:p>
    <w:p w14:paraId="09B8047C" w14:textId="77777777" w:rsidR="00DD5D3A" w:rsidRDefault="00DD5D3A" w:rsidP="00DD5D3A">
      <w:pPr>
        <w:pStyle w:val="Heading3"/>
      </w:pPr>
      <w:r>
        <w:lastRenderedPageBreak/>
        <w:t>National Indigenous Coalition</w:t>
      </w:r>
    </w:p>
    <w:p w14:paraId="7390BF4B" w14:textId="77777777" w:rsidR="00DD5D3A" w:rsidRDefault="00DD5D3A" w:rsidP="00DD5D3A">
      <w:pPr>
        <w:pStyle w:val="BodyText"/>
      </w:pPr>
      <w:r>
        <w:t>The National Indigenous Coalition (NIC) is the agency’s peak Aboriginal and Torres Strait Islander voice and supports the development of key strategies and plans. The NIC gives advice on how we design and deliver payments, programs and services to ensure Aboriginal and Torres Strait Islander people and their communities are put at the centre of decisions that impact them. The NIC is an integral agency forum in the agency’s commitment to Priority Reform One of the National Agreement, formal partnerships and shared decision-making.</w:t>
      </w:r>
    </w:p>
    <w:p w14:paraId="13078D92" w14:textId="77777777" w:rsidR="00DD5D3A" w:rsidRDefault="00DD5D3A" w:rsidP="00DD5D3A">
      <w:pPr>
        <w:pStyle w:val="Heading2"/>
      </w:pPr>
      <w:r>
        <w:t>Farm Household Allowance</w:t>
      </w:r>
    </w:p>
    <w:p w14:paraId="23CECE1E" w14:textId="77777777" w:rsidR="00DD5D3A" w:rsidRDefault="00DD5D3A" w:rsidP="00DD5D3A">
      <w:pPr>
        <w:pStyle w:val="BodyText"/>
      </w:pPr>
      <w:r>
        <w:t xml:space="preserve">Farm Household Allowance is a payment for farming families experiencing financial hardship. It is a time-limited payment that customers can receive for up to 4 years in a 10-year period. The current 10-year period began on 1 July 2024. </w:t>
      </w:r>
    </w:p>
    <w:p w14:paraId="4FC61197" w14:textId="77777777" w:rsidR="00DD5D3A" w:rsidRDefault="00DD5D3A" w:rsidP="00DD5D3A">
      <w:pPr>
        <w:pStyle w:val="BodyText"/>
      </w:pPr>
      <w:r>
        <w:t xml:space="preserve">In 2024–25 the agency introduced video chat functionality to better support farming families. The technology enables Australian farmers and their families, particularly those in regional and remote areas, to access support without the need for long travel. We streamlined the booking process to further enhance the accessibility of video chat. This supported Farm Household Case Officers to manage their workload independently without relying on additional staff. </w:t>
      </w:r>
    </w:p>
    <w:p w14:paraId="7C9DACA3" w14:textId="77777777" w:rsidR="00DD5D3A" w:rsidRDefault="00DD5D3A" w:rsidP="00DD5D3A">
      <w:pPr>
        <w:pStyle w:val="BodyText"/>
      </w:pPr>
      <w:r>
        <w:rPr>
          <w:spacing w:val="-2"/>
        </w:rPr>
        <w:t xml:space="preserve">Funding is available for farmers and their partners to improve their financial self-reliance </w:t>
      </w:r>
      <w:r>
        <w:t xml:space="preserve">by accessing training, developing skills and accessing professional advice. </w:t>
      </w:r>
    </w:p>
    <w:p w14:paraId="47F4E0CD" w14:textId="77777777" w:rsidR="00DD5D3A" w:rsidRDefault="00DD5D3A" w:rsidP="00DD5D3A">
      <w:pPr>
        <w:pStyle w:val="BodyText"/>
      </w:pPr>
      <w:r>
        <w:t>In 2024–25 the agency finalised 2,900 Farm Household Allowance claims. As at 30 June 2025, 3,443 customers were receiving the payment.</w:t>
      </w:r>
    </w:p>
    <w:p w14:paraId="1860EE6B" w14:textId="77777777" w:rsidR="00DD5D3A" w:rsidRDefault="00DD5D3A" w:rsidP="00DD5D3A">
      <w:pPr>
        <w:pStyle w:val="Heading2"/>
      </w:pPr>
      <w:r>
        <w:t>Multicultural services</w:t>
      </w:r>
    </w:p>
    <w:p w14:paraId="59A73F75" w14:textId="77777777" w:rsidR="00DD5D3A" w:rsidRDefault="00DD5D3A" w:rsidP="00DD5D3A">
      <w:pPr>
        <w:pStyle w:val="BodyText"/>
      </w:pPr>
      <w:r>
        <w:t>We are committed to ensuring our services are responsive, culturally sensitive and tailored to the needs of CALD customers.</w:t>
      </w:r>
    </w:p>
    <w:p w14:paraId="003A5B60" w14:textId="77777777" w:rsidR="00DD5D3A" w:rsidRDefault="00DD5D3A" w:rsidP="00DD5D3A">
      <w:pPr>
        <w:pStyle w:val="Heading3"/>
      </w:pPr>
      <w:r>
        <w:t xml:space="preserve">Multicultural Servicing Strategy </w:t>
      </w:r>
    </w:p>
    <w:p w14:paraId="59D02C9E" w14:textId="77777777" w:rsidR="00DD5D3A" w:rsidRDefault="00DD5D3A" w:rsidP="00DD5D3A">
      <w:pPr>
        <w:pStyle w:val="BodyText"/>
        <w:spacing w:after="142"/>
      </w:pPr>
      <w:r>
        <w:t>The Multicultural Servicing Strategy 2023 to 2025 aligns with the agency’s principles of simple, helpful, respectful and transparent, and the Australian Government Multicultural Access and Equity Policy commitments of leadership, engagement, responsiveness, performance, capability and openness. It reinforces our commitment of delivering and modernising our programs and services for CALD customers and communities.</w:t>
      </w:r>
    </w:p>
    <w:p w14:paraId="224C92D3" w14:textId="77777777" w:rsidR="00DD5D3A" w:rsidRDefault="00DD5D3A" w:rsidP="00DD5D3A">
      <w:pPr>
        <w:pStyle w:val="BodyText"/>
        <w:spacing w:after="57"/>
      </w:pPr>
      <w:r>
        <w:t>The strategy has 4 key themes:</w:t>
      </w:r>
    </w:p>
    <w:p w14:paraId="6EA98051" w14:textId="77777777" w:rsidR="00DD5D3A" w:rsidRDefault="00DD5D3A" w:rsidP="00DD5D3A">
      <w:pPr>
        <w:pStyle w:val="ListBullet"/>
      </w:pPr>
      <w:r>
        <w:t>strong engagement with CALD customers and communities when designing, delivering and evaluating our payments and services</w:t>
      </w:r>
    </w:p>
    <w:p w14:paraId="77AC9131" w14:textId="77777777" w:rsidR="00DD5D3A" w:rsidRDefault="00DD5D3A" w:rsidP="00DD5D3A">
      <w:pPr>
        <w:pStyle w:val="ListBullet"/>
      </w:pPr>
      <w:r>
        <w:t>modernising our approach by leveraging data, technology and digitalisation, making our services simple and more accessible for CALD customers and communities</w:t>
      </w:r>
    </w:p>
    <w:p w14:paraId="324B090D" w14:textId="77777777" w:rsidR="00DD5D3A" w:rsidRDefault="00DD5D3A" w:rsidP="00DD5D3A">
      <w:pPr>
        <w:pStyle w:val="ListBullet"/>
      </w:pPr>
      <w:r>
        <w:t>building and using the unique cultural knowledge, skills and perspectives of our staff to optimise our performance</w:t>
      </w:r>
    </w:p>
    <w:p w14:paraId="03A70221" w14:textId="77777777" w:rsidR="00DD5D3A" w:rsidRDefault="00DD5D3A" w:rsidP="00DD5D3A">
      <w:pPr>
        <w:pStyle w:val="ListBullet"/>
      </w:pPr>
      <w:r>
        <w:t>working in partnership across government and with community to improve outcomes for CALD customers and communities.</w:t>
      </w:r>
    </w:p>
    <w:p w14:paraId="39096DA0" w14:textId="77777777" w:rsidR="00DD5D3A" w:rsidRDefault="00DD5D3A" w:rsidP="00DD5D3A">
      <w:pPr>
        <w:pStyle w:val="Heading3"/>
      </w:pPr>
      <w:r>
        <w:lastRenderedPageBreak/>
        <w:t>Multicultural Service Officers</w:t>
      </w:r>
    </w:p>
    <w:p w14:paraId="39BF7176" w14:textId="77777777" w:rsidR="00DD5D3A" w:rsidRDefault="00DD5D3A" w:rsidP="00DD5D3A">
      <w:pPr>
        <w:pStyle w:val="BodyText"/>
      </w:pPr>
      <w:r>
        <w:t xml:space="preserve">Multicultural Service Officers (MSOs) connect people with CALD backgrounds, including migrants and refugees to our information, payments and services. As at 30 June 2025 there were approximately 70 MSOs nationally who engage with community organisations to understand local issues and give support and services to urban and regional CALD communities. </w:t>
      </w:r>
    </w:p>
    <w:p w14:paraId="007089A6" w14:textId="77777777" w:rsidR="00DD5D3A" w:rsidRDefault="00DD5D3A" w:rsidP="00DD5D3A">
      <w:pPr>
        <w:pStyle w:val="BodyText"/>
        <w:spacing w:after="57"/>
      </w:pPr>
      <w:r>
        <w:t>In 2024–25 MSOs conducted 35,951 outreach activities with 2,649 community organisations including:</w:t>
      </w:r>
    </w:p>
    <w:p w14:paraId="785D473E" w14:textId="77777777" w:rsidR="00DD5D3A" w:rsidRDefault="00DD5D3A" w:rsidP="00DD5D3A">
      <w:pPr>
        <w:pStyle w:val="ListBullet"/>
      </w:pPr>
      <w:r>
        <w:t>delivering tailored information sessions to address local issues impacting CALD communities including scam awareness, debt prevention and access to Medicare</w:t>
      </w:r>
    </w:p>
    <w:p w14:paraId="2D832098" w14:textId="77777777" w:rsidR="00DD5D3A" w:rsidRDefault="00DD5D3A" w:rsidP="00DD5D3A">
      <w:pPr>
        <w:pStyle w:val="ListBullet"/>
      </w:pPr>
      <w:r>
        <w:t>collaborating with other government agencies and community services to help refugees settle in Australia</w:t>
      </w:r>
    </w:p>
    <w:p w14:paraId="1A862B08" w14:textId="77777777" w:rsidR="00DD5D3A" w:rsidRDefault="00DD5D3A" w:rsidP="00DD5D3A">
      <w:pPr>
        <w:pStyle w:val="ListBullet"/>
      </w:pPr>
      <w:r>
        <w:t>educating CALD communities about the support available for people experiencing family and domestic violence.</w:t>
      </w:r>
    </w:p>
    <w:p w14:paraId="282D9425" w14:textId="77777777" w:rsidR="00DD5D3A" w:rsidRDefault="00DD5D3A" w:rsidP="00DD5D3A">
      <w:pPr>
        <w:pStyle w:val="Heading3"/>
      </w:pPr>
      <w:r>
        <w:t>Multicultural community engagement</w:t>
      </w:r>
    </w:p>
    <w:p w14:paraId="779918CB" w14:textId="77777777" w:rsidR="00DD5D3A" w:rsidRDefault="00DD5D3A" w:rsidP="00DD5D3A">
      <w:pPr>
        <w:pStyle w:val="BodyText"/>
        <w:spacing w:after="57"/>
      </w:pPr>
      <w:r>
        <w:rPr>
          <w:spacing w:val="-2"/>
        </w:rPr>
        <w:t xml:space="preserve">The Multicultural Community Engagement Group is a forum of government agencies that </w:t>
      </w:r>
      <w:r>
        <w:rPr>
          <w:spacing w:val="-6"/>
        </w:rPr>
        <w:t>meets quarterly to engage with multicultural communities. In 2024–25 the group focused on:</w:t>
      </w:r>
    </w:p>
    <w:p w14:paraId="47591D48" w14:textId="77777777" w:rsidR="00DD5D3A" w:rsidRDefault="00DD5D3A" w:rsidP="00DD5D3A">
      <w:pPr>
        <w:pStyle w:val="ListBullet"/>
      </w:pPr>
      <w:r>
        <w:t>scam awareness and prevention</w:t>
      </w:r>
    </w:p>
    <w:p w14:paraId="40C51E9C" w14:textId="77777777" w:rsidR="00DD5D3A" w:rsidRDefault="00DD5D3A" w:rsidP="00DD5D3A">
      <w:pPr>
        <w:pStyle w:val="ListBullet"/>
      </w:pPr>
      <w:r>
        <w:t>language translation technology</w:t>
      </w:r>
    </w:p>
    <w:p w14:paraId="65341D23" w14:textId="77777777" w:rsidR="00DD5D3A" w:rsidRDefault="00DD5D3A" w:rsidP="00DD5D3A">
      <w:pPr>
        <w:pStyle w:val="ListBullet"/>
      </w:pPr>
      <w:r>
        <w:t>cultural capability development</w:t>
      </w:r>
    </w:p>
    <w:p w14:paraId="1B4EB915" w14:textId="77777777" w:rsidR="00DD5D3A" w:rsidRDefault="00DD5D3A" w:rsidP="00DD5D3A">
      <w:pPr>
        <w:pStyle w:val="ListBullet"/>
      </w:pPr>
      <w:r>
        <w:t>collaboration opportunities across government.</w:t>
      </w:r>
    </w:p>
    <w:p w14:paraId="361F2DA6" w14:textId="77777777" w:rsidR="00DD5D3A" w:rsidRDefault="00DD5D3A" w:rsidP="00DD5D3A">
      <w:pPr>
        <w:pStyle w:val="BodyText"/>
        <w:spacing w:after="142"/>
      </w:pPr>
      <w:r>
        <w:t>Multicultural Advisory Forums are held twice a year in all states and territories. The agency uses these forums to update participants on major changes to services and payments. The forums enable collaboration across government and with community organisations at state/territory and local levels to identify and address service delivery issues affecting people from CALD backgrounds.</w:t>
      </w:r>
    </w:p>
    <w:p w14:paraId="65271D08" w14:textId="77777777" w:rsidR="00DD5D3A" w:rsidRDefault="00DD5D3A" w:rsidP="00DD5D3A">
      <w:pPr>
        <w:pStyle w:val="BodyText"/>
      </w:pPr>
      <w:r>
        <w:t>In 2024–25 the forums focused on refugees, older Australians and health in CALD communities.</w:t>
      </w:r>
    </w:p>
    <w:tbl>
      <w:tblPr>
        <w:tblStyle w:val="TableGrid"/>
        <w:tblW w:w="5000" w:type="pct"/>
        <w:tblLook w:val="04A0" w:firstRow="1" w:lastRow="0" w:firstColumn="1" w:lastColumn="0" w:noHBand="0" w:noVBand="1"/>
        <w:tblCaption w:val="Case study – Access to government services with Auslan On-Demand"/>
      </w:tblPr>
      <w:tblGrid>
        <w:gridCol w:w="11096"/>
      </w:tblGrid>
      <w:tr w:rsidR="00445F39" w14:paraId="32E8D439" w14:textId="77777777" w:rsidTr="006A0585">
        <w:tc>
          <w:tcPr>
            <w:tcW w:w="5000" w:type="pct"/>
          </w:tcPr>
          <w:p w14:paraId="486A7C8F" w14:textId="22272BE8" w:rsidR="00445F39" w:rsidRPr="00445F39" w:rsidRDefault="00445F39" w:rsidP="00445F39">
            <w:pPr>
              <w:pStyle w:val="Heading2"/>
              <w:rPr>
                <w:lang w:val="en-GB"/>
              </w:rPr>
            </w:pPr>
            <w:r>
              <w:rPr>
                <w:lang w:val="en-GB"/>
              </w:rPr>
              <w:lastRenderedPageBreak/>
              <w:t xml:space="preserve">Case study – </w:t>
            </w:r>
            <w:r w:rsidRPr="00445F39">
              <w:rPr>
                <w:lang w:val="en-GB"/>
              </w:rPr>
              <w:t>Access to government services with Auslan On-Demand</w:t>
            </w:r>
          </w:p>
          <w:p w14:paraId="3839591C" w14:textId="77777777" w:rsidR="00445F39" w:rsidRPr="00445F39" w:rsidRDefault="00445F39" w:rsidP="00445F39">
            <w:pPr>
              <w:pStyle w:val="BodyText"/>
              <w:rPr>
                <w:lang w:val="en-GB"/>
              </w:rPr>
            </w:pPr>
            <w:r w:rsidRPr="00445F39">
              <w:rPr>
                <w:lang w:val="en-GB"/>
              </w:rPr>
              <w:t>We’re making it easier for customers who are deaf or hard of hearing to connect with us.</w:t>
            </w:r>
          </w:p>
          <w:p w14:paraId="0B1C54E0" w14:textId="77777777" w:rsidR="00445F39" w:rsidRPr="00445F39" w:rsidRDefault="00445F39" w:rsidP="00445F39">
            <w:pPr>
              <w:pStyle w:val="BodyText"/>
              <w:rPr>
                <w:lang w:val="en-GB"/>
              </w:rPr>
            </w:pPr>
            <w:r w:rsidRPr="00445F39">
              <w:rPr>
                <w:lang w:val="en-GB"/>
              </w:rPr>
              <w:t xml:space="preserve">For many people who are deaf or hard of hearing, accessing government services can be challenging, especially when interpreter availability is limited. </w:t>
            </w:r>
          </w:p>
          <w:p w14:paraId="58F0D6B6" w14:textId="77777777" w:rsidR="00445F39" w:rsidRPr="00445F39" w:rsidRDefault="00445F39" w:rsidP="00445F39">
            <w:pPr>
              <w:pStyle w:val="BodyText"/>
              <w:rPr>
                <w:lang w:val="en-GB"/>
              </w:rPr>
            </w:pPr>
            <w:r w:rsidRPr="00445F39">
              <w:rPr>
                <w:lang w:val="en-GB"/>
              </w:rPr>
              <w:t>So, to make it easier for customers to do their business with us, we’ve introduced Auslan On-Demand. It’s a new service that connects them with an Auslan interpreter via video conference.</w:t>
            </w:r>
          </w:p>
          <w:p w14:paraId="2A69ECF2" w14:textId="77777777" w:rsidR="00445F39" w:rsidRPr="00445F39" w:rsidRDefault="00445F39" w:rsidP="00445F39">
            <w:pPr>
              <w:pStyle w:val="BodyText"/>
              <w:rPr>
                <w:lang w:val="en-GB"/>
              </w:rPr>
            </w:pPr>
            <w:r w:rsidRPr="00445F39">
              <w:rPr>
                <w:lang w:val="en-GB"/>
              </w:rPr>
              <w:t>Auslan is the Australian Sign Language. It’s the primary signing language used by Australia’s deaf and hard of hearing communities. The 2021 Census showed more than 16,000 people in Australia use Auslan to communicate.</w:t>
            </w:r>
          </w:p>
          <w:p w14:paraId="3CB3B7D0" w14:textId="77777777" w:rsidR="00445F39" w:rsidRPr="00445F39" w:rsidRDefault="00445F39" w:rsidP="00445F39">
            <w:pPr>
              <w:pStyle w:val="BodyText"/>
              <w:rPr>
                <w:lang w:val="en-GB"/>
              </w:rPr>
            </w:pPr>
            <w:r w:rsidRPr="00445F39">
              <w:rPr>
                <w:lang w:val="en-GB"/>
              </w:rPr>
              <w:t>Auslan On-Demand means customers who are deaf or hard of hearing now have access to timely and equitable support.</w:t>
            </w:r>
          </w:p>
          <w:p w14:paraId="6033A1F0" w14:textId="6FAA5B15" w:rsidR="00445F39" w:rsidRPr="00445F39" w:rsidRDefault="00445F39" w:rsidP="00445F39">
            <w:pPr>
              <w:pStyle w:val="BodyText"/>
              <w:rPr>
                <w:lang w:val="en-GB"/>
              </w:rPr>
            </w:pPr>
            <w:r w:rsidRPr="00445F39">
              <w:rPr>
                <w:lang w:val="en-GB"/>
              </w:rPr>
              <w:t xml:space="preserve">Before the introduction of Auslan On-Demand, Auslan interpreter services were only available for pre-booked appointments and most sites required an interpreter to be physically present at a service centre. </w:t>
            </w:r>
          </w:p>
          <w:p w14:paraId="37D85884" w14:textId="77777777" w:rsidR="00445F39" w:rsidRPr="00445F39" w:rsidRDefault="00445F39" w:rsidP="00445F39">
            <w:pPr>
              <w:pStyle w:val="BodyText"/>
              <w:rPr>
                <w:lang w:val="en-GB"/>
              </w:rPr>
            </w:pPr>
            <w:r w:rsidRPr="00445F39">
              <w:rPr>
                <w:lang w:val="en-GB"/>
              </w:rPr>
              <w:t xml:space="preserve">Auslan On-Demand is being offered in addition to in-person interpreter services, offering customers choice in how they access our services. It’s being gradually rolled out across our service centres nationally in 2025. </w:t>
            </w:r>
          </w:p>
          <w:p w14:paraId="01C8A21D" w14:textId="77777777" w:rsidR="00445F39" w:rsidRPr="00445F39" w:rsidRDefault="00445F39" w:rsidP="00445F39">
            <w:pPr>
              <w:pStyle w:val="BodyText"/>
              <w:rPr>
                <w:lang w:val="en-GB"/>
              </w:rPr>
            </w:pPr>
            <w:r w:rsidRPr="00445F39">
              <w:rPr>
                <w:lang w:val="en-GB"/>
              </w:rPr>
              <w:t>The new service ensures greater accessibility to Auslan interpreters and more positive outcomes for customers.</w:t>
            </w:r>
          </w:p>
          <w:p w14:paraId="7C4D0C96" w14:textId="08FFE411" w:rsidR="00445F39" w:rsidRDefault="00445F39" w:rsidP="00445F39">
            <w:pPr>
              <w:pStyle w:val="BodyText"/>
            </w:pPr>
            <w:r w:rsidRPr="00445F39">
              <w:rPr>
                <w:lang w:val="en-GB"/>
              </w:rPr>
              <w:t>It’s another way we’re working with our customers to improve accessibility and inclusiveness in the services we provide.</w:t>
            </w:r>
          </w:p>
        </w:tc>
      </w:tr>
    </w:tbl>
    <w:p w14:paraId="2891B30B" w14:textId="77777777" w:rsidR="00DD5D3A" w:rsidRDefault="00DD5D3A" w:rsidP="00DD5D3A">
      <w:pPr>
        <w:pStyle w:val="Heading3"/>
      </w:pPr>
      <w:r>
        <w:t>Language services</w:t>
      </w:r>
    </w:p>
    <w:p w14:paraId="788E7F7D" w14:textId="77777777" w:rsidR="00DD5D3A" w:rsidRDefault="00DD5D3A" w:rsidP="00DD5D3A">
      <w:pPr>
        <w:pStyle w:val="BodyText"/>
      </w:pPr>
      <w:r>
        <w:t xml:space="preserve">Customers who have limited or no English can access free interpreter and translation services in over 190 languages. This includes Indigenous language interpreters and Auslan interpreters for customers who are deaf or hard of hearing. Interpreters can help with phone and face to face customer contacts. </w:t>
      </w:r>
    </w:p>
    <w:p w14:paraId="0DBDDE17" w14:textId="77777777" w:rsidR="00DD5D3A" w:rsidRDefault="00DD5D3A" w:rsidP="00DD5D3A">
      <w:pPr>
        <w:pStyle w:val="BodyText"/>
        <w:spacing w:after="57"/>
      </w:pPr>
      <w:r>
        <w:t>In 2024–25 more than 1,400 contracted interpreters and translators delivered these services on behalf of the agency, including over:</w:t>
      </w:r>
    </w:p>
    <w:p w14:paraId="47FDDF9D" w14:textId="77777777" w:rsidR="00DD5D3A" w:rsidRDefault="00DD5D3A" w:rsidP="00DD5D3A">
      <w:pPr>
        <w:pStyle w:val="ListBullet"/>
      </w:pPr>
      <w:r>
        <w:t>320,000 on-demand telephone interpreter interactions</w:t>
      </w:r>
    </w:p>
    <w:p w14:paraId="717859E8" w14:textId="77777777" w:rsidR="00DD5D3A" w:rsidRDefault="00DD5D3A" w:rsidP="00DD5D3A">
      <w:pPr>
        <w:pStyle w:val="ListBullet"/>
      </w:pPr>
      <w:r>
        <w:t xml:space="preserve">26,000 booked telephone interpreter interactions </w:t>
      </w:r>
    </w:p>
    <w:p w14:paraId="311E0B40" w14:textId="77777777" w:rsidR="00DD5D3A" w:rsidRDefault="00DD5D3A" w:rsidP="00DD5D3A">
      <w:pPr>
        <w:pStyle w:val="ListBullet"/>
      </w:pPr>
      <w:r>
        <w:t>190,000 hours of face to face interpreting services in international languages in service centres</w:t>
      </w:r>
    </w:p>
    <w:p w14:paraId="68A2545D" w14:textId="77777777" w:rsidR="00DD5D3A" w:rsidRDefault="00DD5D3A" w:rsidP="00DD5D3A">
      <w:pPr>
        <w:pStyle w:val="ListBullet"/>
      </w:pPr>
      <w:r>
        <w:t xml:space="preserve">7,000 translator interactions, involving more than 11,000 translated documents. </w:t>
      </w:r>
    </w:p>
    <w:p w14:paraId="368B63E1" w14:textId="77777777" w:rsidR="00DD5D3A" w:rsidRDefault="00DD5D3A" w:rsidP="00DD5D3A">
      <w:pPr>
        <w:pStyle w:val="BodyText"/>
      </w:pPr>
      <w:r>
        <w:t xml:space="preserve">Approved bilingual staff give direct customer service in languages other than English </w:t>
      </w:r>
      <w:r>
        <w:rPr>
          <w:spacing w:val="-3"/>
        </w:rPr>
        <w:t xml:space="preserve">including Indigenous languages and Auslan. The Services Australia website has translated </w:t>
      </w:r>
      <w:r>
        <w:t xml:space="preserve">information, such as fact sheets and audio files about our payments and services. </w:t>
      </w:r>
    </w:p>
    <w:p w14:paraId="1C837E64" w14:textId="77777777" w:rsidR="00DD5D3A" w:rsidRDefault="00DD5D3A" w:rsidP="00DD5D3A">
      <w:pPr>
        <w:pStyle w:val="Heading2"/>
      </w:pPr>
      <w:r>
        <w:lastRenderedPageBreak/>
        <w:t>Regional, rural and remote servicing</w:t>
      </w:r>
    </w:p>
    <w:p w14:paraId="7B947906" w14:textId="77777777" w:rsidR="00DD5D3A" w:rsidRDefault="00DD5D3A" w:rsidP="00DD5D3A">
      <w:pPr>
        <w:pStyle w:val="BodyText"/>
      </w:pPr>
      <w:r>
        <w:t xml:space="preserve">The agency delivers face to face access to government services in regional, rural and remote areas, including many remote Aboriginal and Torres Strait Islander communities. We do this through a combination of service centres, agents and access points, as well as visits by remote servicing teams and mobile service centres. </w:t>
      </w:r>
    </w:p>
    <w:p w14:paraId="09F3CBF3" w14:textId="77777777" w:rsidR="00DD5D3A" w:rsidRDefault="00DD5D3A" w:rsidP="00DD5D3A">
      <w:pPr>
        <w:pStyle w:val="Heading3"/>
      </w:pPr>
      <w:r>
        <w:t>Service centres</w:t>
      </w:r>
    </w:p>
    <w:p w14:paraId="68E3EAFD" w14:textId="77777777" w:rsidR="00DD5D3A" w:rsidRDefault="00DD5D3A" w:rsidP="00DD5D3A">
      <w:pPr>
        <w:pStyle w:val="BodyText"/>
      </w:pPr>
      <w:r>
        <w:t xml:space="preserve">The agency has 37 service centres in remote and very remote communities across the Northern Territory (13), South Australia (3), Queensland (7), New South Wales (2) and Western Australia (12). This is higher than in 2023–24 due to a change in how we define service centres in remote and very remote locations. The service centres offer a range of face to face services and supported digital services from a single location. Where possible, service centre staff in remote locations are recruited from the local community. This helps ensure customers have access to high quality, culturally appropriate services in their own language. </w:t>
      </w:r>
    </w:p>
    <w:p w14:paraId="0ABAD137" w14:textId="77777777" w:rsidR="00DD5D3A" w:rsidRDefault="00DD5D3A" w:rsidP="00DD5D3A">
      <w:pPr>
        <w:pStyle w:val="Heading3"/>
      </w:pPr>
      <w:r>
        <w:t>Agents and access points</w:t>
      </w:r>
    </w:p>
    <w:p w14:paraId="3BF8F4A3" w14:textId="77777777" w:rsidR="00DD5D3A" w:rsidRDefault="00DD5D3A" w:rsidP="00DD5D3A">
      <w:pPr>
        <w:pStyle w:val="BodyText"/>
      </w:pPr>
      <w:r>
        <w:t xml:space="preserve">Our agents and access points help people in rural, regional, and remote communities to access Medicare, Centrelink, Child Support and other Australian Government services. </w:t>
      </w:r>
    </w:p>
    <w:p w14:paraId="58CDD9E5" w14:textId="77777777" w:rsidR="00DD5D3A" w:rsidRDefault="00DD5D3A" w:rsidP="00DD5D3A">
      <w:pPr>
        <w:pStyle w:val="BodyText"/>
      </w:pPr>
      <w:r>
        <w:rPr>
          <w:spacing w:val="-1"/>
        </w:rPr>
        <w:t xml:space="preserve">Agent and access points give self service facilities such as internet-enabled computers, </w:t>
      </w:r>
      <w:r>
        <w:t xml:space="preserve">printers and free wi-fi, allowing customers to manage their business online at a time that suits them. </w:t>
      </w:r>
    </w:p>
    <w:p w14:paraId="6C2D075F" w14:textId="77777777" w:rsidR="00DD5D3A" w:rsidRDefault="00DD5D3A" w:rsidP="00DD5D3A">
      <w:pPr>
        <w:pStyle w:val="BodyText"/>
      </w:pPr>
      <w:r>
        <w:t>Agent sites deliver a face to face information service. Agent staff can help customers to use self service options, confirm identity documents, and give information about payments and services. Agents perform a crucial frontline role in response to emergencies, helping people in local communities to access payments and services at times when they need them the most.</w:t>
      </w:r>
    </w:p>
    <w:p w14:paraId="1680B7E8" w14:textId="77777777" w:rsidR="00DD5D3A" w:rsidRDefault="00DD5D3A" w:rsidP="00DD5D3A">
      <w:pPr>
        <w:pStyle w:val="BodyText"/>
      </w:pPr>
      <w:r>
        <w:t>As at 30 June 2025 we had 377 agents and 191 access points throughout regional, rural and remote Australia.</w:t>
      </w:r>
    </w:p>
    <w:p w14:paraId="631C0470" w14:textId="77777777" w:rsidR="00DD5D3A" w:rsidRDefault="00DD5D3A" w:rsidP="00DD5D3A">
      <w:pPr>
        <w:pStyle w:val="Heading3"/>
      </w:pPr>
      <w:r>
        <w:t>Remote servicing teams</w:t>
      </w:r>
    </w:p>
    <w:p w14:paraId="44E32FA1" w14:textId="77777777" w:rsidR="00DD5D3A" w:rsidRDefault="00DD5D3A" w:rsidP="00DD5D3A">
      <w:pPr>
        <w:pStyle w:val="BodyText"/>
      </w:pPr>
      <w:r>
        <w:t xml:space="preserve">The agency has 27 remote servicing teams that deliver face to face and virtual support to 335 remote communities across Australia. These teams operate across the agency’s remote footprint in the Northern Territory, South Australia, Queensland, New South Wales, Western Australia and Tasmania. </w:t>
      </w:r>
    </w:p>
    <w:p w14:paraId="5AA6FF64" w14:textId="77777777" w:rsidR="00DD5D3A" w:rsidRDefault="00DD5D3A" w:rsidP="00DD5D3A">
      <w:pPr>
        <w:pStyle w:val="BodyText"/>
      </w:pPr>
      <w:r>
        <w:t xml:space="preserve">As at 30 June 2025, these teams have completed 1,003 visits across 286 remote communities. </w:t>
      </w:r>
    </w:p>
    <w:p w14:paraId="53A0793E" w14:textId="77777777" w:rsidR="00DD5D3A" w:rsidRDefault="00DD5D3A" w:rsidP="00DD5D3A">
      <w:pPr>
        <w:pStyle w:val="BodyText"/>
        <w:spacing w:after="57"/>
      </w:pPr>
      <w:r>
        <w:t>Remote servicing staff:</w:t>
      </w:r>
    </w:p>
    <w:p w14:paraId="4E58182A" w14:textId="77777777" w:rsidR="00DD5D3A" w:rsidRDefault="00DD5D3A" w:rsidP="00DD5D3A">
      <w:pPr>
        <w:pStyle w:val="ListBullet"/>
      </w:pPr>
      <w:r>
        <w:t>support people who are vulnerable or have complex needs to access services and payments</w:t>
      </w:r>
    </w:p>
    <w:p w14:paraId="24A3D887" w14:textId="77777777" w:rsidR="00DD5D3A" w:rsidRDefault="00DD5D3A" w:rsidP="00DD5D3A">
      <w:pPr>
        <w:pStyle w:val="ListBullet"/>
      </w:pPr>
      <w:r>
        <w:t xml:space="preserve">give tailored digital support for customers who can access online services </w:t>
      </w:r>
    </w:p>
    <w:p w14:paraId="3CB681A5" w14:textId="77777777" w:rsidR="00DD5D3A" w:rsidRDefault="00DD5D3A" w:rsidP="00DD5D3A">
      <w:pPr>
        <w:pStyle w:val="ListBullet"/>
      </w:pPr>
      <w:r>
        <w:t>work closely with specialist and community-based service providers to connect people with the help they need.</w:t>
      </w:r>
    </w:p>
    <w:p w14:paraId="40985F2C" w14:textId="77777777" w:rsidR="00DD5D3A" w:rsidRDefault="00DD5D3A" w:rsidP="00DD5D3A">
      <w:pPr>
        <w:pStyle w:val="BodyText"/>
        <w:rPr>
          <w:spacing w:val="-2"/>
        </w:rPr>
      </w:pPr>
      <w:r>
        <w:t xml:space="preserve">Remote servicing teams supported the 2025 federal election by helping the AEC to deliver mobile polling services in more than 467 remote polling locations. We deployed 64 trip leaders to lead remote service delivery teams, contributed 30 staff to a joint remote operations centre with the AEC, and managed travel logistics through a dedicated team of remote travel specialists. </w:t>
      </w:r>
    </w:p>
    <w:p w14:paraId="3087F8B9" w14:textId="77777777" w:rsidR="00DD5D3A" w:rsidRDefault="00DD5D3A" w:rsidP="00DD5D3A">
      <w:pPr>
        <w:pStyle w:val="Heading3"/>
      </w:pPr>
      <w:r>
        <w:lastRenderedPageBreak/>
        <w:t>Mobile service centres</w:t>
      </w:r>
    </w:p>
    <w:p w14:paraId="6B5D8D99" w14:textId="77777777" w:rsidR="00DD5D3A" w:rsidRDefault="00DD5D3A" w:rsidP="00DD5D3A">
      <w:pPr>
        <w:pStyle w:val="BodyText"/>
      </w:pPr>
      <w:r>
        <w:t>The agency has 4 mobile service centres: Golden Wattle, Desert Rose, Blue Gum and Kangaroo Paw II. Our mobile service centres travel to rural and regional communities to ensure they have access to the same range of services available at any other service centre in Australia.</w:t>
      </w:r>
    </w:p>
    <w:p w14:paraId="7F0E0FDA" w14:textId="77777777" w:rsidR="00DD5D3A" w:rsidRDefault="00DD5D3A" w:rsidP="00DD5D3A">
      <w:pPr>
        <w:pStyle w:val="BodyText"/>
        <w:spacing w:after="57"/>
      </w:pPr>
      <w:r>
        <w:t>In 2024–25 the mobile service centres:</w:t>
      </w:r>
    </w:p>
    <w:p w14:paraId="59832657" w14:textId="77777777" w:rsidR="00DD5D3A" w:rsidRDefault="00DD5D3A" w:rsidP="00DD5D3A">
      <w:pPr>
        <w:pStyle w:val="ListBullet"/>
      </w:pPr>
      <w:r>
        <w:t>visited 615 towns, 346 of which were more than 50 km from a service centre</w:t>
      </w:r>
    </w:p>
    <w:p w14:paraId="1762B319" w14:textId="77777777" w:rsidR="00DD5D3A" w:rsidRDefault="00DD5D3A" w:rsidP="00DD5D3A">
      <w:pPr>
        <w:pStyle w:val="ListBullet"/>
      </w:pPr>
      <w:r>
        <w:t>helped 19,966 people by bringing government services into rural and regional communities that would not usually have access to those services.</w:t>
      </w:r>
    </w:p>
    <w:p w14:paraId="407D713E" w14:textId="77777777" w:rsidR="00DD5D3A" w:rsidRDefault="00DD5D3A" w:rsidP="00DD5D3A">
      <w:pPr>
        <w:pStyle w:val="BodyText"/>
        <w:spacing w:after="57"/>
      </w:pPr>
      <w:r>
        <w:t>The mobile service centres are equipped with:</w:t>
      </w:r>
    </w:p>
    <w:p w14:paraId="276E22FA" w14:textId="77777777" w:rsidR="00DD5D3A" w:rsidRDefault="00DD5D3A" w:rsidP="00DD5D3A">
      <w:pPr>
        <w:pStyle w:val="ListBullet"/>
      </w:pPr>
      <w:r>
        <w:t>a private interview room</w:t>
      </w:r>
    </w:p>
    <w:p w14:paraId="4740A74A" w14:textId="77777777" w:rsidR="00DD5D3A" w:rsidRDefault="00DD5D3A" w:rsidP="00DD5D3A">
      <w:pPr>
        <w:pStyle w:val="ListBullet"/>
      </w:pPr>
      <w:r>
        <w:t>service or help desks</w:t>
      </w:r>
    </w:p>
    <w:p w14:paraId="165E8CE4" w14:textId="77777777" w:rsidR="00DD5D3A" w:rsidRDefault="00DD5D3A" w:rsidP="00DD5D3A">
      <w:pPr>
        <w:pStyle w:val="ListBullet"/>
      </w:pPr>
      <w:r>
        <w:t>a waiting area</w:t>
      </w:r>
    </w:p>
    <w:p w14:paraId="444FB37C" w14:textId="77777777" w:rsidR="00DD5D3A" w:rsidRDefault="00DD5D3A" w:rsidP="00DD5D3A">
      <w:pPr>
        <w:pStyle w:val="ListBullet"/>
      </w:pPr>
      <w:r>
        <w:t>self service computers</w:t>
      </w:r>
    </w:p>
    <w:p w14:paraId="40A57FC7" w14:textId="77777777" w:rsidR="00DD5D3A" w:rsidRDefault="00DD5D3A" w:rsidP="00DD5D3A">
      <w:pPr>
        <w:pStyle w:val="ListBullet"/>
      </w:pPr>
      <w:r>
        <w:t>accessible access</w:t>
      </w:r>
    </w:p>
    <w:p w14:paraId="2823C611" w14:textId="77777777" w:rsidR="00DD5D3A" w:rsidRDefault="00DD5D3A" w:rsidP="00DD5D3A">
      <w:pPr>
        <w:pStyle w:val="ListBullet"/>
      </w:pPr>
      <w:r>
        <w:t>wireless information technology connectivity for greater servicing flexibility</w:t>
      </w:r>
    </w:p>
    <w:p w14:paraId="7F724CAB" w14:textId="77777777" w:rsidR="00DD5D3A" w:rsidRDefault="00DD5D3A" w:rsidP="00DD5D3A">
      <w:pPr>
        <w:pStyle w:val="ListBullet"/>
      </w:pPr>
      <w:r>
        <w:t>customer access to wi-fi.</w:t>
      </w:r>
    </w:p>
    <w:p w14:paraId="5EF43BCC" w14:textId="77777777" w:rsidR="00DD5D3A" w:rsidRDefault="00DD5D3A" w:rsidP="00DD5D3A">
      <w:pPr>
        <w:pStyle w:val="Heading2"/>
      </w:pPr>
      <w:r>
        <w:t>Social work services</w:t>
      </w:r>
    </w:p>
    <w:p w14:paraId="5AA6EEBA" w14:textId="77777777" w:rsidR="00DD5D3A" w:rsidRDefault="00DD5D3A" w:rsidP="00DD5D3A">
      <w:pPr>
        <w:pStyle w:val="BodyText"/>
      </w:pPr>
      <w:r>
        <w:t xml:space="preserve">Social workers are available through a national network of service centres, telephony services, online channels and outreach supports such as mobile service centres. This ensures the social work service is accessible and responsive for all Australians, regardless of their geographical location. As at 30 June 2025 there were 730 social workers employed in 233 locations. </w:t>
      </w:r>
    </w:p>
    <w:p w14:paraId="51214BCE" w14:textId="77777777" w:rsidR="00DD5D3A" w:rsidRDefault="00DD5D3A" w:rsidP="00DD5D3A">
      <w:pPr>
        <w:pStyle w:val="BodyText"/>
      </w:pPr>
      <w:r>
        <w:t>Social workers provide professional support, short-term counselling and interventions to people in crisis and with complex needs, people affected by family and domestic violence, young people without adequate support, and people impacted by disasters and emergencies. Social workers also give training, professional advice and consultations to agency staff to equip them to identify, support, or refer customers experiencing vulnerability.</w:t>
      </w:r>
    </w:p>
    <w:p w14:paraId="05660FCE" w14:textId="77777777" w:rsidR="00DD5D3A" w:rsidRDefault="00DD5D3A" w:rsidP="00DD5D3A">
      <w:pPr>
        <w:pStyle w:val="BodyText"/>
        <w:spacing w:after="57"/>
      </w:pPr>
      <w:r>
        <w:t xml:space="preserve">In 2024–25 social workers responded to 230,643 referrals for support, including: </w:t>
      </w:r>
    </w:p>
    <w:p w14:paraId="37790FE1" w14:textId="77777777" w:rsidR="00DD5D3A" w:rsidRDefault="00DD5D3A" w:rsidP="00DD5D3A">
      <w:pPr>
        <w:pStyle w:val="ListBullet"/>
      </w:pPr>
      <w:r>
        <w:t>110,755 referrals to help people affected by family and domestic violence</w:t>
      </w:r>
    </w:p>
    <w:p w14:paraId="3A62ED80" w14:textId="77777777" w:rsidR="00DD5D3A" w:rsidRDefault="00DD5D3A" w:rsidP="00DD5D3A">
      <w:pPr>
        <w:pStyle w:val="ListBullet"/>
      </w:pPr>
      <w:r>
        <w:t xml:space="preserve">4,969 people at risk of suicide and self-harm </w:t>
      </w:r>
    </w:p>
    <w:p w14:paraId="003E1B46" w14:textId="77777777" w:rsidR="00DD5D3A" w:rsidRDefault="00DD5D3A" w:rsidP="00DD5D3A">
      <w:pPr>
        <w:pStyle w:val="ListBullet"/>
      </w:pPr>
      <w:r>
        <w:t>46,177 referrals to help young people aged under 25</w:t>
      </w:r>
    </w:p>
    <w:p w14:paraId="69A902C0" w14:textId="77777777" w:rsidR="00DD5D3A" w:rsidRDefault="00DD5D3A" w:rsidP="00DD5D3A">
      <w:pPr>
        <w:pStyle w:val="ListBullet"/>
      </w:pPr>
      <w:r>
        <w:t xml:space="preserve">1,217 referrals to help people affected by disasters and emergencies including the North Queensland floods, Cyclone Zelia impacting Western Australia, Ex-Tropical Cyclone Alfred, Western Queensland heavy rain and flooding event, </w:t>
      </w:r>
      <w:r>
        <w:rPr>
          <w:spacing w:val="-2"/>
        </w:rPr>
        <w:t xml:space="preserve">New South Wales East Coast severe weather and flooding, and Tasmanian bushfires. </w:t>
      </w:r>
    </w:p>
    <w:p w14:paraId="13DB740B" w14:textId="77777777" w:rsidR="00DD5D3A" w:rsidRDefault="00DD5D3A" w:rsidP="00DD5D3A">
      <w:pPr>
        <w:pStyle w:val="Heading2"/>
      </w:pPr>
      <w:r>
        <w:t>Community Engagement Officers</w:t>
      </w:r>
    </w:p>
    <w:p w14:paraId="64FF8842" w14:textId="77777777" w:rsidR="00DD5D3A" w:rsidRDefault="00DD5D3A" w:rsidP="00DD5D3A">
      <w:pPr>
        <w:pStyle w:val="BodyText"/>
      </w:pPr>
      <w:r>
        <w:t xml:space="preserve">As at 30 June 2025 the agency had approximately 95 Community Engagement Officers who collaborated with over 3,500 community and third-party organisations throughout 2024–25. </w:t>
      </w:r>
    </w:p>
    <w:p w14:paraId="3A1B4A02" w14:textId="77777777" w:rsidR="00DD5D3A" w:rsidRDefault="00DD5D3A" w:rsidP="00DD5D3A">
      <w:pPr>
        <w:pStyle w:val="BodyText"/>
      </w:pPr>
      <w:r>
        <w:lastRenderedPageBreak/>
        <w:t>Community Engagement Officers work in collaboration with community organisations to identify, support and connect customers experiencing significant vulnerabilities to agency and community services, programs and services.</w:t>
      </w:r>
    </w:p>
    <w:p w14:paraId="43F2F622" w14:textId="77777777" w:rsidR="00DD5D3A" w:rsidRDefault="00DD5D3A" w:rsidP="00DD5D3A">
      <w:pPr>
        <w:pStyle w:val="BodyText"/>
        <w:spacing w:after="57"/>
      </w:pPr>
      <w:r>
        <w:t>Their core functions are to:</w:t>
      </w:r>
    </w:p>
    <w:p w14:paraId="5AD95429" w14:textId="77777777" w:rsidR="00DD5D3A" w:rsidRDefault="00DD5D3A" w:rsidP="00DD5D3A">
      <w:pPr>
        <w:pStyle w:val="ListBullet"/>
      </w:pPr>
      <w:r>
        <w:t>use the agency’s community reach and access to deliver integrated services that meet customer needs</w:t>
      </w:r>
    </w:p>
    <w:p w14:paraId="5E7E929E" w14:textId="77777777" w:rsidR="00DD5D3A" w:rsidRDefault="00DD5D3A" w:rsidP="00DD5D3A">
      <w:pPr>
        <w:pStyle w:val="ListBullet"/>
      </w:pPr>
      <w:r>
        <w:t>support and educate customers to self-manage their own affairs</w:t>
      </w:r>
    </w:p>
    <w:p w14:paraId="38CB9C8D" w14:textId="77777777" w:rsidR="00DD5D3A" w:rsidRDefault="00DD5D3A" w:rsidP="00DD5D3A">
      <w:pPr>
        <w:pStyle w:val="ListBullet"/>
      </w:pPr>
      <w:r>
        <w:t>work in partnership with stakeholders to support the delivery of quality programs and services</w:t>
      </w:r>
    </w:p>
    <w:p w14:paraId="7641AF4D" w14:textId="77777777" w:rsidR="00DD5D3A" w:rsidRDefault="00DD5D3A" w:rsidP="00DD5D3A">
      <w:pPr>
        <w:pStyle w:val="ListBullet"/>
      </w:pPr>
      <w:r>
        <w:t>give tailored information to customers.</w:t>
      </w:r>
    </w:p>
    <w:p w14:paraId="50EF1442" w14:textId="77777777" w:rsidR="00DD5D3A" w:rsidRDefault="00DD5D3A" w:rsidP="00DD5D3A">
      <w:pPr>
        <w:pStyle w:val="BodyText"/>
      </w:pPr>
      <w:r>
        <w:t>Community Engagement Officers continue to support individuals and communities experiencing natural disasters and emergencies, providing vital support to ensure impacted Australians receive the entitlements they are eligible for and the services they need.</w:t>
      </w:r>
    </w:p>
    <w:p w14:paraId="7EE90868" w14:textId="77777777" w:rsidR="00DD5D3A" w:rsidRDefault="00DD5D3A" w:rsidP="00DD5D3A">
      <w:pPr>
        <w:pStyle w:val="Heading2"/>
      </w:pPr>
      <w:r>
        <w:t>Status Resolution Support Services Payment</w:t>
      </w:r>
    </w:p>
    <w:p w14:paraId="4CF47537" w14:textId="77777777" w:rsidR="00DD5D3A" w:rsidRDefault="00DD5D3A" w:rsidP="00DD5D3A">
      <w:pPr>
        <w:pStyle w:val="BodyText"/>
      </w:pPr>
      <w:r>
        <w:rPr>
          <w:spacing w:val="-3"/>
        </w:rPr>
        <w:t xml:space="preserve">The Status Resolution Support Services Payment, administered on behalf of Home Affairs, </w:t>
      </w:r>
      <w:r>
        <w:t xml:space="preserve">gives temporary, needs-based support to asylum seekers who are unable to support </w:t>
      </w:r>
      <w:r>
        <w:rPr>
          <w:spacing w:val="-1"/>
        </w:rPr>
        <w:t xml:space="preserve">themselves while resolving their immigration status. As at 30 June 2025, 927 customers </w:t>
      </w:r>
      <w:r>
        <w:t>were getting the payment.</w:t>
      </w:r>
    </w:p>
    <w:p w14:paraId="5941AD80" w14:textId="77777777" w:rsidR="00DD5D3A" w:rsidRDefault="00DD5D3A" w:rsidP="00DD5D3A">
      <w:pPr>
        <w:pStyle w:val="Heading2"/>
      </w:pPr>
      <w:r>
        <w:t>Citizenship testing</w:t>
      </w:r>
    </w:p>
    <w:p w14:paraId="47A9DE44" w14:textId="77777777" w:rsidR="00DD5D3A" w:rsidRDefault="00DD5D3A" w:rsidP="00DD5D3A">
      <w:pPr>
        <w:pStyle w:val="BodyText"/>
      </w:pPr>
      <w:r>
        <w:t>The agency delivers Australian citizenship testing services on behalf of Home Affairs in 44 service centres. We are working closely with Home Affairs to continue expanding these services into more locations. In 2024–25 the agency conducted 35,745 citizenship tests.</w:t>
      </w:r>
    </w:p>
    <w:p w14:paraId="5AC0BD94" w14:textId="77777777" w:rsidR="00DD5D3A" w:rsidRDefault="00DD5D3A" w:rsidP="00DD5D3A">
      <w:pPr>
        <w:pStyle w:val="Heading2"/>
      </w:pPr>
      <w:r>
        <w:t>Support for refugees and humanitarian entrants</w:t>
      </w:r>
    </w:p>
    <w:p w14:paraId="2F35BFAB" w14:textId="77777777" w:rsidR="00DD5D3A" w:rsidRDefault="00DD5D3A" w:rsidP="00DD5D3A">
      <w:pPr>
        <w:pStyle w:val="BodyText"/>
      </w:pPr>
      <w:r>
        <w:t>The agency helps refugees and humanitarian entrants on arrival to Australia by offering streamlined services. These services include payments, information and referrals, Medicare enrolment, language services, information seminars and support for finding work.</w:t>
      </w:r>
    </w:p>
    <w:p w14:paraId="3C06C1FD" w14:textId="77777777" w:rsidR="00DD5D3A" w:rsidRDefault="00DD5D3A" w:rsidP="00DD5D3A">
      <w:pPr>
        <w:pStyle w:val="BodyText"/>
      </w:pPr>
      <w:r>
        <w:t>We work closely with Humanitarian Settlement Program providers and community groups to ensure that refugees receive appropriate services and support on arrival. Together we identify the challenges and explore improvements in the refugee service offer. A network of specialist teams and subject matter experts deliver these services at locations with high settlement populations, including in regional areas.</w:t>
      </w:r>
    </w:p>
    <w:p w14:paraId="6A4CC998" w14:textId="77777777" w:rsidR="00DD5D3A" w:rsidRDefault="00DD5D3A" w:rsidP="00DD5D3A">
      <w:pPr>
        <w:pStyle w:val="Heading2"/>
      </w:pPr>
      <w:r>
        <w:t>Special Benefit</w:t>
      </w:r>
    </w:p>
    <w:p w14:paraId="1EDEBF63" w14:textId="77777777" w:rsidR="00DD5D3A" w:rsidRDefault="00DD5D3A" w:rsidP="00DD5D3A">
      <w:pPr>
        <w:pStyle w:val="BodyText"/>
      </w:pPr>
      <w:r>
        <w:t xml:space="preserve">Special Benefit payment gives financial assistance to people who are unable to support themselves or their dependants and are not eligible for an income support payment. It is a taxable payment which is income and assets tested. </w:t>
      </w:r>
    </w:p>
    <w:p w14:paraId="6260F368" w14:textId="77777777" w:rsidR="00DD5D3A" w:rsidRDefault="00DD5D3A" w:rsidP="00DD5D3A">
      <w:pPr>
        <w:pStyle w:val="Heading2"/>
      </w:pPr>
      <w:r>
        <w:t>Assurance of Support</w:t>
      </w:r>
    </w:p>
    <w:p w14:paraId="3C66D0B2" w14:textId="77777777" w:rsidR="00DD5D3A" w:rsidRDefault="00DD5D3A" w:rsidP="00DD5D3A">
      <w:pPr>
        <w:pStyle w:val="BodyText"/>
      </w:pPr>
      <w:r>
        <w:t xml:space="preserve">The Assurance of Support (AoS) scheme supports migrants entering Australia, while protecting Australian Government social security outlays. Migrants can enter Australia on specific visa types with a legally binding commitment by an Australian resident (assurer) who will support the migrant and repay certain social security payments they receive during an AoS period – 12 months, 2, 4 or 10 years depending on the visa type. </w:t>
      </w:r>
    </w:p>
    <w:p w14:paraId="4F61166D" w14:textId="77777777" w:rsidR="00DD5D3A" w:rsidRDefault="00DD5D3A" w:rsidP="00DD5D3A">
      <w:pPr>
        <w:pStyle w:val="BodyText"/>
      </w:pPr>
      <w:r>
        <w:lastRenderedPageBreak/>
        <w:t>The Community Support Program is a subset of the AoS scheme. It gives humanitarian entrants sponsorship by either an individual, community organisation or business with a 12-month AoS period.</w:t>
      </w:r>
    </w:p>
    <w:p w14:paraId="5AA644AA" w14:textId="77777777" w:rsidR="00DD5D3A" w:rsidRDefault="00DD5D3A" w:rsidP="00DD5D3A">
      <w:pPr>
        <w:pStyle w:val="Heading2"/>
      </w:pPr>
      <w:r>
        <w:t>Bereavement payments</w:t>
      </w:r>
    </w:p>
    <w:p w14:paraId="37A50B45" w14:textId="77777777" w:rsidR="00DD5D3A" w:rsidRDefault="00DD5D3A" w:rsidP="00DD5D3A">
      <w:pPr>
        <w:pStyle w:val="BodyText"/>
      </w:pPr>
      <w:r>
        <w:t>Bereavement payments help customers adjust to changed financial circumstances following the death of their partner, child or care receiver. The type of bereavement payment a customer receives and the amount they can get depends on their individual circumstances and when the agency is notified of the death. Bereavement payments are usually paid as a lump sum.</w:t>
      </w:r>
    </w:p>
    <w:p w14:paraId="51AE23EB" w14:textId="77777777" w:rsidR="00DD5D3A" w:rsidRDefault="00DD5D3A" w:rsidP="00DD5D3A">
      <w:pPr>
        <w:pStyle w:val="Heading2"/>
      </w:pPr>
      <w:r>
        <w:t xml:space="preserve">Payments while outside Australia </w:t>
      </w:r>
    </w:p>
    <w:p w14:paraId="20A4BDA6" w14:textId="77777777" w:rsidR="00DD5D3A" w:rsidRDefault="00DD5D3A" w:rsidP="00DD5D3A">
      <w:pPr>
        <w:pStyle w:val="BodyText"/>
      </w:pPr>
      <w:r>
        <w:t xml:space="preserve">Some customers may continue receiving social security payments when they are outside Australia. A datalink between the agency and Home Affairs identifies social security customers who depart from or return to Australia, and provides information used to review payments for people who have departed from Australia. </w:t>
      </w:r>
    </w:p>
    <w:p w14:paraId="6B0C4386" w14:textId="77777777" w:rsidR="00DD5D3A" w:rsidRDefault="00DD5D3A" w:rsidP="00DD5D3A">
      <w:pPr>
        <w:pStyle w:val="Heading2"/>
      </w:pPr>
      <w:r>
        <w:t>Tasmanian Transport Schemes</w:t>
      </w:r>
    </w:p>
    <w:p w14:paraId="50874AB0" w14:textId="77777777" w:rsidR="00DD5D3A" w:rsidRDefault="00DD5D3A" w:rsidP="00DD5D3A">
      <w:pPr>
        <w:pStyle w:val="BodyText"/>
        <w:spacing w:after="57"/>
      </w:pPr>
      <w:r>
        <w:t xml:space="preserve">The agency administers 2 Tasmanian transport equalisation schemes: </w:t>
      </w:r>
    </w:p>
    <w:p w14:paraId="71492810" w14:textId="77777777" w:rsidR="00DD5D3A" w:rsidRDefault="00DD5D3A" w:rsidP="00DD5D3A">
      <w:pPr>
        <w:pStyle w:val="ListBullet"/>
      </w:pPr>
      <w:r>
        <w:t>the Tasmanian Freight Equalisation Scheme, which helps to alleviate the sea freight cost disadvantage for shippers of eligible non-bulk goods that are moved by sea between mainland Australia and Tasmania</w:t>
      </w:r>
    </w:p>
    <w:p w14:paraId="1E92DDC2" w14:textId="77777777" w:rsidR="00DD5D3A" w:rsidRDefault="00DD5D3A" w:rsidP="00DD5D3A">
      <w:pPr>
        <w:pStyle w:val="ListBullet"/>
      </w:pPr>
      <w:r>
        <w:t xml:space="preserve">the Bass Strait Passenger Vehicle Equalisation Scheme, which helps to alleviate the cost of sea travel across Bass Strait between Tasmania and mainland Australia. </w:t>
      </w:r>
    </w:p>
    <w:p w14:paraId="03521D58" w14:textId="77777777" w:rsidR="00DD5D3A" w:rsidRDefault="00DD5D3A" w:rsidP="00DD5D3A">
      <w:pPr>
        <w:pStyle w:val="BodyText"/>
      </w:pPr>
      <w:r>
        <w:rPr>
          <w:spacing w:val="-1"/>
        </w:rPr>
        <w:t xml:space="preserve">In 2024–25 we processed 17,186 payments for assistance to the value of $237.9 million </w:t>
      </w:r>
      <w:r>
        <w:t>through these schemes. This compares to 16,860 payments and $239.9 million in 2023–24.</w:t>
      </w:r>
    </w:p>
    <w:p w14:paraId="003C5F7C" w14:textId="77777777" w:rsidR="00DD5D3A" w:rsidRDefault="00DD5D3A" w:rsidP="00DD5D3A">
      <w:pPr>
        <w:pStyle w:val="Heading2"/>
      </w:pPr>
      <w:r>
        <w:t>Services to incarcerated customers</w:t>
      </w:r>
    </w:p>
    <w:p w14:paraId="2727D977" w14:textId="77777777" w:rsidR="00DD5D3A" w:rsidRDefault="00DD5D3A" w:rsidP="00DD5D3A">
      <w:pPr>
        <w:pStyle w:val="BodyText"/>
      </w:pPr>
      <w:r>
        <w:rPr>
          <w:spacing w:val="-2"/>
        </w:rPr>
        <w:t xml:space="preserve">The agency delivers services to incarcerated customers in approximately 150 correctional </w:t>
      </w:r>
      <w:r>
        <w:t xml:space="preserve">facilities (including youth justice centres, prison work camps and mental health units) across Australia. </w:t>
      </w:r>
    </w:p>
    <w:p w14:paraId="3ECE644B" w14:textId="77777777" w:rsidR="00DD5D3A" w:rsidRDefault="00DD5D3A" w:rsidP="00DD5D3A">
      <w:pPr>
        <w:pStyle w:val="BodyText"/>
        <w:spacing w:after="57"/>
      </w:pPr>
      <w:r>
        <w:t>We deliver these services in consultation with state and territory correctional authorities. Our services align with 3 stages of incarceration:</w:t>
      </w:r>
    </w:p>
    <w:p w14:paraId="0EEA786D" w14:textId="77777777" w:rsidR="00DD5D3A" w:rsidRDefault="00DD5D3A" w:rsidP="00DD5D3A">
      <w:pPr>
        <w:pStyle w:val="ListBullet"/>
      </w:pPr>
      <w:r>
        <w:t>entry into custody – where we suspend or cancel payments to prevent debt and check that child support assessments are correct</w:t>
      </w:r>
    </w:p>
    <w:p w14:paraId="541AA5A5" w14:textId="77777777" w:rsidR="00DD5D3A" w:rsidRDefault="00DD5D3A" w:rsidP="00DD5D3A">
      <w:pPr>
        <w:pStyle w:val="ListBullet"/>
      </w:pPr>
      <w:r>
        <w:t>during custody – where we help customers who remain eligible for payments, assess and process their correspondence, conduct child support reassessments and help with access to highly specialised drugs under the PBS</w:t>
      </w:r>
    </w:p>
    <w:p w14:paraId="1D517FB0" w14:textId="77777777" w:rsidR="00DD5D3A" w:rsidRDefault="00DD5D3A" w:rsidP="00DD5D3A">
      <w:pPr>
        <w:pStyle w:val="ListBullet"/>
      </w:pPr>
      <w:r>
        <w:t>release from custody – where we help customers to claim or reconnect to appropriate payments and services.</w:t>
      </w:r>
    </w:p>
    <w:p w14:paraId="5A9C471F" w14:textId="77777777" w:rsidR="00DD5D3A" w:rsidRDefault="00DD5D3A" w:rsidP="00DD5D3A">
      <w:pPr>
        <w:pStyle w:val="Heading1"/>
      </w:pPr>
      <w:bookmarkStart w:id="21" w:name="_Toc210815400"/>
      <w:r>
        <w:t>4.6 Supporting people to manage their money</w:t>
      </w:r>
      <w:bookmarkEnd w:id="21"/>
    </w:p>
    <w:p w14:paraId="38615557" w14:textId="77777777" w:rsidR="00DD5D3A" w:rsidRDefault="00DD5D3A" w:rsidP="00DD5D3A">
      <w:pPr>
        <w:pStyle w:val="Heading2"/>
      </w:pPr>
      <w:r>
        <w:t>Financial Information Service</w:t>
      </w:r>
    </w:p>
    <w:p w14:paraId="0913C5B9" w14:textId="77777777" w:rsidR="00DD5D3A" w:rsidRDefault="00DD5D3A" w:rsidP="00DD5D3A">
      <w:pPr>
        <w:pStyle w:val="BodyText"/>
      </w:pPr>
      <w:r>
        <w:t xml:space="preserve">The agency’s Financial Information Service (FIS) offers free, independent and confidential information, tools and resources to help customers make informed decisions about their current and future financial </w:t>
      </w:r>
      <w:r>
        <w:lastRenderedPageBreak/>
        <w:t>needs. It helps financially vulnerable people to improve their financial capability and builds self-sufficiency by looking at financial options beyond the payments we offer.</w:t>
      </w:r>
    </w:p>
    <w:p w14:paraId="5694F8E3" w14:textId="77777777" w:rsidR="00DD5D3A" w:rsidRDefault="00DD5D3A" w:rsidP="00DD5D3A">
      <w:pPr>
        <w:pStyle w:val="BodyText"/>
      </w:pPr>
      <w:r>
        <w:t xml:space="preserve">FIS is available by phone, face to face or video appointment. Financial information and education is delivered through online public webinars, targeted community events and outreach. Our free FIS webinars give access to financial education for members of the community. They are live and interactive, and recordings are available to be viewed on the agency website. </w:t>
      </w:r>
    </w:p>
    <w:p w14:paraId="2C1CFC86" w14:textId="77777777" w:rsidR="00DD5D3A" w:rsidRDefault="00DD5D3A" w:rsidP="00DD5D3A">
      <w:pPr>
        <w:pStyle w:val="BodyText"/>
        <w:spacing w:after="57"/>
      </w:pPr>
      <w:r>
        <w:t>In 2024–25 FIS officers:</w:t>
      </w:r>
    </w:p>
    <w:p w14:paraId="6F107545" w14:textId="77777777" w:rsidR="00DD5D3A" w:rsidRDefault="00DD5D3A" w:rsidP="00DD5D3A">
      <w:pPr>
        <w:pStyle w:val="ListBullet"/>
      </w:pPr>
      <w:r>
        <w:t>answered nearly 78,000 phone calls</w:t>
      </w:r>
    </w:p>
    <w:p w14:paraId="656FDB0A" w14:textId="77777777" w:rsidR="00DD5D3A" w:rsidRDefault="00DD5D3A" w:rsidP="00DD5D3A">
      <w:pPr>
        <w:pStyle w:val="ListBullet"/>
      </w:pPr>
      <w:r>
        <w:t>conducted more than 24,000 face to face and phone interviews and around 1,700 video chat interviews</w:t>
      </w:r>
    </w:p>
    <w:p w14:paraId="0F32FBF5" w14:textId="77777777" w:rsidR="00DD5D3A" w:rsidRDefault="00DD5D3A" w:rsidP="00DD5D3A">
      <w:pPr>
        <w:pStyle w:val="ListBullet"/>
      </w:pPr>
      <w:r>
        <w:t>delivered around 1,200 hours of outreach services at more than 1,100 events</w:t>
      </w:r>
    </w:p>
    <w:p w14:paraId="31F89A01" w14:textId="77777777" w:rsidR="00DD5D3A" w:rsidRDefault="00DD5D3A" w:rsidP="00DD5D3A">
      <w:pPr>
        <w:pStyle w:val="ListBullet"/>
      </w:pPr>
      <w:r>
        <w:t xml:space="preserve">conducted interactive public webinars which have been viewed, either live or via a recording, 116,000 times. </w:t>
      </w:r>
    </w:p>
    <w:p w14:paraId="2938F474" w14:textId="77777777" w:rsidR="00DD5D3A" w:rsidRDefault="00DD5D3A" w:rsidP="00DD5D3A">
      <w:pPr>
        <w:pStyle w:val="Heading2"/>
      </w:pPr>
      <w:r>
        <w:t>Centrepay</w:t>
      </w:r>
    </w:p>
    <w:p w14:paraId="0906C2B0" w14:textId="77777777" w:rsidR="00DD5D3A" w:rsidRDefault="00DD5D3A" w:rsidP="00DD5D3A">
      <w:pPr>
        <w:pStyle w:val="BodyText"/>
      </w:pPr>
      <w:r>
        <w:t xml:space="preserve">Centrepay is a voluntary and free bill-paying service. Our customers can authorise deductions from their Centrelink payments. This happens before their payment is deposited into their bank account and this helps customers to budget and pay for the cost of regular bills and expenses, such as accommodation and utilities. </w:t>
      </w:r>
    </w:p>
    <w:p w14:paraId="6367846C" w14:textId="77777777" w:rsidR="00DD5D3A" w:rsidRDefault="00DD5D3A" w:rsidP="00DD5D3A">
      <w:pPr>
        <w:pStyle w:val="BodyText"/>
        <w:spacing w:after="57"/>
      </w:pPr>
      <w:r>
        <w:t>As at 30 June 2025:</w:t>
      </w:r>
    </w:p>
    <w:p w14:paraId="154FFCB4" w14:textId="77777777" w:rsidR="00DD5D3A" w:rsidRDefault="00DD5D3A" w:rsidP="00DD5D3A">
      <w:pPr>
        <w:pStyle w:val="ListBullet"/>
      </w:pPr>
      <w:r>
        <w:t>612,769 customers were using Centrepay</w:t>
      </w:r>
    </w:p>
    <w:p w14:paraId="389E3439" w14:textId="77777777" w:rsidR="00DD5D3A" w:rsidRDefault="00DD5D3A" w:rsidP="00DD5D3A">
      <w:pPr>
        <w:pStyle w:val="ListBullet"/>
      </w:pPr>
      <w:r>
        <w:t>9,416 businesses received a Centrepay deduction.</w:t>
      </w:r>
    </w:p>
    <w:p w14:paraId="28463657" w14:textId="77777777" w:rsidR="00DD5D3A" w:rsidRDefault="00DD5D3A" w:rsidP="00DD5D3A">
      <w:pPr>
        <w:pStyle w:val="BodyText"/>
      </w:pPr>
      <w:r>
        <w:t>In 2024–25 we made 23 million Centrepay deductions to the value of $3 billion.</w:t>
      </w:r>
    </w:p>
    <w:p w14:paraId="289F73F6" w14:textId="77777777" w:rsidR="00DD5D3A" w:rsidRDefault="00DD5D3A" w:rsidP="00DD5D3A">
      <w:pPr>
        <w:pStyle w:val="BodyText"/>
      </w:pPr>
      <w:r>
        <w:t xml:space="preserve">In early 2024 the agency started work to reform the Centrepay program. We have undertaken extensive engagement and consultation, including targeted engagement with First Nations customers, peak advocacy groups, businesses and across government, to listen and to understand the problems customers face using Centrepay. The reforms focus on reducing the potential risk of financial harm to our customers while also embedding a suite of enhanced customer protections and safeguards. </w:t>
      </w:r>
    </w:p>
    <w:p w14:paraId="08305B5E" w14:textId="77777777" w:rsidR="00DD5D3A" w:rsidRDefault="00DD5D3A" w:rsidP="00DD5D3A">
      <w:pPr>
        <w:pStyle w:val="Heading2"/>
      </w:pPr>
      <w:r>
        <w:t>Centrelink Confirmation eServices</w:t>
      </w:r>
    </w:p>
    <w:p w14:paraId="422DE510" w14:textId="77777777" w:rsidR="00DD5D3A" w:rsidRDefault="00DD5D3A" w:rsidP="00DD5D3A">
      <w:pPr>
        <w:pStyle w:val="BodyText"/>
        <w:spacing w:after="57"/>
      </w:pPr>
      <w:r>
        <w:t>Centrelink Confirmation eServices (CCeS) is a secure online service that gives real-time customer information and allows approved businesses to confirm Centrelink or DVA customer entitlements for a concession, rebate or service. Businesses can use CCeS to confirm that:</w:t>
      </w:r>
    </w:p>
    <w:p w14:paraId="75B96E53" w14:textId="77777777" w:rsidR="00DD5D3A" w:rsidRDefault="00DD5D3A" w:rsidP="00DD5D3A">
      <w:pPr>
        <w:pStyle w:val="ListBullet"/>
      </w:pPr>
      <w:r>
        <w:t>a customer is eligible to receive a concession, rebate or service (customer confirmation)</w:t>
      </w:r>
    </w:p>
    <w:p w14:paraId="65CA6C59" w14:textId="77777777" w:rsidR="00DD5D3A" w:rsidRDefault="00DD5D3A" w:rsidP="00DD5D3A">
      <w:pPr>
        <w:pStyle w:val="ListBullet"/>
      </w:pPr>
      <w:r>
        <w:t>the customer’s income, asset and payment details are correct (income confirmation)</w:t>
      </w:r>
    </w:p>
    <w:p w14:paraId="21AB7876" w14:textId="77777777" w:rsidR="00DD5D3A" w:rsidRDefault="00DD5D3A" w:rsidP="00DD5D3A">
      <w:pPr>
        <w:pStyle w:val="ListBullet"/>
      </w:pPr>
      <w:r>
        <w:t>the customer meets the income support eligibility requirements for superannuation to be released early due to financial hardship (superannuation confirmation).</w:t>
      </w:r>
    </w:p>
    <w:p w14:paraId="4A391072" w14:textId="77777777" w:rsidR="00DD5D3A" w:rsidRDefault="00DD5D3A" w:rsidP="00DD5D3A">
      <w:pPr>
        <w:pStyle w:val="BodyText"/>
      </w:pPr>
      <w:r>
        <w:t xml:space="preserve">Businesses must obtain customer consent before accessing any customer information via CCeS. </w:t>
      </w:r>
    </w:p>
    <w:p w14:paraId="0A38CD7E" w14:textId="77777777" w:rsidR="00DD5D3A" w:rsidRDefault="00DD5D3A" w:rsidP="00DD5D3A">
      <w:pPr>
        <w:pStyle w:val="Heading2"/>
      </w:pPr>
      <w:r>
        <w:lastRenderedPageBreak/>
        <w:t>Rent Deduction Scheme</w:t>
      </w:r>
    </w:p>
    <w:p w14:paraId="403019B7" w14:textId="77777777" w:rsidR="00DD5D3A" w:rsidRDefault="00DD5D3A" w:rsidP="00DD5D3A">
      <w:pPr>
        <w:pStyle w:val="BodyText"/>
      </w:pPr>
      <w:r>
        <w:t>The Rent Deduction Scheme is a voluntary service that enables our customers to pay their government rent and other government housing expenses to their state or territory housing authority through regular deductions from their Centrelink payments.</w:t>
      </w:r>
    </w:p>
    <w:p w14:paraId="10574B23" w14:textId="77777777" w:rsidR="00DD5D3A" w:rsidRDefault="00DD5D3A" w:rsidP="00DD5D3A">
      <w:pPr>
        <w:pStyle w:val="BodyText"/>
      </w:pPr>
      <w:r>
        <w:t>As at 30 June 2025, 307,924 customers were using the scheme. In 2024–25, 8.6 million rent deductions were made using the scheme.</w:t>
      </w:r>
    </w:p>
    <w:p w14:paraId="7FEA4664" w14:textId="77777777" w:rsidR="00DD5D3A" w:rsidRDefault="00DD5D3A" w:rsidP="00DD5D3A">
      <w:pPr>
        <w:pStyle w:val="Heading2"/>
      </w:pPr>
      <w:r>
        <w:t>Tax Deduction Service</w:t>
      </w:r>
    </w:p>
    <w:p w14:paraId="599B71DF" w14:textId="77777777" w:rsidR="00DD5D3A" w:rsidRDefault="00DD5D3A" w:rsidP="00DD5D3A">
      <w:pPr>
        <w:pStyle w:val="BodyText"/>
        <w:spacing w:after="113"/>
      </w:pPr>
      <w:r>
        <w:t>The Tax Deduction Service allows customers who get taxable Centrelink income support payments to choose to have tax withheld from their payments. The service is an easy and free way for customers to meet their tax obligations. In 2024–25, almost $20.5 million was withheld from customers who chose to use this service.</w:t>
      </w:r>
    </w:p>
    <w:p w14:paraId="3B6C687B" w14:textId="77777777" w:rsidR="00DD5D3A" w:rsidRDefault="00DD5D3A" w:rsidP="00DD5D3A">
      <w:pPr>
        <w:pStyle w:val="Heading2"/>
      </w:pPr>
      <w:r>
        <w:t>Income Management</w:t>
      </w:r>
    </w:p>
    <w:p w14:paraId="48F102CF" w14:textId="77777777" w:rsidR="00DD5D3A" w:rsidRDefault="00DD5D3A" w:rsidP="00DD5D3A">
      <w:pPr>
        <w:pStyle w:val="BodyText"/>
      </w:pPr>
      <w:r>
        <w:t xml:space="preserve">Income Management helps people in specific locations who receive income support to manage their money to meet essential household expenses. We work with people on Income Management to identify how their income support can be used to pay organisations for items they and their families need. </w:t>
      </w:r>
    </w:p>
    <w:p w14:paraId="31F1C218" w14:textId="48CD0777" w:rsidR="00DD5D3A" w:rsidRDefault="00DD5D3A" w:rsidP="00DD5D3A">
      <w:pPr>
        <w:pStyle w:val="BodyText"/>
      </w:pPr>
      <w:r>
        <w:t xml:space="preserve">Income Management customers have access to a BasicsCard, which is a reusable Personal Identification Number card that can be used to purchase goods and services. </w:t>
      </w:r>
    </w:p>
    <w:p w14:paraId="22AFE91D" w14:textId="77777777" w:rsidR="00DD5D3A" w:rsidRDefault="00DD5D3A" w:rsidP="00DD5D3A">
      <w:pPr>
        <w:pStyle w:val="BodyText"/>
        <w:spacing w:after="57"/>
      </w:pPr>
      <w:r>
        <w:t>Income Management operates in the following locations:</w:t>
      </w:r>
    </w:p>
    <w:p w14:paraId="518EC192" w14:textId="77777777" w:rsidR="00DD5D3A" w:rsidRDefault="00DD5D3A" w:rsidP="00DD5D3A">
      <w:pPr>
        <w:pStyle w:val="ListBullet"/>
      </w:pPr>
      <w:r>
        <w:t>Northern Territory</w:t>
      </w:r>
    </w:p>
    <w:p w14:paraId="6CA4D52E" w14:textId="77777777" w:rsidR="00DD5D3A" w:rsidRDefault="00DD5D3A" w:rsidP="00DD5D3A">
      <w:pPr>
        <w:pStyle w:val="ListBullet"/>
      </w:pPr>
      <w:r>
        <w:t>Greater Shepparton, Victoria</w:t>
      </w:r>
    </w:p>
    <w:p w14:paraId="0A932912" w14:textId="77777777" w:rsidR="00DD5D3A" w:rsidRDefault="00DD5D3A" w:rsidP="00DD5D3A">
      <w:pPr>
        <w:pStyle w:val="ListBullet"/>
      </w:pPr>
      <w:r>
        <w:t>Bankstown, New South Wales</w:t>
      </w:r>
    </w:p>
    <w:p w14:paraId="4A9B459F" w14:textId="77777777" w:rsidR="00DD5D3A" w:rsidRDefault="00DD5D3A" w:rsidP="00DD5D3A">
      <w:pPr>
        <w:pStyle w:val="ListBullet"/>
      </w:pPr>
      <w:r>
        <w:t>Greater Adelaide, Playford, and Anangu Pitjantjatjara Yankunytjatjara Lands, South Australia</w:t>
      </w:r>
    </w:p>
    <w:p w14:paraId="41CAB370" w14:textId="77777777" w:rsidR="00DD5D3A" w:rsidRDefault="00DD5D3A" w:rsidP="00DD5D3A">
      <w:pPr>
        <w:pStyle w:val="ListBullet"/>
      </w:pPr>
      <w:r>
        <w:t xml:space="preserve">Metropolitan Perth, the Peel district, the Kimberley region (excluding Wyndham and Kununurra) and Ngaanyatjarra Lands, Western Australia </w:t>
      </w:r>
    </w:p>
    <w:p w14:paraId="18529EE4" w14:textId="77777777" w:rsidR="00DD5D3A" w:rsidRDefault="00DD5D3A" w:rsidP="00DD5D3A">
      <w:pPr>
        <w:pStyle w:val="ListBullet"/>
      </w:pPr>
      <w:r>
        <w:t>Logan, Rockhampton and Livingstone, Queensland.</w:t>
      </w:r>
    </w:p>
    <w:p w14:paraId="34A64415" w14:textId="77777777" w:rsidR="00DD5D3A" w:rsidRDefault="00DD5D3A" w:rsidP="00DD5D3A">
      <w:pPr>
        <w:pStyle w:val="BodyText"/>
      </w:pPr>
      <w:r>
        <w:t>Table 40 shows the numbers of customers on Income Management under different measures from 2022–23 to 2024–25.</w:t>
      </w:r>
    </w:p>
    <w:p w14:paraId="698E9665" w14:textId="7D2E7A2E" w:rsidR="00DD5D3A" w:rsidRPr="00DD5D3A" w:rsidRDefault="0001575D" w:rsidP="00DD5D3A">
      <w:pPr>
        <w:pStyle w:val="BodyText"/>
        <w:rPr>
          <w:b/>
          <w:bCs/>
          <w:vertAlign w:val="superscript"/>
        </w:rPr>
      </w:pPr>
      <w:r>
        <w:rPr>
          <w:b/>
          <w:bCs/>
        </w:rPr>
        <w:t>Table 40:</w:t>
      </w:r>
      <w:r w:rsidR="00DD5D3A" w:rsidRPr="00DD5D3A">
        <w:rPr>
          <w:b/>
          <w:bCs/>
        </w:rPr>
        <w:t xml:space="preserve"> Numbers of Income Management customers</w:t>
      </w:r>
      <w:r w:rsidR="00DD5D3A" w:rsidRPr="00DD5D3A">
        <w:rPr>
          <w:b/>
          <w:bCs/>
          <w:vertAlign w:val="superscript"/>
        </w:rPr>
        <w:t>(a)</w:t>
      </w:r>
    </w:p>
    <w:tbl>
      <w:tblPr>
        <w:tblStyle w:val="TableGrid"/>
        <w:tblW w:w="5000" w:type="pct"/>
        <w:tblLook w:val="04A0" w:firstRow="1" w:lastRow="0" w:firstColumn="1" w:lastColumn="0" w:noHBand="0" w:noVBand="1"/>
        <w:tblCaption w:val="Numbers of Income Management customers"/>
      </w:tblPr>
      <w:tblGrid>
        <w:gridCol w:w="5252"/>
        <w:gridCol w:w="1948"/>
        <w:gridCol w:w="1948"/>
        <w:gridCol w:w="1948"/>
      </w:tblGrid>
      <w:tr w:rsidR="00DD5D3A" w14:paraId="1AD6D37A" w14:textId="77777777" w:rsidTr="004709AE">
        <w:trPr>
          <w:trHeight w:val="396"/>
          <w:tblHeader/>
        </w:trPr>
        <w:tc>
          <w:tcPr>
            <w:tcW w:w="2366" w:type="pct"/>
          </w:tcPr>
          <w:p w14:paraId="1E2C8672" w14:textId="77777777" w:rsidR="00DD5D3A" w:rsidRPr="00BE065F" w:rsidRDefault="00DD5D3A" w:rsidP="00BE065F">
            <w:pPr>
              <w:pStyle w:val="BodyText"/>
              <w:rPr>
                <w:b/>
                <w:bCs/>
              </w:rPr>
            </w:pPr>
            <w:r w:rsidRPr="00BE065F">
              <w:rPr>
                <w:b/>
                <w:bCs/>
              </w:rPr>
              <w:t>Measure</w:t>
            </w:r>
          </w:p>
        </w:tc>
        <w:tc>
          <w:tcPr>
            <w:tcW w:w="878" w:type="pct"/>
          </w:tcPr>
          <w:p w14:paraId="2D2E9084" w14:textId="77777777" w:rsidR="00DD5D3A" w:rsidRPr="00891C1C" w:rsidRDefault="00DD5D3A" w:rsidP="00891C1C">
            <w:pPr>
              <w:pStyle w:val="BodyText"/>
              <w:rPr>
                <w:b/>
                <w:bCs/>
              </w:rPr>
            </w:pPr>
            <w:r w:rsidRPr="00891C1C">
              <w:rPr>
                <w:b/>
                <w:bCs/>
              </w:rPr>
              <w:t>2022–23</w:t>
            </w:r>
          </w:p>
        </w:tc>
        <w:tc>
          <w:tcPr>
            <w:tcW w:w="878" w:type="pct"/>
          </w:tcPr>
          <w:p w14:paraId="6E6AEE45" w14:textId="77777777" w:rsidR="00DD5D3A" w:rsidRPr="00891C1C" w:rsidRDefault="00DD5D3A" w:rsidP="00891C1C">
            <w:pPr>
              <w:pStyle w:val="BodyText"/>
              <w:rPr>
                <w:b/>
                <w:bCs/>
              </w:rPr>
            </w:pPr>
            <w:r w:rsidRPr="00891C1C">
              <w:rPr>
                <w:b/>
                <w:bCs/>
              </w:rPr>
              <w:t>2023–24</w:t>
            </w:r>
          </w:p>
        </w:tc>
        <w:tc>
          <w:tcPr>
            <w:tcW w:w="878" w:type="pct"/>
          </w:tcPr>
          <w:p w14:paraId="1743B080" w14:textId="77777777" w:rsidR="00DD5D3A" w:rsidRPr="00891C1C" w:rsidRDefault="00DD5D3A" w:rsidP="00891C1C">
            <w:pPr>
              <w:pStyle w:val="BodyText"/>
              <w:rPr>
                <w:b/>
                <w:bCs/>
              </w:rPr>
            </w:pPr>
            <w:r w:rsidRPr="00891C1C">
              <w:rPr>
                <w:b/>
                <w:bCs/>
              </w:rPr>
              <w:t>2024–25</w:t>
            </w:r>
          </w:p>
        </w:tc>
      </w:tr>
      <w:tr w:rsidR="00DD5D3A" w14:paraId="52592B94" w14:textId="77777777" w:rsidTr="006A0585">
        <w:trPr>
          <w:trHeight w:val="396"/>
        </w:trPr>
        <w:tc>
          <w:tcPr>
            <w:tcW w:w="2366" w:type="pct"/>
          </w:tcPr>
          <w:p w14:paraId="3E7BB2E8" w14:textId="77777777" w:rsidR="00DD5D3A" w:rsidRDefault="00DD5D3A" w:rsidP="00874D7C">
            <w:pPr>
              <w:pStyle w:val="BodyText"/>
            </w:pPr>
            <w:r>
              <w:t xml:space="preserve">Child Protection Income Management </w:t>
            </w:r>
          </w:p>
        </w:tc>
        <w:tc>
          <w:tcPr>
            <w:tcW w:w="878" w:type="pct"/>
          </w:tcPr>
          <w:p w14:paraId="2A8B41FA" w14:textId="77777777" w:rsidR="00DD5D3A" w:rsidRDefault="00DD5D3A" w:rsidP="00874D7C">
            <w:pPr>
              <w:pStyle w:val="BodyText"/>
              <w:jc w:val="right"/>
            </w:pPr>
            <w:r>
              <w:t>41</w:t>
            </w:r>
          </w:p>
        </w:tc>
        <w:tc>
          <w:tcPr>
            <w:tcW w:w="878" w:type="pct"/>
          </w:tcPr>
          <w:p w14:paraId="3B6EE98A" w14:textId="77777777" w:rsidR="00DD5D3A" w:rsidRDefault="00DD5D3A" w:rsidP="00874D7C">
            <w:pPr>
              <w:pStyle w:val="BodyText"/>
              <w:jc w:val="right"/>
            </w:pPr>
            <w:r>
              <w:t>9</w:t>
            </w:r>
          </w:p>
        </w:tc>
        <w:tc>
          <w:tcPr>
            <w:tcW w:w="878" w:type="pct"/>
          </w:tcPr>
          <w:p w14:paraId="2902252E" w14:textId="77777777" w:rsidR="00DD5D3A" w:rsidRDefault="00DD5D3A" w:rsidP="00874D7C">
            <w:pPr>
              <w:pStyle w:val="BodyText"/>
              <w:jc w:val="right"/>
            </w:pPr>
            <w:r>
              <w:t>&lt;5</w:t>
            </w:r>
          </w:p>
        </w:tc>
      </w:tr>
      <w:tr w:rsidR="00DD5D3A" w14:paraId="3A82AC80" w14:textId="77777777" w:rsidTr="006A0585">
        <w:trPr>
          <w:trHeight w:val="396"/>
        </w:trPr>
        <w:tc>
          <w:tcPr>
            <w:tcW w:w="2366" w:type="pct"/>
          </w:tcPr>
          <w:p w14:paraId="41E9ACC0" w14:textId="77777777" w:rsidR="00DD5D3A" w:rsidRDefault="00DD5D3A" w:rsidP="00874D7C">
            <w:pPr>
              <w:pStyle w:val="BodyText"/>
            </w:pPr>
            <w:r>
              <w:t xml:space="preserve">Disengaged Youth </w:t>
            </w:r>
          </w:p>
        </w:tc>
        <w:tc>
          <w:tcPr>
            <w:tcW w:w="878" w:type="pct"/>
          </w:tcPr>
          <w:p w14:paraId="3C950F60" w14:textId="77777777" w:rsidR="00DD5D3A" w:rsidRDefault="00DD5D3A" w:rsidP="00874D7C">
            <w:pPr>
              <w:pStyle w:val="BodyText"/>
              <w:jc w:val="right"/>
            </w:pPr>
            <w:r>
              <w:t>5,012</w:t>
            </w:r>
          </w:p>
        </w:tc>
        <w:tc>
          <w:tcPr>
            <w:tcW w:w="878" w:type="pct"/>
          </w:tcPr>
          <w:p w14:paraId="3D7BB69C" w14:textId="77777777" w:rsidR="00DD5D3A" w:rsidRDefault="00DD5D3A" w:rsidP="00874D7C">
            <w:pPr>
              <w:pStyle w:val="BodyText"/>
              <w:jc w:val="right"/>
            </w:pPr>
            <w:r>
              <w:t>2,959</w:t>
            </w:r>
          </w:p>
        </w:tc>
        <w:tc>
          <w:tcPr>
            <w:tcW w:w="878" w:type="pct"/>
          </w:tcPr>
          <w:p w14:paraId="4E194541" w14:textId="77777777" w:rsidR="00DD5D3A" w:rsidRDefault="00DD5D3A" w:rsidP="00874D7C">
            <w:pPr>
              <w:pStyle w:val="BodyText"/>
              <w:jc w:val="right"/>
            </w:pPr>
            <w:r>
              <w:t xml:space="preserve">1,573 </w:t>
            </w:r>
          </w:p>
        </w:tc>
      </w:tr>
      <w:tr w:rsidR="00DD5D3A" w14:paraId="3476F516" w14:textId="77777777" w:rsidTr="006A0585">
        <w:trPr>
          <w:trHeight w:val="396"/>
        </w:trPr>
        <w:tc>
          <w:tcPr>
            <w:tcW w:w="2366" w:type="pct"/>
          </w:tcPr>
          <w:p w14:paraId="422074D4" w14:textId="77777777" w:rsidR="00DD5D3A" w:rsidRDefault="00DD5D3A" w:rsidP="00874D7C">
            <w:pPr>
              <w:pStyle w:val="BodyText"/>
            </w:pPr>
            <w:r>
              <w:t xml:space="preserve">Long Term Welfare Payment Recipient </w:t>
            </w:r>
          </w:p>
        </w:tc>
        <w:tc>
          <w:tcPr>
            <w:tcW w:w="878" w:type="pct"/>
          </w:tcPr>
          <w:p w14:paraId="722ECA0C" w14:textId="77777777" w:rsidR="00DD5D3A" w:rsidRDefault="00DD5D3A" w:rsidP="00874D7C">
            <w:pPr>
              <w:pStyle w:val="BodyText"/>
              <w:jc w:val="right"/>
            </w:pPr>
            <w:r>
              <w:t>16,107</w:t>
            </w:r>
          </w:p>
        </w:tc>
        <w:tc>
          <w:tcPr>
            <w:tcW w:w="878" w:type="pct"/>
          </w:tcPr>
          <w:p w14:paraId="080A10D2" w14:textId="77777777" w:rsidR="00DD5D3A" w:rsidRDefault="00DD5D3A" w:rsidP="00874D7C">
            <w:pPr>
              <w:pStyle w:val="BodyText"/>
              <w:jc w:val="right"/>
            </w:pPr>
            <w:r>
              <w:t>10,673</w:t>
            </w:r>
          </w:p>
        </w:tc>
        <w:tc>
          <w:tcPr>
            <w:tcW w:w="878" w:type="pct"/>
          </w:tcPr>
          <w:p w14:paraId="0533EF7B" w14:textId="77777777" w:rsidR="00DD5D3A" w:rsidRDefault="00DD5D3A" w:rsidP="00874D7C">
            <w:pPr>
              <w:pStyle w:val="BodyText"/>
              <w:jc w:val="right"/>
            </w:pPr>
            <w:r>
              <w:t>7,269</w:t>
            </w:r>
          </w:p>
        </w:tc>
      </w:tr>
      <w:tr w:rsidR="00DD5D3A" w14:paraId="0DFEC50F" w14:textId="77777777" w:rsidTr="006A0585">
        <w:trPr>
          <w:trHeight w:val="396"/>
        </w:trPr>
        <w:tc>
          <w:tcPr>
            <w:tcW w:w="2366" w:type="pct"/>
          </w:tcPr>
          <w:p w14:paraId="52A517B2" w14:textId="77777777" w:rsidR="00DD5D3A" w:rsidRDefault="00DD5D3A" w:rsidP="00874D7C">
            <w:pPr>
              <w:pStyle w:val="BodyText"/>
            </w:pPr>
            <w:r>
              <w:t xml:space="preserve">Supporting People at Risk </w:t>
            </w:r>
          </w:p>
        </w:tc>
        <w:tc>
          <w:tcPr>
            <w:tcW w:w="878" w:type="pct"/>
          </w:tcPr>
          <w:p w14:paraId="228AE52D" w14:textId="77777777" w:rsidR="00DD5D3A" w:rsidRDefault="00DD5D3A" w:rsidP="00874D7C">
            <w:pPr>
              <w:pStyle w:val="BodyText"/>
              <w:jc w:val="right"/>
            </w:pPr>
            <w:r>
              <w:t>&lt;5</w:t>
            </w:r>
          </w:p>
        </w:tc>
        <w:tc>
          <w:tcPr>
            <w:tcW w:w="878" w:type="pct"/>
          </w:tcPr>
          <w:p w14:paraId="4586BD33" w14:textId="77777777" w:rsidR="00DD5D3A" w:rsidRDefault="00DD5D3A" w:rsidP="00874D7C">
            <w:pPr>
              <w:pStyle w:val="BodyText"/>
              <w:jc w:val="right"/>
            </w:pPr>
            <w:r>
              <w:t>0</w:t>
            </w:r>
          </w:p>
        </w:tc>
        <w:tc>
          <w:tcPr>
            <w:tcW w:w="878" w:type="pct"/>
          </w:tcPr>
          <w:p w14:paraId="5D151CCD" w14:textId="77777777" w:rsidR="00DD5D3A" w:rsidRDefault="00DD5D3A" w:rsidP="00874D7C">
            <w:pPr>
              <w:pStyle w:val="BodyText"/>
              <w:jc w:val="right"/>
            </w:pPr>
            <w:r>
              <w:t xml:space="preserve">0 </w:t>
            </w:r>
          </w:p>
        </w:tc>
      </w:tr>
      <w:tr w:rsidR="00DD5D3A" w14:paraId="07BAE2F3" w14:textId="77777777" w:rsidTr="006A0585">
        <w:trPr>
          <w:trHeight w:val="396"/>
        </w:trPr>
        <w:tc>
          <w:tcPr>
            <w:tcW w:w="2366" w:type="pct"/>
          </w:tcPr>
          <w:p w14:paraId="01DA8919" w14:textId="77777777" w:rsidR="00DD5D3A" w:rsidRDefault="00DD5D3A" w:rsidP="00874D7C">
            <w:pPr>
              <w:pStyle w:val="BodyText"/>
            </w:pPr>
            <w:r>
              <w:lastRenderedPageBreak/>
              <w:t xml:space="preserve">Voluntary Income Management </w:t>
            </w:r>
          </w:p>
        </w:tc>
        <w:tc>
          <w:tcPr>
            <w:tcW w:w="878" w:type="pct"/>
          </w:tcPr>
          <w:p w14:paraId="37CA43D9" w14:textId="77777777" w:rsidR="00DD5D3A" w:rsidRDefault="00DD5D3A" w:rsidP="00874D7C">
            <w:pPr>
              <w:pStyle w:val="BodyText"/>
              <w:jc w:val="right"/>
            </w:pPr>
            <w:r>
              <w:t>2,590</w:t>
            </w:r>
          </w:p>
        </w:tc>
        <w:tc>
          <w:tcPr>
            <w:tcW w:w="878" w:type="pct"/>
          </w:tcPr>
          <w:p w14:paraId="6599A569" w14:textId="77777777" w:rsidR="00DD5D3A" w:rsidRDefault="00DD5D3A" w:rsidP="00874D7C">
            <w:pPr>
              <w:pStyle w:val="BodyText"/>
              <w:jc w:val="right"/>
            </w:pPr>
            <w:r>
              <w:t>1,925</w:t>
            </w:r>
          </w:p>
        </w:tc>
        <w:tc>
          <w:tcPr>
            <w:tcW w:w="878" w:type="pct"/>
          </w:tcPr>
          <w:p w14:paraId="526BAC39" w14:textId="77777777" w:rsidR="00DD5D3A" w:rsidRDefault="00DD5D3A" w:rsidP="00874D7C">
            <w:pPr>
              <w:pStyle w:val="BodyText"/>
              <w:jc w:val="right"/>
            </w:pPr>
            <w:r>
              <w:t xml:space="preserve">1,488 </w:t>
            </w:r>
          </w:p>
        </w:tc>
      </w:tr>
      <w:tr w:rsidR="00DD5D3A" w14:paraId="7A35039E" w14:textId="77777777" w:rsidTr="006A0585">
        <w:trPr>
          <w:trHeight w:val="396"/>
        </w:trPr>
        <w:tc>
          <w:tcPr>
            <w:tcW w:w="2366" w:type="pct"/>
          </w:tcPr>
          <w:p w14:paraId="27A12865" w14:textId="77777777" w:rsidR="00DD5D3A" w:rsidRDefault="00DD5D3A" w:rsidP="00874D7C">
            <w:pPr>
              <w:pStyle w:val="BodyText"/>
            </w:pPr>
            <w:r>
              <w:t xml:space="preserve">Vulnerable Welfare Payment Recipient </w:t>
            </w:r>
          </w:p>
        </w:tc>
        <w:tc>
          <w:tcPr>
            <w:tcW w:w="878" w:type="pct"/>
          </w:tcPr>
          <w:p w14:paraId="6C97734B" w14:textId="77777777" w:rsidR="00DD5D3A" w:rsidRDefault="00DD5D3A" w:rsidP="00874D7C">
            <w:pPr>
              <w:pStyle w:val="BodyText"/>
              <w:jc w:val="right"/>
            </w:pPr>
            <w:r>
              <w:t>1,247</w:t>
            </w:r>
          </w:p>
        </w:tc>
        <w:tc>
          <w:tcPr>
            <w:tcW w:w="878" w:type="pct"/>
          </w:tcPr>
          <w:p w14:paraId="092F04D4" w14:textId="77777777" w:rsidR="00DD5D3A" w:rsidRDefault="00DD5D3A" w:rsidP="00874D7C">
            <w:pPr>
              <w:pStyle w:val="BodyText"/>
              <w:jc w:val="right"/>
            </w:pPr>
            <w:r>
              <w:t>268</w:t>
            </w:r>
          </w:p>
        </w:tc>
        <w:tc>
          <w:tcPr>
            <w:tcW w:w="878" w:type="pct"/>
          </w:tcPr>
          <w:p w14:paraId="6BD8E0CD" w14:textId="77777777" w:rsidR="00DD5D3A" w:rsidRDefault="00DD5D3A" w:rsidP="00874D7C">
            <w:pPr>
              <w:pStyle w:val="BodyText"/>
              <w:jc w:val="right"/>
            </w:pPr>
            <w:r>
              <w:t>81</w:t>
            </w:r>
          </w:p>
        </w:tc>
      </w:tr>
    </w:tbl>
    <w:p w14:paraId="3B8B2A3F" w14:textId="5C39E26D" w:rsidR="00DD5D3A" w:rsidRDefault="00DD5D3A" w:rsidP="0001575D">
      <w:pPr>
        <w:pStyle w:val="ProductCode"/>
      </w:pPr>
      <w:r>
        <w:t>(a)</w:t>
      </w:r>
      <w:r w:rsidR="0001575D">
        <w:t xml:space="preserve"> </w:t>
      </w:r>
      <w:r>
        <w:t>The numbers are as at 30 June 2025 and do not represent recipient movements between measures, and on and off Income Management.</w:t>
      </w:r>
    </w:p>
    <w:p w14:paraId="64E089A7" w14:textId="77777777" w:rsidR="00DD5D3A" w:rsidRDefault="00DD5D3A" w:rsidP="00DD5D3A">
      <w:pPr>
        <w:pStyle w:val="Heading2"/>
      </w:pPr>
      <w:r>
        <w:t>Enhanced Income Management</w:t>
      </w:r>
    </w:p>
    <w:p w14:paraId="150DB28C" w14:textId="77777777" w:rsidR="00DD5D3A" w:rsidRDefault="00DD5D3A" w:rsidP="00DD5D3A">
      <w:pPr>
        <w:pStyle w:val="BodyText"/>
      </w:pPr>
      <w:r>
        <w:t>Enhanced Income Management is a tool to help customers budget their income support payment. The program involves setting aside a percentage of a customer’s payment into their enhanced Income Management account to ensure they can pay for essentials such as food, housing, electricity and education.</w:t>
      </w:r>
    </w:p>
    <w:p w14:paraId="49876765" w14:textId="77777777" w:rsidR="00DD5D3A" w:rsidRDefault="00DD5D3A" w:rsidP="00DD5D3A">
      <w:pPr>
        <w:pStyle w:val="BodyText"/>
      </w:pPr>
      <w:r>
        <w:t>Since 4 September 2023 customers who were on Income Management can choose to move to enhanced Income Management. From 4 September 2023 all customers who become eligible are placed on enhanced Income Management. These customers have access to enhanced card technology via a SmartCard and account. Customers can use their card to shop at over one million stores.</w:t>
      </w:r>
    </w:p>
    <w:p w14:paraId="28C38A6C" w14:textId="77777777" w:rsidR="00DD5D3A" w:rsidRDefault="00DD5D3A" w:rsidP="00DD5D3A">
      <w:pPr>
        <w:pStyle w:val="BodyText"/>
        <w:spacing w:after="57"/>
      </w:pPr>
      <w:r>
        <w:t>Enhanced Income Management operates in the following locations:</w:t>
      </w:r>
    </w:p>
    <w:p w14:paraId="70A21E09" w14:textId="77777777" w:rsidR="00DD5D3A" w:rsidRDefault="00DD5D3A" w:rsidP="00DD5D3A">
      <w:pPr>
        <w:pStyle w:val="ListBullet"/>
      </w:pPr>
      <w:r>
        <w:t>Northern Territory</w:t>
      </w:r>
    </w:p>
    <w:p w14:paraId="16672014" w14:textId="77777777" w:rsidR="00DD5D3A" w:rsidRDefault="00DD5D3A" w:rsidP="00DD5D3A">
      <w:pPr>
        <w:pStyle w:val="ListBullet"/>
      </w:pPr>
      <w:r>
        <w:t>Bankstown, New South Wales</w:t>
      </w:r>
    </w:p>
    <w:p w14:paraId="0D466CD2" w14:textId="77777777" w:rsidR="00DD5D3A" w:rsidRDefault="00DD5D3A" w:rsidP="00DD5D3A">
      <w:pPr>
        <w:pStyle w:val="ListBullet"/>
      </w:pPr>
      <w:r>
        <w:t>Cape York and Doomadgee Region, Bundaberg and Hervey Bay, Logan, Rockhampton and Livingston, Queensland</w:t>
      </w:r>
    </w:p>
    <w:p w14:paraId="61C967B0" w14:textId="77777777" w:rsidR="00DD5D3A" w:rsidRDefault="00DD5D3A" w:rsidP="00DD5D3A">
      <w:pPr>
        <w:pStyle w:val="ListBullet"/>
      </w:pPr>
      <w:r>
        <w:t>Ceduna, Playford, Anangu Pitjantjatjara Yankunytjatjara (APY Lands) and Greater Adelaide, South Australia</w:t>
      </w:r>
    </w:p>
    <w:p w14:paraId="069BBC02" w14:textId="77777777" w:rsidR="00DD5D3A" w:rsidRDefault="00DD5D3A" w:rsidP="00DD5D3A">
      <w:pPr>
        <w:pStyle w:val="ListBullet"/>
      </w:pPr>
      <w:r>
        <w:t>Ngaanyatjarra (NG Lands), Kiwirrkurra Community, Goldfields, Kimberley Region including Kununurra and Wyndham, Perth Metropolitan and Peel District, Western Australia</w:t>
      </w:r>
    </w:p>
    <w:p w14:paraId="1F884FE0" w14:textId="77777777" w:rsidR="00DD5D3A" w:rsidRDefault="00DD5D3A" w:rsidP="00DD5D3A">
      <w:pPr>
        <w:pStyle w:val="ListBullet"/>
      </w:pPr>
      <w:r>
        <w:t>Greater Shepparton, Victoria.</w:t>
      </w:r>
    </w:p>
    <w:p w14:paraId="4B6D123A" w14:textId="77777777" w:rsidR="00DD5D3A" w:rsidRDefault="00DD5D3A" w:rsidP="00DD5D3A">
      <w:pPr>
        <w:pStyle w:val="BodyText"/>
      </w:pPr>
      <w:r>
        <w:t>Table 41 shows the numbers of customers on enhanced Income Management under different measures.</w:t>
      </w:r>
    </w:p>
    <w:p w14:paraId="32610A58" w14:textId="451FCDCD" w:rsidR="00DD5D3A" w:rsidRPr="00DD5D3A" w:rsidRDefault="0001575D" w:rsidP="00DD5D3A">
      <w:pPr>
        <w:pStyle w:val="BodyText"/>
        <w:rPr>
          <w:b/>
          <w:bCs/>
          <w:vertAlign w:val="superscript"/>
        </w:rPr>
      </w:pPr>
      <w:r>
        <w:rPr>
          <w:b/>
          <w:bCs/>
        </w:rPr>
        <w:t>Table 41:</w:t>
      </w:r>
      <w:r w:rsidR="00DD5D3A" w:rsidRPr="00DD5D3A">
        <w:rPr>
          <w:b/>
          <w:bCs/>
        </w:rPr>
        <w:t xml:space="preserve"> Number of enhanced Income Management customers</w:t>
      </w:r>
      <w:r w:rsidR="00DD5D3A" w:rsidRPr="00DD5D3A">
        <w:rPr>
          <w:b/>
          <w:bCs/>
          <w:vertAlign w:val="superscript"/>
        </w:rPr>
        <w:t>(a)</w:t>
      </w:r>
    </w:p>
    <w:tbl>
      <w:tblPr>
        <w:tblStyle w:val="TableGrid"/>
        <w:tblW w:w="5000" w:type="pct"/>
        <w:tblLook w:val="04A0" w:firstRow="1" w:lastRow="0" w:firstColumn="1" w:lastColumn="0" w:noHBand="0" w:noVBand="1"/>
        <w:tblCaption w:val="Number of enhanced Income Management customers"/>
      </w:tblPr>
      <w:tblGrid>
        <w:gridCol w:w="7200"/>
        <w:gridCol w:w="1948"/>
        <w:gridCol w:w="1948"/>
      </w:tblGrid>
      <w:tr w:rsidR="00DD5D3A" w14:paraId="140980F8" w14:textId="77777777" w:rsidTr="005875A4">
        <w:trPr>
          <w:trHeight w:val="396"/>
          <w:tblHeader/>
        </w:trPr>
        <w:tc>
          <w:tcPr>
            <w:tcW w:w="3244" w:type="pct"/>
          </w:tcPr>
          <w:p w14:paraId="4FD6B28D" w14:textId="77777777" w:rsidR="00DD5D3A" w:rsidRPr="00BE065F" w:rsidRDefault="00DD5D3A" w:rsidP="00BE065F">
            <w:pPr>
              <w:pStyle w:val="BodyText"/>
              <w:rPr>
                <w:b/>
                <w:bCs/>
              </w:rPr>
            </w:pPr>
            <w:r w:rsidRPr="00BE065F">
              <w:rPr>
                <w:b/>
                <w:bCs/>
              </w:rPr>
              <w:t>Measure</w:t>
            </w:r>
          </w:p>
        </w:tc>
        <w:tc>
          <w:tcPr>
            <w:tcW w:w="878" w:type="pct"/>
          </w:tcPr>
          <w:p w14:paraId="7A8CAA3A" w14:textId="77777777" w:rsidR="00DD5D3A" w:rsidRPr="00891C1C" w:rsidRDefault="00DD5D3A" w:rsidP="00891C1C">
            <w:pPr>
              <w:pStyle w:val="BodyText"/>
              <w:rPr>
                <w:b/>
                <w:bCs/>
              </w:rPr>
            </w:pPr>
            <w:r w:rsidRPr="00891C1C">
              <w:rPr>
                <w:b/>
                <w:bCs/>
              </w:rPr>
              <w:t>2023–24</w:t>
            </w:r>
          </w:p>
        </w:tc>
        <w:tc>
          <w:tcPr>
            <w:tcW w:w="878" w:type="pct"/>
          </w:tcPr>
          <w:p w14:paraId="016B7F91" w14:textId="77777777" w:rsidR="00DD5D3A" w:rsidRPr="00891C1C" w:rsidRDefault="00DD5D3A" w:rsidP="00891C1C">
            <w:pPr>
              <w:pStyle w:val="BodyText"/>
              <w:rPr>
                <w:b/>
                <w:bCs/>
              </w:rPr>
            </w:pPr>
            <w:r w:rsidRPr="00891C1C">
              <w:rPr>
                <w:b/>
                <w:bCs/>
              </w:rPr>
              <w:t>2024–25</w:t>
            </w:r>
          </w:p>
        </w:tc>
      </w:tr>
      <w:tr w:rsidR="00DD5D3A" w14:paraId="3D6EB6FD" w14:textId="77777777" w:rsidTr="006A0585">
        <w:trPr>
          <w:trHeight w:val="396"/>
        </w:trPr>
        <w:tc>
          <w:tcPr>
            <w:tcW w:w="3244" w:type="pct"/>
          </w:tcPr>
          <w:p w14:paraId="4BA572C6" w14:textId="77777777" w:rsidR="00DD5D3A" w:rsidRDefault="00DD5D3A" w:rsidP="00874D7C">
            <w:pPr>
              <w:pStyle w:val="BodyText"/>
            </w:pPr>
            <w:r>
              <w:t xml:space="preserve">Child Protection enhanced Income Management </w:t>
            </w:r>
          </w:p>
        </w:tc>
        <w:tc>
          <w:tcPr>
            <w:tcW w:w="878" w:type="pct"/>
          </w:tcPr>
          <w:p w14:paraId="2531029D" w14:textId="77777777" w:rsidR="00DD5D3A" w:rsidRDefault="00DD5D3A" w:rsidP="00874D7C">
            <w:pPr>
              <w:pStyle w:val="BodyText"/>
              <w:jc w:val="right"/>
            </w:pPr>
            <w:r>
              <w:t>13</w:t>
            </w:r>
          </w:p>
        </w:tc>
        <w:tc>
          <w:tcPr>
            <w:tcW w:w="878" w:type="pct"/>
          </w:tcPr>
          <w:p w14:paraId="643E19C0" w14:textId="77777777" w:rsidR="00DD5D3A" w:rsidRDefault="00DD5D3A" w:rsidP="00874D7C">
            <w:pPr>
              <w:pStyle w:val="BodyText"/>
              <w:jc w:val="right"/>
            </w:pPr>
            <w:r>
              <w:t xml:space="preserve">40 </w:t>
            </w:r>
          </w:p>
        </w:tc>
      </w:tr>
      <w:tr w:rsidR="00DD5D3A" w14:paraId="2CD96AC9" w14:textId="77777777" w:rsidTr="006A0585">
        <w:trPr>
          <w:trHeight w:val="396"/>
        </w:trPr>
        <w:tc>
          <w:tcPr>
            <w:tcW w:w="3244" w:type="pct"/>
          </w:tcPr>
          <w:p w14:paraId="5B6ED263" w14:textId="77777777" w:rsidR="00DD5D3A" w:rsidRDefault="00DD5D3A" w:rsidP="00874D7C">
            <w:pPr>
              <w:pStyle w:val="BodyText"/>
            </w:pPr>
            <w:r>
              <w:t xml:space="preserve">Disengaged Youth </w:t>
            </w:r>
          </w:p>
        </w:tc>
        <w:tc>
          <w:tcPr>
            <w:tcW w:w="878" w:type="pct"/>
          </w:tcPr>
          <w:p w14:paraId="458A0EEF" w14:textId="77777777" w:rsidR="00DD5D3A" w:rsidRDefault="00DD5D3A" w:rsidP="00874D7C">
            <w:pPr>
              <w:pStyle w:val="BodyText"/>
              <w:jc w:val="right"/>
            </w:pPr>
            <w:r>
              <w:t>3,322</w:t>
            </w:r>
          </w:p>
        </w:tc>
        <w:tc>
          <w:tcPr>
            <w:tcW w:w="878" w:type="pct"/>
          </w:tcPr>
          <w:p w14:paraId="5C6BC109" w14:textId="77777777" w:rsidR="00DD5D3A" w:rsidRDefault="00DD5D3A" w:rsidP="00874D7C">
            <w:pPr>
              <w:pStyle w:val="BodyText"/>
              <w:jc w:val="right"/>
            </w:pPr>
            <w:r>
              <w:t xml:space="preserve">4,804 </w:t>
            </w:r>
          </w:p>
        </w:tc>
      </w:tr>
      <w:tr w:rsidR="00DD5D3A" w14:paraId="162578EC" w14:textId="77777777" w:rsidTr="006A0585">
        <w:trPr>
          <w:trHeight w:val="396"/>
        </w:trPr>
        <w:tc>
          <w:tcPr>
            <w:tcW w:w="3244" w:type="pct"/>
          </w:tcPr>
          <w:p w14:paraId="2BE265CE" w14:textId="77777777" w:rsidR="00DD5D3A" w:rsidRDefault="00DD5D3A" w:rsidP="00874D7C">
            <w:pPr>
              <w:pStyle w:val="BodyText"/>
            </w:pPr>
            <w:r>
              <w:t xml:space="preserve">Long Term Welfare Payment Recipient </w:t>
            </w:r>
          </w:p>
        </w:tc>
        <w:tc>
          <w:tcPr>
            <w:tcW w:w="878" w:type="pct"/>
          </w:tcPr>
          <w:p w14:paraId="27685FF0" w14:textId="77777777" w:rsidR="00DD5D3A" w:rsidRDefault="00DD5D3A" w:rsidP="00874D7C">
            <w:pPr>
              <w:pStyle w:val="BodyText"/>
              <w:jc w:val="right"/>
            </w:pPr>
            <w:r>
              <w:t>10,063</w:t>
            </w:r>
          </w:p>
        </w:tc>
        <w:tc>
          <w:tcPr>
            <w:tcW w:w="878" w:type="pct"/>
          </w:tcPr>
          <w:p w14:paraId="6A353454" w14:textId="77777777" w:rsidR="00DD5D3A" w:rsidRDefault="00DD5D3A" w:rsidP="00874D7C">
            <w:pPr>
              <w:pStyle w:val="BodyText"/>
              <w:jc w:val="right"/>
            </w:pPr>
            <w:r>
              <w:t xml:space="preserve">14,095 </w:t>
            </w:r>
          </w:p>
        </w:tc>
      </w:tr>
      <w:tr w:rsidR="00DD5D3A" w14:paraId="1D395610" w14:textId="77777777" w:rsidTr="006A0585">
        <w:trPr>
          <w:trHeight w:val="396"/>
        </w:trPr>
        <w:tc>
          <w:tcPr>
            <w:tcW w:w="3244" w:type="pct"/>
          </w:tcPr>
          <w:p w14:paraId="369CB99F" w14:textId="77777777" w:rsidR="00DD5D3A" w:rsidRDefault="00DD5D3A" w:rsidP="00874D7C">
            <w:pPr>
              <w:pStyle w:val="BodyText"/>
            </w:pPr>
            <w:r>
              <w:t xml:space="preserve">Supporting People at Risk </w:t>
            </w:r>
          </w:p>
        </w:tc>
        <w:tc>
          <w:tcPr>
            <w:tcW w:w="878" w:type="pct"/>
          </w:tcPr>
          <w:p w14:paraId="3589D1F8" w14:textId="77777777" w:rsidR="00DD5D3A" w:rsidRDefault="00DD5D3A" w:rsidP="00874D7C">
            <w:pPr>
              <w:pStyle w:val="BodyText"/>
              <w:jc w:val="right"/>
            </w:pPr>
            <w:r>
              <w:t>0</w:t>
            </w:r>
          </w:p>
        </w:tc>
        <w:tc>
          <w:tcPr>
            <w:tcW w:w="878" w:type="pct"/>
          </w:tcPr>
          <w:p w14:paraId="0348DC55" w14:textId="77777777" w:rsidR="00DD5D3A" w:rsidRDefault="00DD5D3A" w:rsidP="00874D7C">
            <w:pPr>
              <w:pStyle w:val="BodyText"/>
              <w:jc w:val="right"/>
            </w:pPr>
            <w:r>
              <w:t>0</w:t>
            </w:r>
          </w:p>
        </w:tc>
      </w:tr>
      <w:tr w:rsidR="00DD5D3A" w14:paraId="62DBA36D" w14:textId="77777777" w:rsidTr="006A0585">
        <w:trPr>
          <w:trHeight w:val="396"/>
        </w:trPr>
        <w:tc>
          <w:tcPr>
            <w:tcW w:w="3244" w:type="pct"/>
          </w:tcPr>
          <w:p w14:paraId="3BA76B99" w14:textId="77777777" w:rsidR="00DD5D3A" w:rsidRDefault="00DD5D3A" w:rsidP="00874D7C">
            <w:pPr>
              <w:pStyle w:val="BodyText"/>
            </w:pPr>
            <w:r>
              <w:t xml:space="preserve">Voluntary enhanced Income Management </w:t>
            </w:r>
          </w:p>
        </w:tc>
        <w:tc>
          <w:tcPr>
            <w:tcW w:w="878" w:type="pct"/>
          </w:tcPr>
          <w:p w14:paraId="20D79783" w14:textId="77777777" w:rsidR="00DD5D3A" w:rsidRDefault="00DD5D3A" w:rsidP="00874D7C">
            <w:pPr>
              <w:pStyle w:val="BodyText"/>
              <w:jc w:val="right"/>
            </w:pPr>
            <w:r>
              <w:t>591</w:t>
            </w:r>
          </w:p>
        </w:tc>
        <w:tc>
          <w:tcPr>
            <w:tcW w:w="878" w:type="pct"/>
          </w:tcPr>
          <w:p w14:paraId="09DC48A5" w14:textId="77777777" w:rsidR="00DD5D3A" w:rsidRDefault="00DD5D3A" w:rsidP="00874D7C">
            <w:pPr>
              <w:pStyle w:val="BodyText"/>
              <w:jc w:val="right"/>
            </w:pPr>
            <w:r>
              <w:t>744</w:t>
            </w:r>
          </w:p>
        </w:tc>
      </w:tr>
      <w:tr w:rsidR="00DD5D3A" w14:paraId="7114AA0E" w14:textId="77777777" w:rsidTr="006A0585">
        <w:trPr>
          <w:trHeight w:val="396"/>
        </w:trPr>
        <w:tc>
          <w:tcPr>
            <w:tcW w:w="3244" w:type="pct"/>
          </w:tcPr>
          <w:p w14:paraId="1F19835D" w14:textId="77777777" w:rsidR="00DD5D3A" w:rsidRDefault="00DD5D3A" w:rsidP="00874D7C">
            <w:pPr>
              <w:pStyle w:val="BodyText"/>
            </w:pPr>
            <w:r>
              <w:lastRenderedPageBreak/>
              <w:t xml:space="preserve">Vulnerable Welfare Payment Recipient </w:t>
            </w:r>
          </w:p>
        </w:tc>
        <w:tc>
          <w:tcPr>
            <w:tcW w:w="878" w:type="pct"/>
          </w:tcPr>
          <w:p w14:paraId="30D13671" w14:textId="77777777" w:rsidR="00DD5D3A" w:rsidRDefault="00DD5D3A" w:rsidP="00874D7C">
            <w:pPr>
              <w:pStyle w:val="BodyText"/>
              <w:jc w:val="right"/>
            </w:pPr>
            <w:r>
              <w:t>1,332</w:t>
            </w:r>
          </w:p>
        </w:tc>
        <w:tc>
          <w:tcPr>
            <w:tcW w:w="878" w:type="pct"/>
          </w:tcPr>
          <w:p w14:paraId="6522549B" w14:textId="77777777" w:rsidR="00DD5D3A" w:rsidRDefault="00DD5D3A" w:rsidP="00874D7C">
            <w:pPr>
              <w:pStyle w:val="BodyText"/>
              <w:jc w:val="right"/>
            </w:pPr>
            <w:r>
              <w:t>1,497</w:t>
            </w:r>
          </w:p>
        </w:tc>
      </w:tr>
      <w:tr w:rsidR="00DD5D3A" w14:paraId="018B4ACE" w14:textId="77777777" w:rsidTr="006A0585">
        <w:trPr>
          <w:trHeight w:val="396"/>
        </w:trPr>
        <w:tc>
          <w:tcPr>
            <w:tcW w:w="3244" w:type="pct"/>
          </w:tcPr>
          <w:p w14:paraId="40CCBC91" w14:textId="77777777" w:rsidR="00DD5D3A" w:rsidRDefault="00DD5D3A" w:rsidP="00874D7C">
            <w:pPr>
              <w:pStyle w:val="BodyText"/>
            </w:pPr>
            <w:r>
              <w:t>Cape York</w:t>
            </w:r>
          </w:p>
        </w:tc>
        <w:tc>
          <w:tcPr>
            <w:tcW w:w="878" w:type="pct"/>
          </w:tcPr>
          <w:p w14:paraId="096AECA8" w14:textId="77777777" w:rsidR="00DD5D3A" w:rsidRDefault="00DD5D3A" w:rsidP="00874D7C">
            <w:pPr>
              <w:pStyle w:val="BodyText"/>
              <w:jc w:val="right"/>
            </w:pPr>
            <w:r>
              <w:t>76</w:t>
            </w:r>
          </w:p>
        </w:tc>
        <w:tc>
          <w:tcPr>
            <w:tcW w:w="878" w:type="pct"/>
          </w:tcPr>
          <w:p w14:paraId="6605A4AC" w14:textId="77777777" w:rsidR="00DD5D3A" w:rsidRDefault="00DD5D3A" w:rsidP="00874D7C">
            <w:pPr>
              <w:pStyle w:val="BodyText"/>
              <w:jc w:val="right"/>
            </w:pPr>
            <w:r>
              <w:t>72</w:t>
            </w:r>
          </w:p>
        </w:tc>
      </w:tr>
      <w:tr w:rsidR="00DD5D3A" w14:paraId="271B9A60" w14:textId="77777777" w:rsidTr="006A0585">
        <w:trPr>
          <w:trHeight w:val="396"/>
        </w:trPr>
        <w:tc>
          <w:tcPr>
            <w:tcW w:w="3244" w:type="pct"/>
          </w:tcPr>
          <w:p w14:paraId="57C17F06" w14:textId="77777777" w:rsidR="00DD5D3A" w:rsidRDefault="00DD5D3A" w:rsidP="00874D7C">
            <w:pPr>
              <w:pStyle w:val="BodyText"/>
            </w:pPr>
            <w:r>
              <w:t>Nominee</w:t>
            </w:r>
            <w:r>
              <w:rPr>
                <w:vertAlign w:val="superscript"/>
              </w:rPr>
              <w:t>(b)</w:t>
            </w:r>
          </w:p>
        </w:tc>
        <w:tc>
          <w:tcPr>
            <w:tcW w:w="878" w:type="pct"/>
          </w:tcPr>
          <w:p w14:paraId="3533003E" w14:textId="77777777" w:rsidR="00DD5D3A" w:rsidRDefault="00DD5D3A" w:rsidP="00874D7C">
            <w:pPr>
              <w:pStyle w:val="BodyText"/>
              <w:jc w:val="right"/>
            </w:pPr>
            <w:r>
              <w:t>134</w:t>
            </w:r>
          </w:p>
        </w:tc>
        <w:tc>
          <w:tcPr>
            <w:tcW w:w="878" w:type="pct"/>
          </w:tcPr>
          <w:p w14:paraId="009D2185" w14:textId="77777777" w:rsidR="00DD5D3A" w:rsidRDefault="00DD5D3A" w:rsidP="00874D7C">
            <w:pPr>
              <w:pStyle w:val="BodyText"/>
              <w:jc w:val="right"/>
            </w:pPr>
            <w:r>
              <w:t xml:space="preserve">412 </w:t>
            </w:r>
          </w:p>
        </w:tc>
      </w:tr>
    </w:tbl>
    <w:p w14:paraId="74FABD36" w14:textId="279E8E92" w:rsidR="00DD5D3A" w:rsidRDefault="00DD5D3A" w:rsidP="0001575D">
      <w:pPr>
        <w:pStyle w:val="ProductCode"/>
      </w:pPr>
      <w:r>
        <w:t>(a)</w:t>
      </w:r>
      <w:r w:rsidR="0001575D">
        <w:t xml:space="preserve"> </w:t>
      </w:r>
      <w:r>
        <w:t>The numbers are as at 30 June 2025 and do not represent recipient movements between measures, and on and off enhanced Income Management.</w:t>
      </w:r>
    </w:p>
    <w:p w14:paraId="09CA0AF1" w14:textId="359154E7" w:rsidR="00DD5D3A" w:rsidRDefault="00DD5D3A" w:rsidP="0001575D">
      <w:pPr>
        <w:pStyle w:val="ProductCode"/>
      </w:pPr>
      <w:r w:rsidRPr="00DD5D3A">
        <w:t>(b)</w:t>
      </w:r>
      <w:r w:rsidR="0001575D">
        <w:t xml:space="preserve"> </w:t>
      </w:r>
      <w:r w:rsidRPr="00DD5D3A">
        <w:t>Customers who do not qualify for enhanced Income Management but have a payment nominee who is on Income Management or enhanced Income Management are counted under the ‘Nominee’ measure.</w:t>
      </w:r>
    </w:p>
    <w:p w14:paraId="667DE2F5" w14:textId="667FB504" w:rsidR="00824ED3" w:rsidRDefault="00B96C7E" w:rsidP="00B96C7E">
      <w:pPr>
        <w:pStyle w:val="Heading1"/>
      </w:pPr>
      <w:bookmarkStart w:id="22" w:name="_Toc210815401"/>
      <w:r>
        <w:t>Part 5 – Shared services and partnerships</w:t>
      </w:r>
      <w:bookmarkEnd w:id="22"/>
    </w:p>
    <w:p w14:paraId="3004311E" w14:textId="77777777" w:rsidR="00BF0D5E" w:rsidRDefault="00BF0D5E" w:rsidP="00BF0D5E">
      <w:pPr>
        <w:pStyle w:val="Heading1"/>
      </w:pPr>
      <w:bookmarkStart w:id="23" w:name="_Toc210815402"/>
      <w:r>
        <w:t>5.1 Shared services</w:t>
      </w:r>
      <w:bookmarkEnd w:id="23"/>
    </w:p>
    <w:p w14:paraId="2BDD0718" w14:textId="77777777" w:rsidR="00BF0D5E" w:rsidRDefault="00BF0D5E" w:rsidP="00BF0D5E">
      <w:pPr>
        <w:pStyle w:val="BodyText"/>
      </w:pPr>
      <w:r>
        <w:t xml:space="preserve">During 2024–25 we assisted over 60 Australian Government entities by providing ICT and corporate support for a range of shared services. </w:t>
      </w:r>
    </w:p>
    <w:p w14:paraId="5965EA3A" w14:textId="77777777" w:rsidR="00BF0D5E" w:rsidRDefault="00BF0D5E" w:rsidP="00BF0D5E">
      <w:pPr>
        <w:pStyle w:val="BodyText"/>
      </w:pPr>
      <w:r>
        <w:t xml:space="preserve">The Department of Social Services (DSS), National Disability Insurance Scheme Quality and Safeguards Commission, National Disability Insurance Agency (NDIA) and the DVA were the main entities to consume these services. </w:t>
      </w:r>
    </w:p>
    <w:p w14:paraId="35D789FD" w14:textId="77777777" w:rsidR="00BF0D5E" w:rsidRDefault="00BF0D5E" w:rsidP="00BF0D5E">
      <w:pPr>
        <w:pStyle w:val="BodyText"/>
        <w:spacing w:after="57"/>
      </w:pPr>
      <w:r>
        <w:t>The services included:</w:t>
      </w:r>
    </w:p>
    <w:p w14:paraId="28D57D5D" w14:textId="77777777" w:rsidR="00BF0D5E" w:rsidRDefault="00BF0D5E" w:rsidP="00BF0D5E">
      <w:pPr>
        <w:pStyle w:val="ListBullet"/>
      </w:pPr>
      <w:r>
        <w:t>people services – payroll, travel, onboarding and the Australian Government Indigenous Apprenticeships Program</w:t>
      </w:r>
    </w:p>
    <w:p w14:paraId="21371315" w14:textId="77777777" w:rsidR="00BF0D5E" w:rsidRDefault="00BF0D5E" w:rsidP="00BF0D5E">
      <w:pPr>
        <w:pStyle w:val="ListBullet"/>
      </w:pPr>
      <w:r>
        <w:t>financial services – accounts payable, accounts receivable and credit card management</w:t>
      </w:r>
    </w:p>
    <w:p w14:paraId="58E3CC3E" w14:textId="77777777" w:rsidR="00BF0D5E" w:rsidRDefault="00BF0D5E" w:rsidP="00BF0D5E">
      <w:pPr>
        <w:pStyle w:val="ListBullet"/>
      </w:pPr>
      <w:r>
        <w:t>ICT services – cybersecurity, gateway, standard operating environments, desktop software and telecommunications</w:t>
      </w:r>
    </w:p>
    <w:p w14:paraId="361F4888" w14:textId="77777777" w:rsidR="00BF0D5E" w:rsidRDefault="00BF0D5E" w:rsidP="00BF0D5E">
      <w:pPr>
        <w:pStyle w:val="ListBullet"/>
        <w:rPr>
          <w:spacing w:val="-2"/>
        </w:rPr>
      </w:pPr>
      <w:r>
        <w:rPr>
          <w:spacing w:val="-2"/>
        </w:rPr>
        <w:t xml:space="preserve">corporate services – records management, procurement, fleet and property services. </w:t>
      </w:r>
    </w:p>
    <w:p w14:paraId="692E535C" w14:textId="77777777" w:rsidR="00BF0D5E" w:rsidRDefault="00BF0D5E" w:rsidP="00BF0D5E">
      <w:pPr>
        <w:pStyle w:val="BodyText"/>
      </w:pPr>
      <w:r>
        <w:t>The agency has an account management function to provide a strategic and tactical link between the agency and Australian Government entities to ensure effective management and operations of the shared services provided.</w:t>
      </w:r>
    </w:p>
    <w:p w14:paraId="1F374B85" w14:textId="77777777" w:rsidR="00BF0D5E" w:rsidRDefault="00BF0D5E" w:rsidP="00BF0D5E">
      <w:pPr>
        <w:pStyle w:val="Heading1"/>
      </w:pPr>
      <w:bookmarkStart w:id="24" w:name="_Toc210815403"/>
      <w:r>
        <w:t>5.2 Partnerships</w:t>
      </w:r>
      <w:bookmarkEnd w:id="24"/>
    </w:p>
    <w:p w14:paraId="2758F8D9" w14:textId="77777777" w:rsidR="00BF0D5E" w:rsidRDefault="00BF0D5E" w:rsidP="00BF0D5E">
      <w:pPr>
        <w:pStyle w:val="Heading2"/>
      </w:pPr>
      <w:r>
        <w:t>Partnerships with Australian Government agencies</w:t>
      </w:r>
    </w:p>
    <w:p w14:paraId="1B4F53E8" w14:textId="77777777" w:rsidR="00BF0D5E" w:rsidRDefault="00BF0D5E" w:rsidP="00BF0D5E">
      <w:pPr>
        <w:pStyle w:val="BodyText"/>
      </w:pPr>
      <w:r>
        <w:t xml:space="preserve">We work in partnership with Australian Government entities to deliver payments and services on behalf of government. This cross-government collaboration focuses on providing seamless customer experiences and ensuring the customer voice is considered throughout the policy design process. Our partnerships operate under bilateral management arrangements, and we maintain bilateral forums with Australian Government entities on policy, program and service delivery. </w:t>
      </w:r>
    </w:p>
    <w:p w14:paraId="4D52B22A" w14:textId="77777777" w:rsidR="00BF0D5E" w:rsidRDefault="00BF0D5E" w:rsidP="00BF0D5E">
      <w:pPr>
        <w:pStyle w:val="BodyText"/>
        <w:spacing w:after="57"/>
      </w:pPr>
      <w:r>
        <w:t xml:space="preserve">During 2024–25 the bilateral management arrangements enabled collaboration to: </w:t>
      </w:r>
    </w:p>
    <w:p w14:paraId="7889C8A6" w14:textId="77777777" w:rsidR="00BF0D5E" w:rsidRDefault="00BF0D5E" w:rsidP="00BF0D5E">
      <w:pPr>
        <w:pStyle w:val="ListBullet"/>
      </w:pPr>
      <w:r>
        <w:t xml:space="preserve">co-design and deliver services to the Australian public </w:t>
      </w:r>
    </w:p>
    <w:p w14:paraId="58E38EE0" w14:textId="77777777" w:rsidR="00BF0D5E" w:rsidRDefault="00BF0D5E" w:rsidP="00BF0D5E">
      <w:pPr>
        <w:pStyle w:val="ListBullet"/>
      </w:pPr>
      <w:r>
        <w:lastRenderedPageBreak/>
        <w:t xml:space="preserve">share customer insights and experience </w:t>
      </w:r>
    </w:p>
    <w:p w14:paraId="2CED09E8" w14:textId="77777777" w:rsidR="00BF0D5E" w:rsidRDefault="00BF0D5E" w:rsidP="00BF0D5E">
      <w:pPr>
        <w:pStyle w:val="ListBullet"/>
      </w:pPr>
      <w:r>
        <w:t xml:space="preserve">exchange data securely and appropriately </w:t>
      </w:r>
    </w:p>
    <w:p w14:paraId="1CA1DDA7" w14:textId="77777777" w:rsidR="00BF0D5E" w:rsidRDefault="00BF0D5E" w:rsidP="00BF0D5E">
      <w:pPr>
        <w:pStyle w:val="ListBullet"/>
      </w:pPr>
      <w:r>
        <w:t xml:space="preserve">deliver myGov and ICT infrastructure, capability and support </w:t>
      </w:r>
    </w:p>
    <w:p w14:paraId="08C11761" w14:textId="77777777" w:rsidR="00BF0D5E" w:rsidRDefault="00BF0D5E" w:rsidP="00BF0D5E">
      <w:pPr>
        <w:pStyle w:val="ListBullet"/>
      </w:pPr>
      <w:r>
        <w:t>provide call centre capability, including to support the AEC during the 2025 federal election</w:t>
      </w:r>
    </w:p>
    <w:p w14:paraId="72AA9131" w14:textId="77777777" w:rsidR="00BF0D5E" w:rsidRDefault="00BF0D5E" w:rsidP="00BF0D5E">
      <w:pPr>
        <w:pStyle w:val="ListBullet"/>
      </w:pPr>
      <w:r>
        <w:t xml:space="preserve">deliver the NECCSC. </w:t>
      </w:r>
    </w:p>
    <w:p w14:paraId="14910468" w14:textId="77777777" w:rsidR="00BF0D5E" w:rsidRDefault="00BF0D5E" w:rsidP="00BF0D5E">
      <w:pPr>
        <w:pStyle w:val="Heading3"/>
      </w:pPr>
      <w:r>
        <w:t xml:space="preserve">Australia’s payments system reforms program </w:t>
      </w:r>
    </w:p>
    <w:p w14:paraId="1A62CA26" w14:textId="77777777" w:rsidR="00BF0D5E" w:rsidRDefault="00BF0D5E" w:rsidP="00BF0D5E">
      <w:pPr>
        <w:pStyle w:val="BodyText"/>
      </w:pPr>
      <w:r>
        <w:t xml:space="preserve">In 2024–25 we worked in partnership with Australian Government entities, state and territory governments, the financial industry, foreign governments and financial services providers to meet the objectives of the Australian Government’s strategic plan for the future of Australia’s payments system. The agency delivered its first payment reform initiative, ceasing the use and acceptance of foreign cheques as a payment method and implementing alternate electronic payment methods for customers. </w:t>
      </w:r>
    </w:p>
    <w:p w14:paraId="5AF1C867" w14:textId="77777777" w:rsidR="00BF0D5E" w:rsidRDefault="00BF0D5E" w:rsidP="00BF0D5E">
      <w:pPr>
        <w:pStyle w:val="Heading2"/>
      </w:pPr>
      <w:r>
        <w:t>Partnerships with state and territory governments and other organisations</w:t>
      </w:r>
    </w:p>
    <w:p w14:paraId="08A204E4" w14:textId="77777777" w:rsidR="00BF0D5E" w:rsidRDefault="00BF0D5E" w:rsidP="00BF0D5E">
      <w:pPr>
        <w:pStyle w:val="BodyText"/>
      </w:pPr>
      <w:r>
        <w:t>We have bilateral arrangements with state and territory government entities and agreements with other third-party organisations to deliver government services to support customers, share data and effectively manage shared premises. These diverse services include helping customers in prison, supporting the registration of birth information, and helping customers experiencing family and domestic violence to access support.</w:t>
      </w:r>
    </w:p>
    <w:p w14:paraId="4AA260C4" w14:textId="77777777" w:rsidR="00BF0D5E" w:rsidRDefault="00BF0D5E" w:rsidP="00BF0D5E">
      <w:pPr>
        <w:pStyle w:val="BodyText"/>
      </w:pPr>
      <w:r>
        <w:t xml:space="preserve">Our shared premises arrangements successfully deliver integrated services to customers. Our arrangements with not-for-profit organisations help us to connect with and understand the needs of the broader community. Through our mobile service centres, we collaborate with Australian Government and state and territory entities to provide coordinated services for communities across Australia. </w:t>
      </w:r>
    </w:p>
    <w:p w14:paraId="57529703" w14:textId="77777777" w:rsidR="00BF0D5E" w:rsidRDefault="00BF0D5E" w:rsidP="00BF0D5E">
      <w:pPr>
        <w:pStyle w:val="BodyText"/>
        <w:spacing w:after="57"/>
      </w:pPr>
      <w:r>
        <w:t xml:space="preserve">These services include: </w:t>
      </w:r>
    </w:p>
    <w:p w14:paraId="16783E43" w14:textId="77777777" w:rsidR="00BF0D5E" w:rsidRDefault="00BF0D5E" w:rsidP="00BF0D5E">
      <w:pPr>
        <w:pStyle w:val="ListBullet"/>
      </w:pPr>
      <w:r>
        <w:t xml:space="preserve">providing information to veterans and their families about DVA programs and support services </w:t>
      </w:r>
    </w:p>
    <w:p w14:paraId="1DF94099" w14:textId="77777777" w:rsidR="00BF0D5E" w:rsidRDefault="00BF0D5E" w:rsidP="00BF0D5E">
      <w:pPr>
        <w:pStyle w:val="ListBullet"/>
      </w:pPr>
      <w:r>
        <w:t xml:space="preserve">delivering side-by-side mobile servicing with the NDIA </w:t>
      </w:r>
    </w:p>
    <w:p w14:paraId="7E2FE028" w14:textId="77777777" w:rsidR="00BF0D5E" w:rsidRDefault="00BF0D5E" w:rsidP="00BF0D5E">
      <w:pPr>
        <w:pStyle w:val="ListBullet"/>
      </w:pPr>
      <w:r>
        <w:t xml:space="preserve">delivering side-by-side mobile servicing with various other federal, state and territory entities and community-based organisations in some locations. </w:t>
      </w:r>
    </w:p>
    <w:p w14:paraId="0DB74FAD" w14:textId="77777777" w:rsidR="00BF0D5E" w:rsidRDefault="00BF0D5E" w:rsidP="00BF0D5E">
      <w:pPr>
        <w:pStyle w:val="BodyText"/>
      </w:pPr>
      <w:r>
        <w:t xml:space="preserve">We work proactively with state and territory governments, such as through the National Life Events Program, to share insights on improved service design and explore opportunities for government to connect services and provide enhanced identification and shared data services. </w:t>
      </w:r>
    </w:p>
    <w:p w14:paraId="4C785E1D" w14:textId="77777777" w:rsidR="00BF0D5E" w:rsidRDefault="00BF0D5E" w:rsidP="00BF0D5E">
      <w:pPr>
        <w:pStyle w:val="BodyText"/>
      </w:pPr>
      <w:r>
        <w:t>During 2024–25 the agency continued to work with the Australian Capital Territory (ACT) and Queensland governments to deliver the newborn enrolment trial, under the Birth of a Child Life Event Redesign. This service is available in 4 hospital pilot sites, simplifying access to government payments and services for consenting birth mothers by digitally sharing birth information. An evaluation of the pilot phase of the trial was ongoing during 2024–25.</w:t>
      </w:r>
    </w:p>
    <w:p w14:paraId="40BF5634" w14:textId="77777777" w:rsidR="00BF0D5E" w:rsidRDefault="00BF0D5E" w:rsidP="00BF0D5E">
      <w:pPr>
        <w:pStyle w:val="Heading2"/>
      </w:pPr>
      <w:r>
        <w:t>Engagement with community peak bodies</w:t>
      </w:r>
    </w:p>
    <w:p w14:paraId="075AD04D" w14:textId="77777777" w:rsidR="00BF0D5E" w:rsidRDefault="00BF0D5E" w:rsidP="00BF0D5E">
      <w:pPr>
        <w:pStyle w:val="BodyText"/>
      </w:pPr>
      <w:r>
        <w:t>We have well-established and enduring partnerships with community peak body organisations. Through regular and bespoke engagements, we seek specialist and advocate viewpoints on issues impacting our customers, including Indigenous people, people with disability, carers, the LGBTQIA+ community, and CALD communities.</w:t>
      </w:r>
    </w:p>
    <w:p w14:paraId="41F5D16B" w14:textId="77777777" w:rsidR="00BF0D5E" w:rsidRDefault="00BF0D5E" w:rsidP="00BF0D5E">
      <w:pPr>
        <w:pStyle w:val="BodyText"/>
      </w:pPr>
      <w:r>
        <w:lastRenderedPageBreak/>
        <w:t>In 2024–25 the Civil Society Advisory Group (CSAG) continued to serve as the agency’s primary engagement forum across the social security sector. Comprising 18 national peak body organisations, the CSAG provided critical insights into customer experience, policy impacts, and service delivery improvements. CSAG members collaborated with agency teams to identify and address service pain points, particularly for customers facing complex barriers. Our collaboration with CSAG members helped inform the design of initiatives such as the Customer 360 Service Model and enhancements to privacy and authentication features in digital channels.</w:t>
      </w:r>
    </w:p>
    <w:p w14:paraId="0E6FDF99" w14:textId="77777777" w:rsidR="00BF0D5E" w:rsidRDefault="00BF0D5E" w:rsidP="00BF0D5E">
      <w:pPr>
        <w:pStyle w:val="BodyText"/>
      </w:pPr>
      <w:r>
        <w:t xml:space="preserve">CSAG’s biannual forums enabled transparent dialogue on key initiatives, such as the implementation of the Digital ID framework, the safe and responsible use of AI and </w:t>
      </w:r>
      <w:r>
        <w:rPr>
          <w:spacing w:val="-1"/>
        </w:rPr>
        <w:t xml:space="preserve">automation, and the agency’s commitment to creating more equitable access to agency </w:t>
      </w:r>
      <w:r>
        <w:t>payments and services for customers experiencing family and domestic violence.</w:t>
      </w:r>
    </w:p>
    <w:p w14:paraId="74E1AF5E" w14:textId="77777777" w:rsidR="00BF0D5E" w:rsidRDefault="00BF0D5E" w:rsidP="00BF0D5E">
      <w:pPr>
        <w:pStyle w:val="BodyText"/>
      </w:pPr>
      <w:r>
        <w:t xml:space="preserve">We work jointly with DSS and the Disability Peak Bodies Forum on the DSP and other matters relevant to the disability community. In 2024, this forum, which includes 11 peak disability organisations, engaged with the agency on a range of topics including accessibility of services, Auslan interpreters, employment reporting for people with disability, providing medical evidence for DSP and Disability Employment Services reform. </w:t>
      </w:r>
    </w:p>
    <w:p w14:paraId="6ED6E537" w14:textId="60DFF6CE" w:rsidR="00BF0D5E" w:rsidRDefault="00BF0D5E" w:rsidP="00BF0D5E">
      <w:pPr>
        <w:pStyle w:val="BodyText"/>
        <w:rPr>
          <w:spacing w:val="-2"/>
        </w:rPr>
      </w:pPr>
      <w:r>
        <w:rPr>
          <w:spacing w:val="-2"/>
        </w:rPr>
        <w:t xml:space="preserve">We work closely with the National Multicultural Advisory Group (NMAG) on multicultural matters. The NMAG comprises 16 multicultural peak bodies and grassroots multicultural </w:t>
      </w:r>
      <w:r>
        <w:t>community organisations, ensuring broad and inclusive representation. The NMAG provides insight, advice and feedback on all aspects of service delivery to CALD customers and communities, allowing us to remain responsive to their diverse and evolving needs. In 2024–25 we consulted with the NMAG to obtain input and feedback on key projects and initiatives including our Customer 360</w:t>
      </w:r>
      <w:r>
        <w:rPr>
          <w:rFonts w:cs="Arial"/>
        </w:rPr>
        <w:t>°</w:t>
      </w:r>
      <w:r>
        <w:t xml:space="preserve"> Service Model and Strategy, Centrepay reform, community engagement and servicing reviews, ways of working reviews, staff cultural capability, the Robodebt Royal Commission response, and resources for CALD communities.</w:t>
      </w:r>
    </w:p>
    <w:p w14:paraId="45245662" w14:textId="77777777" w:rsidR="00BF0D5E" w:rsidRDefault="00BF0D5E" w:rsidP="00BF0D5E">
      <w:pPr>
        <w:pStyle w:val="BodyText"/>
      </w:pPr>
      <w:r>
        <w:t xml:space="preserve">We collaborate with the Stakeholder Consultative Group (SCG) on health-related matters. The SCG has 20 peak bodies represented from across the health care sector and is a forum where health peak industry groups and the agency can discuss health initiatives and emerging operational priorities. </w:t>
      </w:r>
    </w:p>
    <w:p w14:paraId="1E12BA8E" w14:textId="77777777" w:rsidR="00BF0D5E" w:rsidRDefault="00BF0D5E" w:rsidP="00BF0D5E">
      <w:pPr>
        <w:pStyle w:val="Heading2"/>
      </w:pPr>
      <w:r>
        <w:t>Community Partnership Program</w:t>
      </w:r>
    </w:p>
    <w:p w14:paraId="4F8BA1F7" w14:textId="77777777" w:rsidR="00BF0D5E" w:rsidRDefault="00BF0D5E" w:rsidP="00BF0D5E">
      <w:pPr>
        <w:pStyle w:val="BodyText"/>
      </w:pPr>
      <w:r>
        <w:t>Community partnerships are an intensive form of community engagement where our experienced staff – known as community partnership specialist officers (CPSOs) – are co-located with selected non</w:t>
      </w:r>
      <w:r>
        <w:noBreakHyphen/>
        <w:t xml:space="preserve">government organisations (NGOs) on a full-time basis. The program is a formal approach to partnering with the non-government sector to deliver services to people with barriers to accessing the agency through the usual channels. </w:t>
      </w:r>
    </w:p>
    <w:p w14:paraId="3AD16C67" w14:textId="77777777" w:rsidR="00BF0D5E" w:rsidRDefault="00BF0D5E" w:rsidP="00BF0D5E">
      <w:pPr>
        <w:pStyle w:val="BodyText"/>
      </w:pPr>
      <w:r>
        <w:t xml:space="preserve">There were 27 partnerships in 2024–25, across all capital cities and several regional centres. Through these partnerships, the agency gets direct feedback from the community so we can continue our work to reduce service barriers for people with complex needs. </w:t>
      </w:r>
    </w:p>
    <w:p w14:paraId="0F3885EF" w14:textId="77777777" w:rsidR="00BF0D5E" w:rsidRDefault="00BF0D5E" w:rsidP="00BF0D5E">
      <w:pPr>
        <w:pStyle w:val="BodyText"/>
      </w:pPr>
      <w:r>
        <w:rPr>
          <w:spacing w:val="-4"/>
        </w:rPr>
        <w:t>CPSOs collaborate with partner NGOs to deliver wrap-around, in</w:t>
      </w:r>
      <w:r>
        <w:rPr>
          <w:spacing w:val="-4"/>
        </w:rPr>
        <w:noBreakHyphen/>
        <w:t xml:space="preserve">person support for people </w:t>
      </w:r>
      <w:r>
        <w:t>experiencing vulnerability, with a particular focus on homelessness. CPSOs worked closely with their Services Australia colleagues, resulting in 8,169 customer interactions being referred to specialist teams.</w:t>
      </w:r>
    </w:p>
    <w:p w14:paraId="0676E57D" w14:textId="77777777" w:rsidR="00BF0D5E" w:rsidRDefault="00BF0D5E" w:rsidP="00BF0D5E">
      <w:pPr>
        <w:pStyle w:val="BodyText"/>
      </w:pPr>
      <w:r>
        <w:rPr>
          <w:spacing w:val="-1"/>
        </w:rPr>
        <w:t xml:space="preserve">In 2024–25 CPSOs had more than 36,000 customer interactions, with 81% of customers having complex barriers to service access, including homelessness, physical and/or </w:t>
      </w:r>
      <w:r>
        <w:rPr>
          <w:spacing w:val="-2"/>
        </w:rPr>
        <w:t xml:space="preserve">mental health issues or experience of family and domestic violence. Together, CPSOs and partner NGOs address these complex barriers to support people to access our payments </w:t>
      </w:r>
      <w:r>
        <w:t xml:space="preserve">and services as well as other housing, health and social support. </w:t>
      </w:r>
    </w:p>
    <w:p w14:paraId="1A4EA0B6" w14:textId="77777777" w:rsidR="00BF0D5E" w:rsidRDefault="00BF0D5E" w:rsidP="00BF0D5E">
      <w:pPr>
        <w:pStyle w:val="Heading2"/>
      </w:pPr>
      <w:r>
        <w:lastRenderedPageBreak/>
        <w:t>International partnerships</w:t>
      </w:r>
    </w:p>
    <w:p w14:paraId="557837B7" w14:textId="77777777" w:rsidR="00BF0D5E" w:rsidRDefault="00BF0D5E" w:rsidP="00BF0D5E">
      <w:pPr>
        <w:pStyle w:val="BodyText"/>
      </w:pPr>
      <w:r>
        <w:t xml:space="preserve">The agency maintains close working relationships with a range of international entities, including foreign government bodies and overseas pension authorities. We administer formal social security agreements with 32 countries. These agreements outline the shared responsibility for social security coverage and entitlements when people move between the agreement countries. </w:t>
      </w:r>
    </w:p>
    <w:p w14:paraId="7FFE39E6" w14:textId="77777777" w:rsidR="00BF0D5E" w:rsidRDefault="00BF0D5E" w:rsidP="00BF0D5E">
      <w:pPr>
        <w:pStyle w:val="BodyText"/>
      </w:pPr>
      <w:r>
        <w:t>As at 30 June 2025, approximately 75,550 people received an Australian pension under an international agreement.</w:t>
      </w:r>
    </w:p>
    <w:tbl>
      <w:tblPr>
        <w:tblStyle w:val="TableGrid"/>
        <w:tblW w:w="5000" w:type="pct"/>
        <w:tblLook w:val="04A0" w:firstRow="1" w:lastRow="0" w:firstColumn="1" w:lastColumn="0" w:noHBand="0" w:noVBand="1"/>
        <w:tblCaption w:val="Case study – One-stop-shop for government services opens in Sorell"/>
      </w:tblPr>
      <w:tblGrid>
        <w:gridCol w:w="11096"/>
      </w:tblGrid>
      <w:tr w:rsidR="00BF0D5E" w14:paraId="531B0287" w14:textId="77777777" w:rsidTr="006A0585">
        <w:tc>
          <w:tcPr>
            <w:tcW w:w="5000" w:type="pct"/>
          </w:tcPr>
          <w:p w14:paraId="7DFF5C69" w14:textId="2552CE6F" w:rsidR="00BF0D5E" w:rsidRPr="00BF0D5E" w:rsidRDefault="00BF0D5E" w:rsidP="00BF0D5E">
            <w:pPr>
              <w:pStyle w:val="Heading2"/>
              <w:rPr>
                <w:lang w:val="en-GB"/>
              </w:rPr>
            </w:pPr>
            <w:r>
              <w:rPr>
                <w:lang w:val="en-GB"/>
              </w:rPr>
              <w:lastRenderedPageBreak/>
              <w:t xml:space="preserve">Case study – </w:t>
            </w:r>
            <w:r w:rsidRPr="00BF0D5E">
              <w:rPr>
                <w:lang w:val="en-GB"/>
              </w:rPr>
              <w:t>One-stop-shop for government services opens in Sorell</w:t>
            </w:r>
          </w:p>
          <w:p w14:paraId="48891C35" w14:textId="77777777" w:rsidR="00BF0D5E" w:rsidRPr="00BF0D5E" w:rsidRDefault="00BF0D5E" w:rsidP="00BF0D5E">
            <w:pPr>
              <w:pStyle w:val="BodyText"/>
              <w:rPr>
                <w:lang w:val="en-GB"/>
              </w:rPr>
            </w:pPr>
            <w:r w:rsidRPr="00BF0D5E">
              <w:rPr>
                <w:lang w:val="en-GB"/>
              </w:rPr>
              <w:t>We’ve made it easier for the people of one of Tasmania’s fastest-growing towns to access government services all under one roof.</w:t>
            </w:r>
          </w:p>
          <w:p w14:paraId="4F0C0507" w14:textId="77777777" w:rsidR="00BF0D5E" w:rsidRPr="00BF0D5E" w:rsidRDefault="00BF0D5E" w:rsidP="00BF0D5E">
            <w:pPr>
              <w:pStyle w:val="BodyText"/>
              <w:rPr>
                <w:lang w:val="en-GB"/>
              </w:rPr>
            </w:pPr>
            <w:r w:rsidRPr="00BF0D5E">
              <w:rPr>
                <w:lang w:val="en-GB"/>
              </w:rPr>
              <w:t>The doors of the new Sorell Service Centre opened in November 2024 offering customers face to face services from Services Australia as well as from Service Tasmania.</w:t>
            </w:r>
          </w:p>
          <w:p w14:paraId="1B29CD57" w14:textId="77777777" w:rsidR="00BF0D5E" w:rsidRPr="00BF0D5E" w:rsidRDefault="00BF0D5E" w:rsidP="00BF0D5E">
            <w:pPr>
              <w:pStyle w:val="BodyText"/>
              <w:rPr>
                <w:lang w:val="en-GB"/>
              </w:rPr>
            </w:pPr>
            <w:r w:rsidRPr="00BF0D5E">
              <w:rPr>
                <w:lang w:val="en-GB"/>
              </w:rPr>
              <w:t>That means people can get face to face help with their Medicare or Centrelink payments and services, and renew their driver licence or register their vehicle, all in the same building.</w:t>
            </w:r>
          </w:p>
          <w:p w14:paraId="2DB73662" w14:textId="77777777" w:rsidR="00BF0D5E" w:rsidRPr="00BF0D5E" w:rsidRDefault="00BF0D5E" w:rsidP="00BF0D5E">
            <w:pPr>
              <w:pStyle w:val="BodyText"/>
              <w:rPr>
                <w:lang w:val="en-GB"/>
              </w:rPr>
            </w:pPr>
            <w:r w:rsidRPr="00BF0D5E">
              <w:rPr>
                <w:lang w:val="en-GB"/>
              </w:rPr>
              <w:t>We know how important it is to make face to face government services available to Australians, particularly those who live in regional and rural areas.</w:t>
            </w:r>
          </w:p>
          <w:p w14:paraId="68AE14C8" w14:textId="77777777" w:rsidR="00BF0D5E" w:rsidRPr="00BF0D5E" w:rsidRDefault="00BF0D5E" w:rsidP="00BF0D5E">
            <w:pPr>
              <w:pStyle w:val="BodyText"/>
              <w:rPr>
                <w:lang w:val="en-GB"/>
              </w:rPr>
            </w:pPr>
            <w:r w:rsidRPr="00BF0D5E">
              <w:rPr>
                <w:lang w:val="en-GB"/>
              </w:rPr>
              <w:t>Sorell is one of 3 co-located service centres with Service Tasmania and it’s one of more than 100 co-location sites the agency has with key Commonwealth and state partners and not-for-profit organisations across Australia.</w:t>
            </w:r>
          </w:p>
          <w:p w14:paraId="79602BEC" w14:textId="77777777" w:rsidR="00BF0D5E" w:rsidRPr="00BF0D5E" w:rsidRDefault="00BF0D5E" w:rsidP="00BF0D5E">
            <w:pPr>
              <w:pStyle w:val="BodyText"/>
              <w:rPr>
                <w:lang w:val="en-GB"/>
              </w:rPr>
            </w:pPr>
            <w:r w:rsidRPr="00BF0D5E">
              <w:rPr>
                <w:lang w:val="en-GB"/>
              </w:rPr>
              <w:t>For the more than 20,000 residents of Sorell and the Tasman Peninsula, it means they only need to visit one location to carry out a number of different tasks.</w:t>
            </w:r>
          </w:p>
          <w:p w14:paraId="7981F2D1" w14:textId="77777777" w:rsidR="00BF0D5E" w:rsidRPr="00BF0D5E" w:rsidRDefault="00BF0D5E" w:rsidP="00BF0D5E">
            <w:pPr>
              <w:pStyle w:val="BodyText"/>
              <w:rPr>
                <w:lang w:val="en-GB"/>
              </w:rPr>
            </w:pPr>
            <w:r w:rsidRPr="00BF0D5E">
              <w:rPr>
                <w:lang w:val="en-GB"/>
              </w:rPr>
              <w:t>Previously, Sorell residents needed to travel more than 20 km to Rosny to access a Services Australia service centre.</w:t>
            </w:r>
          </w:p>
          <w:p w14:paraId="094D4652" w14:textId="77777777" w:rsidR="00BF0D5E" w:rsidRPr="00BF0D5E" w:rsidRDefault="00BF0D5E" w:rsidP="00BF0D5E">
            <w:pPr>
              <w:pStyle w:val="BodyText"/>
              <w:rPr>
                <w:lang w:val="en-GB"/>
              </w:rPr>
            </w:pPr>
            <w:r w:rsidRPr="00BF0D5E">
              <w:rPr>
                <w:lang w:val="en-GB"/>
              </w:rPr>
              <w:t>The new service centre also brings full face to face Australian Government services much closer to residents of the Tasman Peninsula.</w:t>
            </w:r>
          </w:p>
          <w:p w14:paraId="748F7E25" w14:textId="77777777" w:rsidR="00BF0D5E" w:rsidRPr="00BF0D5E" w:rsidRDefault="00BF0D5E" w:rsidP="00BF0D5E">
            <w:pPr>
              <w:pStyle w:val="BodyText"/>
              <w:rPr>
                <w:lang w:val="en-GB"/>
              </w:rPr>
            </w:pPr>
            <w:r w:rsidRPr="00BF0D5E">
              <w:rPr>
                <w:lang w:val="en-GB"/>
              </w:rPr>
              <w:t>The contemporary setting is welcoming and offers customers an integrated service environment by providing a single check-in process and waiting area and shared self-service facilities.</w:t>
            </w:r>
          </w:p>
          <w:p w14:paraId="3FE740C9" w14:textId="77777777" w:rsidR="00BF0D5E" w:rsidRPr="00BF0D5E" w:rsidRDefault="00BF0D5E" w:rsidP="00BF0D5E">
            <w:pPr>
              <w:pStyle w:val="BodyText"/>
              <w:rPr>
                <w:lang w:val="en-GB"/>
              </w:rPr>
            </w:pPr>
            <w:r w:rsidRPr="00BF0D5E">
              <w:rPr>
                <w:lang w:val="en-GB"/>
              </w:rPr>
              <w:t>Digital coaching is available for customers looking for help accessing their myGov and online accounts.</w:t>
            </w:r>
          </w:p>
          <w:p w14:paraId="25AD35DD" w14:textId="77777777" w:rsidR="00BF0D5E" w:rsidRPr="00BF0D5E" w:rsidRDefault="00BF0D5E" w:rsidP="00BF0D5E">
            <w:pPr>
              <w:pStyle w:val="BodyText"/>
              <w:rPr>
                <w:lang w:val="en-GB"/>
              </w:rPr>
            </w:pPr>
            <w:r w:rsidRPr="00BF0D5E">
              <w:rPr>
                <w:lang w:val="en-GB"/>
              </w:rPr>
              <w:t>We continue to modernise and improve face to face services to ensure they meet customer needs and expectations. Providing greater access to all government services benefits the local community.</w:t>
            </w:r>
          </w:p>
          <w:p w14:paraId="33CCCE81" w14:textId="00F826C5" w:rsidR="00BF0D5E" w:rsidRDefault="00BF0D5E" w:rsidP="00BF0D5E">
            <w:pPr>
              <w:pStyle w:val="BodyText"/>
            </w:pPr>
            <w:r w:rsidRPr="00BF0D5E">
              <w:rPr>
                <w:lang w:val="en-GB"/>
              </w:rPr>
              <w:t>The Sorell and Tasman Peninsula community is growing, so it’s vital that this service centre continues to service the needs of the community today and into the future.</w:t>
            </w:r>
          </w:p>
        </w:tc>
      </w:tr>
    </w:tbl>
    <w:p w14:paraId="57002543" w14:textId="65419B17" w:rsidR="00BF0D5E" w:rsidRDefault="00BF0D5E" w:rsidP="00BF0D5E">
      <w:pPr>
        <w:pStyle w:val="Heading1"/>
      </w:pPr>
      <w:bookmarkStart w:id="25" w:name="_Toc210815404"/>
      <w:r>
        <w:t>Part 6 – Compliance and business integrity</w:t>
      </w:r>
      <w:bookmarkEnd w:id="25"/>
    </w:p>
    <w:p w14:paraId="30A690AE" w14:textId="77777777" w:rsidR="00BF0D5E" w:rsidRDefault="00BF0D5E" w:rsidP="00BF0D5E">
      <w:pPr>
        <w:pStyle w:val="Heading1"/>
      </w:pPr>
      <w:bookmarkStart w:id="26" w:name="_Toc210815405"/>
      <w:r>
        <w:t>6.1 Fraud control and compliance</w:t>
      </w:r>
      <w:bookmarkEnd w:id="26"/>
      <w:r>
        <w:t xml:space="preserve"> </w:t>
      </w:r>
    </w:p>
    <w:p w14:paraId="01093DCE" w14:textId="77777777" w:rsidR="00BF0D5E" w:rsidRDefault="00BF0D5E" w:rsidP="00BF0D5E">
      <w:pPr>
        <w:pStyle w:val="BodyText"/>
      </w:pPr>
      <w:r>
        <w:t xml:space="preserve">Services Australia implements measures to prevent, detect and </w:t>
      </w:r>
      <w:r>
        <w:rPr>
          <w:spacing w:val="-4"/>
        </w:rPr>
        <w:t xml:space="preserve">respond to fraud and corruption. We manage fraud and corruption </w:t>
      </w:r>
      <w:r>
        <w:t xml:space="preserve">in accordance with the PGPA Rule and the Commonwealth Fraud and Corruption Control Framework, and our obligations under the </w:t>
      </w:r>
      <w:r>
        <w:rPr>
          <w:rStyle w:val="Italic"/>
        </w:rPr>
        <w:t>National Anti-Corruption Commission Act 2022</w:t>
      </w:r>
      <w:r>
        <w:t xml:space="preserve">. </w:t>
      </w:r>
    </w:p>
    <w:p w14:paraId="5A94AC1A" w14:textId="77777777" w:rsidR="00BF0D5E" w:rsidRDefault="00BF0D5E" w:rsidP="00BF0D5E">
      <w:pPr>
        <w:pStyle w:val="BodyText"/>
      </w:pPr>
      <w:r>
        <w:t>We are dedicated to creating a culture that values integrity. We actively promote, recognise and uphold honesty in our people, processes, procedures and systems. This effort ensures we meet the expectations and support the priorities of the APS.</w:t>
      </w:r>
    </w:p>
    <w:p w14:paraId="149B37FE" w14:textId="77777777" w:rsidR="00BF0D5E" w:rsidRDefault="00BF0D5E" w:rsidP="00BF0D5E">
      <w:pPr>
        <w:pStyle w:val="BodyText"/>
      </w:pPr>
      <w:r>
        <w:lastRenderedPageBreak/>
        <w:t xml:space="preserve">Our Fraud and Corruption Control Plan 2025–2026, published in January 2025, outlines how we combat fraud and corruption risks and instil a pro-integrity culture across our agency. This is the first time we have published an external version of the plan, contributing to our commitment to building public trust through transparency. </w:t>
      </w:r>
    </w:p>
    <w:p w14:paraId="21BFC259" w14:textId="77777777" w:rsidR="00BF0D5E" w:rsidRDefault="00BF0D5E" w:rsidP="00BF0D5E">
      <w:pPr>
        <w:pStyle w:val="BodyText"/>
      </w:pPr>
      <w:r>
        <w:t>We continue to regularly review our enterprise fraud and corruption risks, helping risk owners to integrate upfront controls and enhance mechanisms, when necessary, as an important part of our prevention approach.</w:t>
      </w:r>
    </w:p>
    <w:p w14:paraId="548F9737" w14:textId="77777777" w:rsidR="00BF0D5E" w:rsidRDefault="00BF0D5E" w:rsidP="00BF0D5E">
      <w:pPr>
        <w:pStyle w:val="BodyText"/>
      </w:pPr>
      <w:r>
        <w:t>Our governance framework and reporting systems give oversight and facilitate the management of fraud and corruption risks.</w:t>
      </w:r>
    </w:p>
    <w:p w14:paraId="2280FF16" w14:textId="1D099002" w:rsidR="00BF0D5E" w:rsidRDefault="00BF0D5E" w:rsidP="00BF0D5E">
      <w:pPr>
        <w:pStyle w:val="Heading1"/>
        <w:tabs>
          <w:tab w:val="left" w:pos="652"/>
        </w:tabs>
      </w:pPr>
      <w:bookmarkStart w:id="27" w:name="_Toc210815406"/>
      <w:r>
        <w:t>6.2</w:t>
      </w:r>
      <w:r>
        <w:tab/>
        <w:t>Fraud and corruption prevention, detection and response</w:t>
      </w:r>
      <w:bookmarkEnd w:id="27"/>
      <w:r>
        <w:t xml:space="preserve"> </w:t>
      </w:r>
    </w:p>
    <w:p w14:paraId="49C6AB29" w14:textId="77777777" w:rsidR="00BF0D5E" w:rsidRDefault="00BF0D5E" w:rsidP="00BF0D5E">
      <w:pPr>
        <w:pStyle w:val="BodyText"/>
        <w:spacing w:after="57"/>
      </w:pPr>
      <w:r>
        <w:t xml:space="preserve">In 2024–25 we delivered tailored, targeted messaging and training to maintain a culture of integrity and to ensure staff understand the important role they have in fraud and corruption control and in protecting our customers from fraud. Our activities in 2024–25 included: </w:t>
      </w:r>
    </w:p>
    <w:p w14:paraId="65A11843" w14:textId="77777777" w:rsidR="00BF0D5E" w:rsidRDefault="00BF0D5E" w:rsidP="00BF0D5E">
      <w:pPr>
        <w:pStyle w:val="ListBullet"/>
      </w:pPr>
      <w:r>
        <w:t>a range of staff integrity awareness initiatives informed by research and staff insights that focused on behaviour and doing the right thing</w:t>
      </w:r>
    </w:p>
    <w:p w14:paraId="702CB068" w14:textId="77777777" w:rsidR="00BF0D5E" w:rsidRDefault="00BF0D5E" w:rsidP="00BF0D5E">
      <w:pPr>
        <w:pStyle w:val="ListBullet"/>
      </w:pPr>
      <w:r>
        <w:t>an agency-wide integrity survey to measure the agency’s integrity culture and inform future initiatives</w:t>
      </w:r>
    </w:p>
    <w:p w14:paraId="7D787F76" w14:textId="77777777" w:rsidR="00BF0D5E" w:rsidRDefault="00BF0D5E" w:rsidP="00BF0D5E">
      <w:pPr>
        <w:pStyle w:val="ListBullet"/>
      </w:pPr>
      <w:r>
        <w:t>a Fraud Awareness Week program, including roadshow engagement with over 3,000 staff to reinforce staff responsibility to prevent fraud, empower action and build confidence in our fraud prevention capabilities</w:t>
      </w:r>
    </w:p>
    <w:p w14:paraId="12BED179" w14:textId="77777777" w:rsidR="00BF0D5E" w:rsidRDefault="00BF0D5E" w:rsidP="00BF0D5E">
      <w:pPr>
        <w:pStyle w:val="ListBullet"/>
      </w:pPr>
      <w:r>
        <w:t>tailored support to specialist and outreach staff working with Indigenous and CALD communities to raise awareness and educate customers at risk of scams and fraud</w:t>
      </w:r>
    </w:p>
    <w:p w14:paraId="3D76CF52" w14:textId="77777777" w:rsidR="00BF0D5E" w:rsidRDefault="00BF0D5E" w:rsidP="00BF0D5E">
      <w:pPr>
        <w:pStyle w:val="ListBullet"/>
      </w:pPr>
      <w:r>
        <w:t>support for frontline staff processing emergency payment claims through fraud awareness communication and training</w:t>
      </w:r>
    </w:p>
    <w:p w14:paraId="11FC57C1" w14:textId="77777777" w:rsidR="00BF0D5E" w:rsidRDefault="00BF0D5E" w:rsidP="00BF0D5E">
      <w:pPr>
        <w:pStyle w:val="ListBullet"/>
      </w:pPr>
      <w:r>
        <w:t>facilitating fraud and corruption induction training to 5,455 new staff and awareness training to an additional 5,143 staff in collaboration with specialist fraud subject matter experts</w:t>
      </w:r>
    </w:p>
    <w:p w14:paraId="18BF4E39" w14:textId="77777777" w:rsidR="00BF0D5E" w:rsidRDefault="00BF0D5E" w:rsidP="00BF0D5E">
      <w:pPr>
        <w:pStyle w:val="ListBullet"/>
      </w:pPr>
      <w:r>
        <w:t>continuing collaboration across government to achieve whole-of-government fraud and corruption control outcomes, including joint investigations with law enforcement agencies to disrupt serious, organised and complex fraud activities and related crimes. This may result in disciplinary, administrative, and civil or criminal prosecutions when appropriate.</w:t>
      </w:r>
    </w:p>
    <w:p w14:paraId="7E28A2A4" w14:textId="77777777" w:rsidR="00BF0D5E" w:rsidRDefault="00BF0D5E" w:rsidP="00BF0D5E">
      <w:pPr>
        <w:pStyle w:val="BodyText"/>
      </w:pPr>
      <w:r>
        <w:t xml:space="preserve">In 2024–25 our </w:t>
      </w:r>
      <w:r w:rsidRPr="00BF0D5E">
        <w:t>effort</w:t>
      </w:r>
      <w:r>
        <w:t xml:space="preserve"> to combat fraud and corruption led to: </w:t>
      </w:r>
    </w:p>
    <w:p w14:paraId="77F467C8" w14:textId="77777777" w:rsidR="00BF0D5E" w:rsidRDefault="00BF0D5E" w:rsidP="00BF0D5E">
      <w:pPr>
        <w:pStyle w:val="ListBullet"/>
      </w:pPr>
      <w:r>
        <w:t>95,300 pre-payment fraud assessments</w:t>
      </w:r>
    </w:p>
    <w:p w14:paraId="763E6DBF" w14:textId="77777777" w:rsidR="00BF0D5E" w:rsidRDefault="00BF0D5E" w:rsidP="00BF0D5E">
      <w:pPr>
        <w:pStyle w:val="ListBullet"/>
      </w:pPr>
      <w:r>
        <w:t xml:space="preserve">459 criminal or administrative investigations completed </w:t>
      </w:r>
    </w:p>
    <w:p w14:paraId="54052F99" w14:textId="77777777" w:rsidR="00BF0D5E" w:rsidRDefault="00BF0D5E" w:rsidP="00BF0D5E">
      <w:pPr>
        <w:pStyle w:val="ListBullet"/>
      </w:pPr>
      <w:r>
        <w:t>504 internal investigations completed</w:t>
      </w:r>
    </w:p>
    <w:p w14:paraId="65FFDA1F" w14:textId="77777777" w:rsidR="00BF0D5E" w:rsidRDefault="00BF0D5E" w:rsidP="00BF0D5E">
      <w:pPr>
        <w:pStyle w:val="ListBullet"/>
      </w:pPr>
      <w:r>
        <w:t>113 referrals to the Commonwealth Director of Public Prosecutions (CDPP), of which 106 were external and 7 internal.</w:t>
      </w:r>
    </w:p>
    <w:p w14:paraId="235FB36D" w14:textId="77777777" w:rsidR="00BF0D5E" w:rsidRDefault="00BF0D5E" w:rsidP="00BF0D5E">
      <w:pPr>
        <w:pStyle w:val="Heading1"/>
      </w:pPr>
      <w:bookmarkStart w:id="28" w:name="_Toc210815407"/>
      <w:r>
        <w:t>6.3 Collaboration across government</w:t>
      </w:r>
      <w:bookmarkEnd w:id="28"/>
    </w:p>
    <w:p w14:paraId="2973201C" w14:textId="77777777" w:rsidR="00BF0D5E" w:rsidRDefault="00BF0D5E" w:rsidP="00BF0D5E">
      <w:pPr>
        <w:pStyle w:val="BodyText"/>
        <w:spacing w:after="57"/>
      </w:pPr>
      <w:r>
        <w:t xml:space="preserve">In 2024–25 we worked with government partners to share information and intelligence, support investigations and operations, and identify and respond to priority and emerging risks. Our collaboration included: </w:t>
      </w:r>
    </w:p>
    <w:p w14:paraId="40A39EE6" w14:textId="77777777" w:rsidR="00BF0D5E" w:rsidRDefault="00BF0D5E" w:rsidP="00BF0D5E">
      <w:pPr>
        <w:pStyle w:val="ListBullet"/>
      </w:pPr>
      <w:r>
        <w:lastRenderedPageBreak/>
        <w:t xml:space="preserve">joint leadership with the NDIA of the Fraud Fusion Taskforce (FFT) – a multi-agency partnership working to disrupt fraud and criminal activity, including serious and organised crime and the use of digital technology and scams to compromise customer identities and personal information. </w:t>
      </w:r>
    </w:p>
    <w:p w14:paraId="6013B764" w14:textId="77777777" w:rsidR="00BF0D5E" w:rsidRDefault="00BF0D5E" w:rsidP="00BF0D5E">
      <w:pPr>
        <w:pStyle w:val="ListBullet2"/>
      </w:pPr>
      <w:r>
        <w:t xml:space="preserve">Participation in the FFT has advanced our expertise and capability to respond to threats and minimise harm to vulnerable customers falling victim to identity crime. </w:t>
      </w:r>
    </w:p>
    <w:p w14:paraId="6F6F6F5C" w14:textId="77777777" w:rsidR="00BF0D5E" w:rsidRDefault="00BF0D5E" w:rsidP="00BF0D5E">
      <w:pPr>
        <w:pStyle w:val="ListBullet2"/>
      </w:pPr>
      <w:r>
        <w:t>In 2024–25 this resulted in the completion of 58 agency-led criminal investigations and 12 referrals to the CDPP (the number of criminal investigations and matters referred to the CDPP as part of the FFT are included in the figures under Fraud and corruption prevention, detection and response on page 115).</w:t>
      </w:r>
    </w:p>
    <w:p w14:paraId="21101C2D" w14:textId="77777777" w:rsidR="00BF0D5E" w:rsidRDefault="00BF0D5E" w:rsidP="00BF0D5E">
      <w:pPr>
        <w:pStyle w:val="ListBullet"/>
      </w:pPr>
      <w:r>
        <w:t>partnering with the Australian Federal Police Centre to Counter Child Exploitation and the Family Violence Command Taskforce</w:t>
      </w:r>
    </w:p>
    <w:p w14:paraId="0215B8A7" w14:textId="77777777" w:rsidR="00BF0D5E" w:rsidRDefault="00BF0D5E" w:rsidP="00BF0D5E">
      <w:pPr>
        <w:pStyle w:val="ListBullet"/>
        <w:rPr>
          <w:spacing w:val="-4"/>
        </w:rPr>
      </w:pPr>
      <w:r>
        <w:rPr>
          <w:spacing w:val="-4"/>
        </w:rPr>
        <w:t>sharing intelligence and insights with the Joint Policing Cybercrime Coordination Centre</w:t>
      </w:r>
    </w:p>
    <w:p w14:paraId="16598B07" w14:textId="77777777" w:rsidR="00BF0D5E" w:rsidRDefault="00BF0D5E" w:rsidP="00BF0D5E">
      <w:pPr>
        <w:pStyle w:val="ListBullet"/>
      </w:pPr>
      <w:r>
        <w:t>working with the Commonwealth Fraud Prevention Centre of the Attorney General’s Department to enhance cross-government fraud and corruption capability</w:t>
      </w:r>
    </w:p>
    <w:p w14:paraId="04375368" w14:textId="77777777" w:rsidR="00BF0D5E" w:rsidRDefault="00BF0D5E" w:rsidP="00BF0D5E">
      <w:pPr>
        <w:pStyle w:val="ListBullet"/>
      </w:pPr>
      <w:r>
        <w:t>participating in interdepartmental committees and meetings to strengthen coordinated responses and resilience to fraud and support interagency activity, to make government service delivery easier and more secure</w:t>
      </w:r>
    </w:p>
    <w:p w14:paraId="59876850" w14:textId="77777777" w:rsidR="00BF0D5E" w:rsidRDefault="00BF0D5E" w:rsidP="00BF0D5E">
      <w:pPr>
        <w:pStyle w:val="ListBullet"/>
      </w:pPr>
      <w:r>
        <w:t xml:space="preserve">membership of National Taskforce Morpheus, the Serious Financial Crime Taskforce led by the ATO, Six Countries’ Working Group on Benefit Fraud, the Australian Transaction Reports and Analysis Centre’s Fintel Alliance, and the Shadow Economy Standing Taskforce. </w:t>
      </w:r>
    </w:p>
    <w:p w14:paraId="3AB9B35C" w14:textId="77777777" w:rsidR="00BF0D5E" w:rsidRDefault="00BF0D5E" w:rsidP="00BF0D5E">
      <w:pPr>
        <w:pStyle w:val="BodyText"/>
      </w:pPr>
      <w:r>
        <w:t>We contributed to the whole-of-government approach to fight fraud by sharing incident information with myGov member services and key intelligence partners and strengthening myGov capabilities. In 2024–25 we built phase one of the myGov Incident Response System to centralise myGov fraud data and improved the sharing of analysis to prevent and respond to fraud.</w:t>
      </w:r>
    </w:p>
    <w:p w14:paraId="2652C766" w14:textId="77777777" w:rsidR="00BF0D5E" w:rsidRDefault="00BF0D5E" w:rsidP="00BF0D5E">
      <w:pPr>
        <w:pStyle w:val="Heading1"/>
      </w:pPr>
      <w:bookmarkStart w:id="29" w:name="_Toc210815408"/>
      <w:r>
        <w:t>6.4 Identity management</w:t>
      </w:r>
      <w:bookmarkEnd w:id="29"/>
    </w:p>
    <w:p w14:paraId="50B85578" w14:textId="77777777" w:rsidR="00BF0D5E" w:rsidRDefault="00BF0D5E" w:rsidP="00BF0D5E">
      <w:pPr>
        <w:pStyle w:val="BodyText"/>
      </w:pPr>
      <w:r>
        <w:t xml:space="preserve">Identity management and the security of personal information is critical to protecting </w:t>
      </w:r>
      <w:r>
        <w:rPr>
          <w:spacing w:val="-2"/>
        </w:rPr>
        <w:t xml:space="preserve">customers from harm and combatting fraud. The foundation of our controls is confirming that a person is who they say they are. We employ a range of strategies to check, confirm </w:t>
      </w:r>
      <w:r>
        <w:t xml:space="preserve">and protect the identity of customers who interact with us. We continued to strengthen identity management by ensuring a comprehensive approach to customer identity management that enhances security, accuracy and inclusivity. </w:t>
      </w:r>
    </w:p>
    <w:p w14:paraId="4AB3B186" w14:textId="77777777" w:rsidR="00BF0D5E" w:rsidRDefault="00BF0D5E" w:rsidP="00BF0D5E">
      <w:pPr>
        <w:pStyle w:val="BodyText"/>
        <w:spacing w:after="57"/>
      </w:pPr>
      <w:r>
        <w:t xml:space="preserve">In 2024–25 we: </w:t>
      </w:r>
    </w:p>
    <w:p w14:paraId="6AAE4A6D" w14:textId="77777777" w:rsidR="00BF0D5E" w:rsidRDefault="00BF0D5E" w:rsidP="00BF0D5E">
      <w:pPr>
        <w:pStyle w:val="ListBullet"/>
      </w:pPr>
      <w:r>
        <w:t>confirmed the identities of around 487,000 customers</w:t>
      </w:r>
    </w:p>
    <w:p w14:paraId="3B6A3541" w14:textId="77777777" w:rsidR="00BF0D5E" w:rsidRDefault="00BF0D5E" w:rsidP="00BF0D5E">
      <w:pPr>
        <w:pStyle w:val="ListBullet"/>
      </w:pPr>
      <w:r>
        <w:t>successfully matched over 4.4 million identity documents from customers.</w:t>
      </w:r>
    </w:p>
    <w:p w14:paraId="7489C98A" w14:textId="77777777" w:rsidR="00BF0D5E" w:rsidRDefault="00BF0D5E" w:rsidP="00BF0D5E">
      <w:pPr>
        <w:pStyle w:val="BodyText"/>
      </w:pPr>
      <w:r>
        <w:rPr>
          <w:spacing w:val="-4"/>
        </w:rPr>
        <w:t xml:space="preserve">Around 166,000 customers shared their digital identity with the agency; other organisations </w:t>
      </w:r>
      <w:r>
        <w:t>used the document verification service to verify over 22.9 million Medicare cards and over 259,000 concession cards.</w:t>
      </w:r>
    </w:p>
    <w:p w14:paraId="6505A58C" w14:textId="77777777" w:rsidR="00BF0D5E" w:rsidRDefault="00BF0D5E" w:rsidP="00BF0D5E">
      <w:pPr>
        <w:pStyle w:val="Heading2"/>
        <w:spacing w:after="113"/>
      </w:pPr>
      <w:r>
        <w:lastRenderedPageBreak/>
        <w:t>Keeping identity safe</w:t>
      </w:r>
    </w:p>
    <w:p w14:paraId="24ACD3C9" w14:textId="77777777" w:rsidR="00BF0D5E" w:rsidRDefault="00BF0D5E" w:rsidP="00BF0D5E">
      <w:pPr>
        <w:pStyle w:val="Heading3"/>
      </w:pPr>
      <w:r>
        <w:t xml:space="preserve">Office of the System Administrator for the Australian Government Digital ID System </w:t>
      </w:r>
    </w:p>
    <w:p w14:paraId="15459D64" w14:textId="77777777" w:rsidR="00BF0D5E" w:rsidRDefault="00BF0D5E" w:rsidP="00BF0D5E">
      <w:pPr>
        <w:pStyle w:val="BodyText"/>
      </w:pPr>
      <w:r>
        <w:t xml:space="preserve">In 2024–25 the </w:t>
      </w:r>
      <w:r>
        <w:rPr>
          <w:rStyle w:val="Italic"/>
        </w:rPr>
        <w:t>Digital ID Act 2024</w:t>
      </w:r>
      <w:r>
        <w:t xml:space="preserve"> (the Digital ID Act) came into effect, aiming to provide individuals with secure, convenient, voluntary and inclusive ways to verify their identity for use in online transactions with government and businesses.</w:t>
      </w:r>
    </w:p>
    <w:p w14:paraId="2AB3B0DD" w14:textId="77777777" w:rsidR="00BF0D5E" w:rsidRDefault="00BF0D5E" w:rsidP="00BF0D5E">
      <w:pPr>
        <w:pStyle w:val="BodyText"/>
      </w:pPr>
      <w:r>
        <w:t xml:space="preserve">The Digital ID Act established the Chief Executive Centrelink, within the meaning of the </w:t>
      </w:r>
      <w:r>
        <w:rPr>
          <w:rStyle w:val="Italic"/>
        </w:rPr>
        <w:t>Human Services (Centrelink) Act 1977</w:t>
      </w:r>
      <w:r>
        <w:t xml:space="preserve">, as the System Administrator for the Australian Government Digital ID System (AGDIS). The System Administrator has delegated their powers to officers within the Office of the System Administrator (the OSA) in Services Australia, to carry out functions listed under section 95 of the Digital ID Act. </w:t>
      </w:r>
    </w:p>
    <w:p w14:paraId="4A94D637" w14:textId="77777777" w:rsidR="00BF0D5E" w:rsidRDefault="00BF0D5E" w:rsidP="00BF0D5E">
      <w:pPr>
        <w:pStyle w:val="BodyText"/>
      </w:pPr>
      <w:r>
        <w:t>The OSA played a significant role in overseeing the day-to-day management of the AGDIS, ensuring that it operated in a safe and connected manner across 34 participating relying parties and 2 accredited entities, delivering multiple accredited roles. This included the ability, through purpose-built technology, for the OSA to effectively manage identified instances of potentially fraudulent activity or cybersecurity threats, resulting in 646 cross-system investigations.</w:t>
      </w:r>
    </w:p>
    <w:p w14:paraId="4AEAE435" w14:textId="77777777" w:rsidR="00BF0D5E" w:rsidRDefault="00BF0D5E" w:rsidP="00BF0D5E">
      <w:pPr>
        <w:pStyle w:val="Heading3"/>
      </w:pPr>
      <w:r>
        <w:t>Operation of the Digital ID Exchange</w:t>
      </w:r>
    </w:p>
    <w:p w14:paraId="30419222" w14:textId="77777777" w:rsidR="00BF0D5E" w:rsidRDefault="00BF0D5E" w:rsidP="00BF0D5E">
      <w:pPr>
        <w:pStyle w:val="BodyText"/>
      </w:pPr>
      <w:r>
        <w:t>The Digital ID Exchange is a core component of the AGDIS. The Digital ID Exchange facilitates the sharing of Digital ID information between identity provider services and participating relying parties. Services Australia administers the Digital ID Exchange.</w:t>
      </w:r>
    </w:p>
    <w:p w14:paraId="5E8FE3C3" w14:textId="77777777" w:rsidR="00BF0D5E" w:rsidRDefault="00BF0D5E" w:rsidP="00BF0D5E">
      <w:pPr>
        <w:pStyle w:val="BodyText"/>
      </w:pPr>
      <w:r>
        <w:t xml:space="preserve">In 2024–25 the Digital ID Exchange supported 50 million transactions. The Digital ID Exchange has a service availability target of 99.5% and achieved an actual availability of 99.8%. </w:t>
      </w:r>
    </w:p>
    <w:p w14:paraId="51219FA2" w14:textId="77777777" w:rsidR="00BF0D5E" w:rsidRDefault="00BF0D5E" w:rsidP="00BF0D5E">
      <w:pPr>
        <w:pStyle w:val="BodyText"/>
        <w:rPr>
          <w:spacing w:val="-2"/>
        </w:rPr>
      </w:pPr>
      <w:r>
        <w:rPr>
          <w:spacing w:val="-2"/>
        </w:rPr>
        <w:t xml:space="preserve">There are 34 participating relying parties across federal, state and territory governments. </w:t>
      </w:r>
    </w:p>
    <w:tbl>
      <w:tblPr>
        <w:tblStyle w:val="TableGrid"/>
        <w:tblW w:w="5000" w:type="pct"/>
        <w:tblLook w:val="04A0" w:firstRow="1" w:lastRow="0" w:firstColumn="1" w:lastColumn="0" w:noHBand="0" w:noVBand="1"/>
        <w:tblCaption w:val="Case study – Testing a safer, easier way to share credentials with myGov"/>
      </w:tblPr>
      <w:tblGrid>
        <w:gridCol w:w="11096"/>
      </w:tblGrid>
      <w:tr w:rsidR="00BF0D5E" w14:paraId="48413EA1" w14:textId="77777777" w:rsidTr="006A0585">
        <w:tc>
          <w:tcPr>
            <w:tcW w:w="5000" w:type="pct"/>
          </w:tcPr>
          <w:p w14:paraId="7580150D" w14:textId="77777777" w:rsidR="00BF0D5E" w:rsidRPr="00BF0D5E" w:rsidRDefault="00BF0D5E" w:rsidP="00BF0D5E">
            <w:pPr>
              <w:pStyle w:val="Heading2"/>
              <w:rPr>
                <w:lang w:val="en-GB"/>
              </w:rPr>
            </w:pPr>
            <w:r w:rsidRPr="00BF0D5E">
              <w:lastRenderedPageBreak/>
              <w:t xml:space="preserve">Case study – </w:t>
            </w:r>
            <w:r w:rsidRPr="00BF0D5E">
              <w:rPr>
                <w:lang w:val="en-GB"/>
              </w:rPr>
              <w:t>Testing a safer, easier way to share credentials with myGov</w:t>
            </w:r>
          </w:p>
          <w:p w14:paraId="4DB484CA" w14:textId="77777777" w:rsidR="00BF0D5E" w:rsidRPr="00BF0D5E" w:rsidRDefault="00BF0D5E" w:rsidP="00BF0D5E">
            <w:pPr>
              <w:pStyle w:val="BodyText"/>
              <w:rPr>
                <w:spacing w:val="-2"/>
                <w:lang w:val="en-GB"/>
              </w:rPr>
            </w:pPr>
            <w:r w:rsidRPr="00BF0D5E">
              <w:rPr>
                <w:spacing w:val="-2"/>
                <w:lang w:val="en-GB"/>
              </w:rPr>
              <w:t>Services Australia is exploring ways to streamline identity verification and information sharing across government services and the private sector through the myGov app.</w:t>
            </w:r>
          </w:p>
          <w:p w14:paraId="215716F8" w14:textId="77777777" w:rsidR="00BF0D5E" w:rsidRPr="00BF0D5E" w:rsidRDefault="00BF0D5E" w:rsidP="00BF0D5E">
            <w:pPr>
              <w:pStyle w:val="BodyText"/>
              <w:rPr>
                <w:spacing w:val="-2"/>
                <w:lang w:val="en-GB"/>
              </w:rPr>
            </w:pPr>
            <w:r w:rsidRPr="00BF0D5E">
              <w:rPr>
                <w:spacing w:val="-2"/>
                <w:lang w:val="en-GB"/>
              </w:rPr>
              <w:t>Over the past year, Services Australia has carried out several tests as part of the Trust Exchange proof of concept.</w:t>
            </w:r>
          </w:p>
          <w:p w14:paraId="2518FCEA" w14:textId="77777777" w:rsidR="00BF0D5E" w:rsidRPr="00BF0D5E" w:rsidRDefault="00BF0D5E" w:rsidP="00BF0D5E">
            <w:pPr>
              <w:pStyle w:val="BodyText"/>
              <w:rPr>
                <w:spacing w:val="-2"/>
                <w:lang w:val="en-GB"/>
              </w:rPr>
            </w:pPr>
            <w:r w:rsidRPr="00BF0D5E">
              <w:rPr>
                <w:spacing w:val="-2"/>
                <w:lang w:val="en-GB"/>
              </w:rPr>
              <w:t>The aim was to test how the myGov app could be used to securely store and share users’ information from government-issued identity documents with businesses and private sector services.</w:t>
            </w:r>
          </w:p>
          <w:p w14:paraId="4AAB6829" w14:textId="77777777" w:rsidR="00BF0D5E" w:rsidRPr="00BF0D5E" w:rsidRDefault="00BF0D5E" w:rsidP="00BF0D5E">
            <w:pPr>
              <w:pStyle w:val="BodyText"/>
              <w:rPr>
                <w:spacing w:val="-2"/>
                <w:lang w:val="en-GB"/>
              </w:rPr>
            </w:pPr>
            <w:r w:rsidRPr="00BF0D5E">
              <w:rPr>
                <w:spacing w:val="-2"/>
                <w:lang w:val="en-GB"/>
              </w:rPr>
              <w:t>This would remove the need to share physical forms of identification, like licences, or Medicare cards.</w:t>
            </w:r>
          </w:p>
          <w:p w14:paraId="2CC7CDDA" w14:textId="77777777" w:rsidR="00BF0D5E" w:rsidRPr="00BF0D5E" w:rsidRDefault="00BF0D5E" w:rsidP="00BF0D5E">
            <w:pPr>
              <w:pStyle w:val="BodyText"/>
              <w:rPr>
                <w:spacing w:val="-2"/>
                <w:lang w:val="en-GB"/>
              </w:rPr>
            </w:pPr>
            <w:r w:rsidRPr="00BF0D5E">
              <w:rPr>
                <w:spacing w:val="-2"/>
                <w:lang w:val="en-GB"/>
              </w:rPr>
              <w:t>Instead, users scan a QR code or similar with their mobile device, securely transmitting their verified personal information from their Digital ID and myGov app wallet.</w:t>
            </w:r>
          </w:p>
          <w:p w14:paraId="0830FFB0" w14:textId="77777777" w:rsidR="00BF0D5E" w:rsidRPr="00BF0D5E" w:rsidRDefault="00BF0D5E" w:rsidP="00BF0D5E">
            <w:pPr>
              <w:pStyle w:val="BodyText"/>
              <w:rPr>
                <w:spacing w:val="-2"/>
                <w:lang w:val="en-GB"/>
              </w:rPr>
            </w:pPr>
            <w:r w:rsidRPr="00BF0D5E">
              <w:rPr>
                <w:spacing w:val="-2"/>
                <w:lang w:val="en-GB"/>
              </w:rPr>
              <w:t>Testing with simulated data was carried out with new patients booking appointments at a Brisbane medical centre and new customers opening accounts at a Canberra branch of the Commonwealth Bank of Australia.</w:t>
            </w:r>
          </w:p>
          <w:p w14:paraId="5ACDAE18" w14:textId="77777777" w:rsidR="00BF0D5E" w:rsidRPr="00BF0D5E" w:rsidRDefault="00BF0D5E" w:rsidP="00BF0D5E">
            <w:pPr>
              <w:pStyle w:val="BodyText"/>
              <w:rPr>
                <w:spacing w:val="-2"/>
                <w:lang w:val="en-GB"/>
              </w:rPr>
            </w:pPr>
            <w:r w:rsidRPr="00BF0D5E">
              <w:rPr>
                <w:spacing w:val="-2"/>
                <w:lang w:val="en-GB"/>
              </w:rPr>
              <w:t>Patrons at a licensed venue in Canberra were also part of a test, using their verifiable credentials to prove they were aged over 18, without revealing their exact age, address or other personal details that would be listed on their physical driver’s licence.</w:t>
            </w:r>
          </w:p>
          <w:p w14:paraId="1F9CC08A" w14:textId="77777777" w:rsidR="00BF0D5E" w:rsidRPr="00BF0D5E" w:rsidRDefault="00BF0D5E" w:rsidP="00BF0D5E">
            <w:pPr>
              <w:pStyle w:val="BodyText"/>
              <w:rPr>
                <w:spacing w:val="-2"/>
                <w:lang w:val="en-GB"/>
              </w:rPr>
            </w:pPr>
            <w:r w:rsidRPr="00BF0D5E">
              <w:rPr>
                <w:spacing w:val="-2"/>
                <w:lang w:val="en-GB"/>
              </w:rPr>
              <w:t>The concept aims to give users more control over how their personal data is shared and with whom.</w:t>
            </w:r>
          </w:p>
          <w:p w14:paraId="5B931E3C" w14:textId="77777777" w:rsidR="00BF0D5E" w:rsidRPr="00BF0D5E" w:rsidRDefault="00BF0D5E" w:rsidP="00BF0D5E">
            <w:pPr>
              <w:pStyle w:val="BodyText"/>
              <w:rPr>
                <w:spacing w:val="-2"/>
                <w:lang w:val="en-GB"/>
              </w:rPr>
            </w:pPr>
            <w:r w:rsidRPr="00BF0D5E">
              <w:rPr>
                <w:spacing w:val="-2"/>
                <w:lang w:val="en-GB"/>
              </w:rPr>
              <w:t>Through the tests, we learnt there is a high level of trust in myGov to securely store and manage information, and transparency around use of information being shared and third-party responsibilities is key.</w:t>
            </w:r>
          </w:p>
          <w:p w14:paraId="35FBD52A" w14:textId="77777777" w:rsidR="00BF0D5E" w:rsidRPr="00BF0D5E" w:rsidRDefault="00BF0D5E" w:rsidP="00BF0D5E">
            <w:pPr>
              <w:pStyle w:val="BodyText"/>
              <w:rPr>
                <w:spacing w:val="-2"/>
                <w:lang w:val="en-GB"/>
              </w:rPr>
            </w:pPr>
            <w:r w:rsidRPr="00BF0D5E">
              <w:rPr>
                <w:spacing w:val="-2"/>
                <w:lang w:val="en-GB"/>
              </w:rPr>
              <w:t>Data minimisation is a core principle of the Trust Exchange initiative, meaning third parties can only collect or store the minimum amount of personal information about their customers they need to provide their service.</w:t>
            </w:r>
          </w:p>
          <w:p w14:paraId="192D7F48" w14:textId="77777777" w:rsidR="00BF0D5E" w:rsidRPr="00BF0D5E" w:rsidRDefault="00BF0D5E" w:rsidP="00BF0D5E">
            <w:pPr>
              <w:pStyle w:val="BodyText"/>
              <w:rPr>
                <w:spacing w:val="-2"/>
                <w:lang w:val="en-GB"/>
              </w:rPr>
            </w:pPr>
            <w:r w:rsidRPr="00BF0D5E">
              <w:rPr>
                <w:spacing w:val="-2"/>
                <w:lang w:val="en-GB"/>
              </w:rPr>
              <w:t>This reduces their attractiveness to cyber threats and the harm that can occur in the event of a breach.</w:t>
            </w:r>
          </w:p>
          <w:p w14:paraId="0178AA87" w14:textId="77777777" w:rsidR="00BF0D5E" w:rsidRPr="00BF0D5E" w:rsidRDefault="00BF0D5E" w:rsidP="00BF0D5E">
            <w:pPr>
              <w:pStyle w:val="BodyText"/>
              <w:rPr>
                <w:spacing w:val="-2"/>
                <w:lang w:val="en-GB"/>
              </w:rPr>
            </w:pPr>
            <w:r w:rsidRPr="00BF0D5E">
              <w:rPr>
                <w:spacing w:val="-2"/>
                <w:lang w:val="en-GB"/>
              </w:rPr>
              <w:t>The outcomes from the proof of concept tests show Commonwealth Verifiable Credentials can offer significant time, convenience, and security benefits to users.</w:t>
            </w:r>
          </w:p>
          <w:p w14:paraId="347D5C0D" w14:textId="0D32A775" w:rsidR="00BF0D5E" w:rsidRDefault="00BF0D5E" w:rsidP="00BF0D5E">
            <w:pPr>
              <w:pStyle w:val="BodyText"/>
              <w:rPr>
                <w:spacing w:val="-2"/>
              </w:rPr>
            </w:pPr>
            <w:r w:rsidRPr="00BF0D5E">
              <w:rPr>
                <w:spacing w:val="-2"/>
                <w:lang w:val="en-GB"/>
              </w:rPr>
              <w:t>These outcomes will be considered by the Australian Government to determine the next steps.</w:t>
            </w:r>
          </w:p>
        </w:tc>
      </w:tr>
    </w:tbl>
    <w:p w14:paraId="11F5E3FE" w14:textId="77777777" w:rsidR="00BF0D5E" w:rsidRDefault="00BF0D5E" w:rsidP="00BF0D5E">
      <w:pPr>
        <w:pStyle w:val="BodyText"/>
        <w:spacing w:after="113"/>
      </w:pPr>
      <w:r>
        <w:t xml:space="preserve">Table 42 details the number of services connected to the Digital ID Exchange. </w:t>
      </w:r>
    </w:p>
    <w:p w14:paraId="21384E75" w14:textId="30154533" w:rsidR="00BF0D5E" w:rsidRPr="00BF0D5E" w:rsidRDefault="00BF0D5E" w:rsidP="00BF0D5E">
      <w:pPr>
        <w:pStyle w:val="BodyText"/>
        <w:rPr>
          <w:b/>
          <w:bCs/>
        </w:rPr>
      </w:pPr>
      <w:r w:rsidRPr="00BF0D5E">
        <w:rPr>
          <w:b/>
          <w:bCs/>
        </w:rPr>
        <w:t>Tabe 42: Number of services connected to the Digital ID Exchange as at 30 June 2025</w:t>
      </w:r>
    </w:p>
    <w:tbl>
      <w:tblPr>
        <w:tblStyle w:val="TableGrid"/>
        <w:tblW w:w="5000" w:type="pct"/>
        <w:tblLook w:val="04A0" w:firstRow="1" w:lastRow="0" w:firstColumn="1" w:lastColumn="0" w:noHBand="0" w:noVBand="1"/>
        <w:tblCaption w:val="Number of services connected to the Digital ID Exchange as at 30 June 2025"/>
      </w:tblPr>
      <w:tblGrid>
        <w:gridCol w:w="3981"/>
        <w:gridCol w:w="3049"/>
        <w:gridCol w:w="4066"/>
      </w:tblGrid>
      <w:tr w:rsidR="00BF0D5E" w14:paraId="661CC77E" w14:textId="77777777" w:rsidTr="00BC283A">
        <w:trPr>
          <w:trHeight w:val="396"/>
          <w:tblHeader/>
        </w:trPr>
        <w:tc>
          <w:tcPr>
            <w:tcW w:w="1794" w:type="pct"/>
          </w:tcPr>
          <w:p w14:paraId="0826A76A" w14:textId="77777777" w:rsidR="00BF0D5E" w:rsidRDefault="00BF0D5E" w:rsidP="00682FFF">
            <w:pPr>
              <w:pStyle w:val="NoParagraphStyle"/>
              <w:spacing w:line="240" w:lineRule="auto"/>
              <w:textAlignment w:val="auto"/>
              <w:rPr>
                <w:rFonts w:ascii="Roboto-Medium" w:hAnsi="Roboto-Medium" w:cstheme="minorBidi"/>
                <w:color w:val="auto"/>
                <w:lang w:val="en-AU"/>
              </w:rPr>
            </w:pPr>
          </w:p>
        </w:tc>
        <w:tc>
          <w:tcPr>
            <w:tcW w:w="1374" w:type="pct"/>
          </w:tcPr>
          <w:p w14:paraId="4DF136DE" w14:textId="77777777" w:rsidR="00BF0D5E" w:rsidRPr="00891C1C" w:rsidRDefault="00BF0D5E" w:rsidP="00891C1C">
            <w:pPr>
              <w:pStyle w:val="BodyText"/>
              <w:rPr>
                <w:b/>
                <w:bCs/>
              </w:rPr>
            </w:pPr>
            <w:r w:rsidRPr="00891C1C">
              <w:rPr>
                <w:b/>
                <w:bCs/>
              </w:rPr>
              <w:t>Number of services connected to the Digital ID Exchange</w:t>
            </w:r>
          </w:p>
        </w:tc>
        <w:tc>
          <w:tcPr>
            <w:tcW w:w="1832" w:type="pct"/>
          </w:tcPr>
          <w:p w14:paraId="39D2C6AE" w14:textId="77777777" w:rsidR="00BF0D5E" w:rsidRPr="00891C1C" w:rsidRDefault="00BF0D5E" w:rsidP="00891C1C">
            <w:pPr>
              <w:pStyle w:val="BodyText"/>
              <w:rPr>
                <w:b/>
                <w:bCs/>
              </w:rPr>
            </w:pPr>
            <w:r w:rsidRPr="00891C1C">
              <w:rPr>
                <w:b/>
                <w:bCs/>
              </w:rPr>
              <w:t>Number of services connected with the Digital ID Exchange via a broker</w:t>
            </w:r>
          </w:p>
        </w:tc>
      </w:tr>
      <w:tr w:rsidR="00BF0D5E" w14:paraId="7829CC00" w14:textId="77777777" w:rsidTr="006A0585">
        <w:trPr>
          <w:trHeight w:val="396"/>
        </w:trPr>
        <w:tc>
          <w:tcPr>
            <w:tcW w:w="1794" w:type="pct"/>
          </w:tcPr>
          <w:p w14:paraId="791E1525" w14:textId="77777777" w:rsidR="00BF0D5E" w:rsidRDefault="00BF0D5E" w:rsidP="00682FFF">
            <w:pPr>
              <w:pStyle w:val="BodyText"/>
            </w:pPr>
            <w:r>
              <w:t>Australian Government relying parties</w:t>
            </w:r>
          </w:p>
        </w:tc>
        <w:tc>
          <w:tcPr>
            <w:tcW w:w="1374" w:type="pct"/>
          </w:tcPr>
          <w:p w14:paraId="121E2D9F" w14:textId="77777777" w:rsidR="00BF0D5E" w:rsidRDefault="00BF0D5E" w:rsidP="00682FFF">
            <w:pPr>
              <w:pStyle w:val="BodyText"/>
              <w:jc w:val="right"/>
            </w:pPr>
            <w:r>
              <w:t xml:space="preserve">26 </w:t>
            </w:r>
          </w:p>
        </w:tc>
        <w:tc>
          <w:tcPr>
            <w:tcW w:w="1832" w:type="pct"/>
          </w:tcPr>
          <w:p w14:paraId="2AC8E5EF" w14:textId="77777777" w:rsidR="00BF0D5E" w:rsidRDefault="00BF0D5E" w:rsidP="00682FFF">
            <w:pPr>
              <w:pStyle w:val="BodyText"/>
              <w:jc w:val="right"/>
            </w:pPr>
            <w:r>
              <w:t xml:space="preserve">136 </w:t>
            </w:r>
          </w:p>
        </w:tc>
      </w:tr>
      <w:tr w:rsidR="00BF0D5E" w14:paraId="511B8021" w14:textId="77777777" w:rsidTr="006A0585">
        <w:trPr>
          <w:trHeight w:val="396"/>
        </w:trPr>
        <w:tc>
          <w:tcPr>
            <w:tcW w:w="1794" w:type="pct"/>
          </w:tcPr>
          <w:p w14:paraId="76841575" w14:textId="77777777" w:rsidR="00BF0D5E" w:rsidRDefault="00BF0D5E" w:rsidP="00682FFF">
            <w:pPr>
              <w:pStyle w:val="BodyText"/>
            </w:pPr>
            <w:r>
              <w:lastRenderedPageBreak/>
              <w:t>State and territory relying parties</w:t>
            </w:r>
          </w:p>
        </w:tc>
        <w:tc>
          <w:tcPr>
            <w:tcW w:w="1374" w:type="pct"/>
          </w:tcPr>
          <w:p w14:paraId="44381447" w14:textId="77777777" w:rsidR="00BF0D5E" w:rsidRDefault="00BF0D5E" w:rsidP="00682FFF">
            <w:pPr>
              <w:pStyle w:val="BodyText"/>
              <w:jc w:val="right"/>
            </w:pPr>
            <w:r>
              <w:t xml:space="preserve">9 </w:t>
            </w:r>
          </w:p>
        </w:tc>
        <w:tc>
          <w:tcPr>
            <w:tcW w:w="1832" w:type="pct"/>
          </w:tcPr>
          <w:p w14:paraId="366EBB7D" w14:textId="77777777" w:rsidR="00BF0D5E" w:rsidRDefault="00BF0D5E" w:rsidP="00682FFF">
            <w:pPr>
              <w:pStyle w:val="BodyText"/>
              <w:jc w:val="right"/>
            </w:pPr>
            <w:r>
              <w:t xml:space="preserve">94 </w:t>
            </w:r>
          </w:p>
        </w:tc>
      </w:tr>
    </w:tbl>
    <w:p w14:paraId="0FB1E324" w14:textId="77777777" w:rsidR="00BF0D5E" w:rsidRDefault="00BF0D5E" w:rsidP="00BF0D5E">
      <w:pPr>
        <w:pStyle w:val="BodyText"/>
      </w:pPr>
      <w:r>
        <w:t>In partnership with the ATO, the agency supported the ATO’s Relationship Access Management (RAM) system to connect to the Digital ID Exchange in March 2025, making it formally part of the AGDIS and aligning the RAM service to the government’s Digital ID Strategy. Accredited systems (such as myID, myGov and the Digital ID Exchange) are required to achieve and maintain compliance with the Digital ID Act and the supporting Accreditation Rules and Data Standards. The Digital ID Exchange will have compliance assessed annually from April 2026.</w:t>
      </w:r>
    </w:p>
    <w:p w14:paraId="366395B3" w14:textId="77777777" w:rsidR="00BF0D5E" w:rsidRDefault="00BF0D5E" w:rsidP="00BF0D5E">
      <w:pPr>
        <w:pStyle w:val="Heading4"/>
      </w:pPr>
      <w:r>
        <w:t>Trust Exchange proof of concept</w:t>
      </w:r>
    </w:p>
    <w:p w14:paraId="2572C1A8" w14:textId="77777777" w:rsidR="00BF0D5E" w:rsidRDefault="00BF0D5E" w:rsidP="00BF0D5E">
      <w:pPr>
        <w:pStyle w:val="BodyText"/>
        <w:spacing w:after="57"/>
      </w:pPr>
      <w:r>
        <w:t>The agency worked with the Department of Finance (DoF) and the ATO to deliver a proof of concept to demonstrate how the Australian Government Digital ID Exchange could support verifiable credentials. This work showed how a government-issued credential could be:</w:t>
      </w:r>
    </w:p>
    <w:p w14:paraId="3E7C0467" w14:textId="77777777" w:rsidR="00BF0D5E" w:rsidRDefault="00BF0D5E" w:rsidP="00BF0D5E">
      <w:pPr>
        <w:pStyle w:val="ListBullet"/>
      </w:pPr>
      <w:r>
        <w:t>bound to a myID digital ID</w:t>
      </w:r>
    </w:p>
    <w:p w14:paraId="36C1AA00" w14:textId="77777777" w:rsidR="00BF0D5E" w:rsidRDefault="00BF0D5E" w:rsidP="00BF0D5E">
      <w:pPr>
        <w:pStyle w:val="ListBullet"/>
      </w:pPr>
      <w:r>
        <w:t xml:space="preserve">issued to a digital wallet </w:t>
      </w:r>
    </w:p>
    <w:p w14:paraId="3EA39FE3" w14:textId="77777777" w:rsidR="00BF0D5E" w:rsidRDefault="00BF0D5E" w:rsidP="00BF0D5E">
      <w:pPr>
        <w:pStyle w:val="ListBullet"/>
      </w:pPr>
      <w:r>
        <w:t>verified through a trusted service.</w:t>
      </w:r>
    </w:p>
    <w:p w14:paraId="263991CC" w14:textId="77777777" w:rsidR="00BF0D5E" w:rsidRDefault="00BF0D5E" w:rsidP="00BF0D5E">
      <w:pPr>
        <w:pStyle w:val="BodyText"/>
        <w:spacing w:after="57"/>
      </w:pPr>
      <w:r>
        <w:t>We tested use cases of end-to-end experiences for:</w:t>
      </w:r>
    </w:p>
    <w:p w14:paraId="099AF9C8" w14:textId="77777777" w:rsidR="00BF0D5E" w:rsidRDefault="00BF0D5E" w:rsidP="00BF0D5E">
      <w:pPr>
        <w:pStyle w:val="ListBullet"/>
      </w:pPr>
      <w:r>
        <w:t>registering a new patient at a medical practice by sharing a verifiable credential of a user’s Medicare card, concession card and veteran card</w:t>
      </w:r>
    </w:p>
    <w:p w14:paraId="196D29C0" w14:textId="77777777" w:rsidR="00BF0D5E" w:rsidRDefault="00BF0D5E" w:rsidP="00BF0D5E">
      <w:pPr>
        <w:pStyle w:val="ListBullet"/>
      </w:pPr>
      <w:r>
        <w:t>proof of age, to verify the user is over 18 to enter a licenced venue using a verifiable credential (derived from the date of birth on an Immicard, a document Home Affairs issues to certain visa holders)</w:t>
      </w:r>
    </w:p>
    <w:p w14:paraId="0BE77828" w14:textId="77777777" w:rsidR="00BF0D5E" w:rsidRDefault="00BF0D5E" w:rsidP="00BF0D5E">
      <w:pPr>
        <w:pStyle w:val="ListBullet"/>
      </w:pPr>
      <w:r>
        <w:t>registering as a new customer at a bank by sharing a verifiable credential of the Medicare card.</w:t>
      </w:r>
    </w:p>
    <w:p w14:paraId="49F93BFF" w14:textId="77777777" w:rsidR="00BF0D5E" w:rsidRDefault="00BF0D5E" w:rsidP="00BF0D5E">
      <w:pPr>
        <w:pStyle w:val="BodyText"/>
        <w:spacing w:after="57"/>
      </w:pPr>
      <w:r>
        <w:t xml:space="preserve">We engaged with stakeholders including: </w:t>
      </w:r>
    </w:p>
    <w:p w14:paraId="797F7894" w14:textId="77777777" w:rsidR="00BF0D5E" w:rsidRDefault="00BF0D5E" w:rsidP="00BF0D5E">
      <w:pPr>
        <w:pStyle w:val="ListBullet"/>
      </w:pPr>
      <w:r>
        <w:t xml:space="preserve">Commonwealth agencies, through the Digital Leadership Group and Verifiable Credentials Working Group </w:t>
      </w:r>
    </w:p>
    <w:p w14:paraId="2A41C8E4" w14:textId="77777777" w:rsidR="00BF0D5E" w:rsidRDefault="00BF0D5E" w:rsidP="00BF0D5E">
      <w:pPr>
        <w:pStyle w:val="ListBullet"/>
      </w:pPr>
      <w:r>
        <w:t xml:space="preserve">the Commonwealth Bank of Australia, which is supporting one of the Trust Exchange proof of concept tests in understanding how verifiable credentials could be used to set up a new bank account </w:t>
      </w:r>
    </w:p>
    <w:p w14:paraId="38C4A7DF" w14:textId="77777777" w:rsidR="00BF0D5E" w:rsidRDefault="00BF0D5E" w:rsidP="00BF0D5E">
      <w:pPr>
        <w:pStyle w:val="ListBullet"/>
      </w:pPr>
      <w:r>
        <w:t xml:space="preserve">civil society groups, through workshops with the Services Australia CSAG, NMAG, SCG, Disability Peak Bodies Forum and the NIC. </w:t>
      </w:r>
    </w:p>
    <w:p w14:paraId="6B68F611" w14:textId="77777777" w:rsidR="00BF0D5E" w:rsidRDefault="00BF0D5E" w:rsidP="00BF0D5E">
      <w:pPr>
        <w:pStyle w:val="BodyText"/>
      </w:pPr>
      <w:r>
        <w:t xml:space="preserve">We worked closely with the DoF, as the policy lead for the Digital ID, and the ATO, as the operator of the myID identity provider. </w:t>
      </w:r>
    </w:p>
    <w:p w14:paraId="34B4E522" w14:textId="77777777" w:rsidR="00BF0D5E" w:rsidRDefault="00BF0D5E" w:rsidP="00BF0D5E">
      <w:pPr>
        <w:pStyle w:val="Heading3"/>
      </w:pPr>
      <w:r>
        <w:t xml:space="preserve">Third party compromise events </w:t>
      </w:r>
    </w:p>
    <w:p w14:paraId="1AC7260A" w14:textId="77777777" w:rsidR="00BF0D5E" w:rsidRDefault="00BF0D5E" w:rsidP="00BF0D5E">
      <w:pPr>
        <w:pStyle w:val="BodyText"/>
      </w:pPr>
      <w:r>
        <w:t xml:space="preserve">The agency has established procedures to respond to third party compromise events. We support the Home Affairs’ National Office of Cyber Security for events of national significance. Where appropriate, we apply security measures to our affected customer records to increase security and reduce the risk of future misuse. </w:t>
      </w:r>
    </w:p>
    <w:p w14:paraId="650B1B8E" w14:textId="77777777" w:rsidR="00BF0D5E" w:rsidRDefault="00BF0D5E" w:rsidP="00BF0D5E">
      <w:pPr>
        <w:pStyle w:val="BodyText"/>
      </w:pPr>
      <w:r>
        <w:lastRenderedPageBreak/>
        <w:t xml:space="preserve">We give information to customers about steps they can take to protect their personal information. This service is publicly available on our website or by calling our Scams and Identity Theft Helpdesk on </w:t>
      </w:r>
      <w:r>
        <w:rPr>
          <w:rStyle w:val="Bold"/>
        </w:rPr>
        <w:t>1800 941 126</w:t>
      </w:r>
      <w:r>
        <w:t xml:space="preserve">. </w:t>
      </w:r>
    </w:p>
    <w:p w14:paraId="762D1330" w14:textId="77777777" w:rsidR="00BF0D5E" w:rsidRDefault="00BF0D5E" w:rsidP="00BF0D5E">
      <w:pPr>
        <w:pStyle w:val="Heading3"/>
      </w:pPr>
      <w:r>
        <w:t>Scams and identity theft</w:t>
      </w:r>
    </w:p>
    <w:p w14:paraId="3A461B43" w14:textId="77777777" w:rsidR="00BF0D5E" w:rsidRDefault="00BF0D5E" w:rsidP="00BF0D5E">
      <w:pPr>
        <w:pStyle w:val="BodyText"/>
      </w:pPr>
      <w:r>
        <w:t>The agency operates a proactive scams response model, which includes prevention through public education and scam awareness, detecting, analysing and responding to scams, and supporting victims of scams.</w:t>
      </w:r>
    </w:p>
    <w:p w14:paraId="2E90B8E0" w14:textId="77777777" w:rsidR="00BF0D5E" w:rsidRDefault="00BF0D5E" w:rsidP="00BF0D5E">
      <w:pPr>
        <w:pStyle w:val="BodyText"/>
      </w:pPr>
      <w:r>
        <w:t xml:space="preserve">We contribute to a whole-of-government effort to fight scams through our individual activities, and collaboration with the National Anti-Scam Centre and government and law enforcement partners. </w:t>
      </w:r>
    </w:p>
    <w:p w14:paraId="0111338F" w14:textId="77777777" w:rsidR="00BF0D5E" w:rsidRDefault="00BF0D5E" w:rsidP="00BF0D5E">
      <w:pPr>
        <w:pStyle w:val="BodyText"/>
      </w:pPr>
      <w:r>
        <w:t xml:space="preserve">By providing scams awareness communication and information, we support customers to protect their identity. We deliver scams awareness information through social media, online resources and organisations and at community events, including the New South Wales Seniors Festival Expo in Sydney in March 2025. </w:t>
      </w:r>
    </w:p>
    <w:p w14:paraId="0BF3A1AF" w14:textId="77777777" w:rsidR="00BF0D5E" w:rsidRDefault="00BF0D5E" w:rsidP="00BF0D5E">
      <w:pPr>
        <w:pStyle w:val="BodyText"/>
      </w:pPr>
      <w:r>
        <w:t xml:space="preserve">Our Scams and Identity Theft Helpdesk supports customers who are potential victims of scams or identity theft and assesses the risk of compromise to their identity. The helpdesk secures agency records and refers customers to other services such as IDCARE, Australia’s national identity support service, for further support as necessary. </w:t>
      </w:r>
    </w:p>
    <w:p w14:paraId="1C8E7AEA" w14:textId="77777777" w:rsidR="00BF0D5E" w:rsidRDefault="00BF0D5E" w:rsidP="00BF0D5E">
      <w:pPr>
        <w:pStyle w:val="BodyText"/>
      </w:pPr>
      <w:r>
        <w:t xml:space="preserve">In 2024–25 we: </w:t>
      </w:r>
    </w:p>
    <w:p w14:paraId="210E14CD" w14:textId="77777777" w:rsidR="00BF0D5E" w:rsidRDefault="00BF0D5E" w:rsidP="00BF0D5E">
      <w:pPr>
        <w:pStyle w:val="ListBullet"/>
      </w:pPr>
      <w:r>
        <w:t>observed, analysed and responded to 15,149 unique agency impersonation scams, with 76.7% of scams referencing myGov in some way</w:t>
      </w:r>
    </w:p>
    <w:p w14:paraId="3440B7A1" w14:textId="77777777" w:rsidR="00BF0D5E" w:rsidRDefault="00BF0D5E" w:rsidP="00BF0D5E">
      <w:pPr>
        <w:pStyle w:val="ListBullet"/>
      </w:pPr>
      <w:r>
        <w:t>responded to over 30,300 calls to the Scams and Identity Theft Helpdesk.</w:t>
      </w:r>
    </w:p>
    <w:p w14:paraId="4B037F76" w14:textId="77777777" w:rsidR="00BF0D5E" w:rsidRDefault="00BF0D5E" w:rsidP="00BF0D5E">
      <w:pPr>
        <w:pStyle w:val="Heading1"/>
      </w:pPr>
      <w:bookmarkStart w:id="30" w:name="_Toc210815409"/>
      <w:r>
        <w:t>6.5 Tip-offs</w:t>
      </w:r>
      <w:bookmarkEnd w:id="30"/>
    </w:p>
    <w:p w14:paraId="603DA021" w14:textId="77777777" w:rsidR="00BF0D5E" w:rsidRDefault="00BF0D5E" w:rsidP="00BF0D5E">
      <w:pPr>
        <w:pStyle w:val="BodyText"/>
      </w:pPr>
      <w:r>
        <w:t xml:space="preserve">Tip-offs about suspected public health, social security and child support fraud are an essential part of maintaining the integrity of our systems of social support. Specialist staff assess tip-offs and refer them for treatment action where required. </w:t>
      </w:r>
    </w:p>
    <w:p w14:paraId="3734F472" w14:textId="77777777" w:rsidR="00BF0D5E" w:rsidRDefault="00BF0D5E" w:rsidP="00BF0D5E">
      <w:pPr>
        <w:pStyle w:val="BodyText"/>
        <w:spacing w:after="57"/>
      </w:pPr>
      <w:r>
        <w:t xml:space="preserve">People can share tip-off information with us by: </w:t>
      </w:r>
    </w:p>
    <w:p w14:paraId="059286D2" w14:textId="77777777" w:rsidR="00BF0D5E" w:rsidRDefault="00BF0D5E" w:rsidP="00BF0D5E">
      <w:pPr>
        <w:pStyle w:val="ListBullet"/>
      </w:pPr>
      <w:r>
        <w:t>going to the reporting fraud page on the Services Australia website and filling out the online form</w:t>
      </w:r>
    </w:p>
    <w:p w14:paraId="614ACBC0" w14:textId="77777777" w:rsidR="00BF0D5E" w:rsidRDefault="00BF0D5E" w:rsidP="00BF0D5E">
      <w:pPr>
        <w:pStyle w:val="ListBullet"/>
      </w:pPr>
      <w:r>
        <w:t xml:space="preserve">phoning the Australian Government Services Fraud Tip-off Line on </w:t>
      </w:r>
      <w:r>
        <w:rPr>
          <w:rStyle w:val="Bold"/>
        </w:rPr>
        <w:t>131 524</w:t>
      </w:r>
      <w:r>
        <w:t xml:space="preserve">. </w:t>
      </w:r>
    </w:p>
    <w:p w14:paraId="0D777E10" w14:textId="77777777" w:rsidR="00BF0D5E" w:rsidRDefault="00BF0D5E" w:rsidP="00BF0D5E">
      <w:pPr>
        <w:pStyle w:val="BodyText"/>
        <w:spacing w:after="283"/>
      </w:pPr>
      <w:r>
        <w:t>In 2024–25 we received more than 48,930 tip-offs from members of the public and more than 57,960 tip-offs from other sources, including online forms and agency staff.</w:t>
      </w:r>
    </w:p>
    <w:p w14:paraId="3C2BE236" w14:textId="77777777" w:rsidR="00BF0D5E" w:rsidRDefault="00BF0D5E" w:rsidP="00BF0D5E">
      <w:pPr>
        <w:pStyle w:val="Heading1"/>
      </w:pPr>
      <w:bookmarkStart w:id="31" w:name="_Toc210815410"/>
      <w:r>
        <w:t>6.6 Payment accuracy and correctness</w:t>
      </w:r>
      <w:bookmarkEnd w:id="31"/>
    </w:p>
    <w:p w14:paraId="7A920682" w14:textId="77777777" w:rsidR="00BF0D5E" w:rsidRDefault="00BF0D5E" w:rsidP="00BF0D5E">
      <w:pPr>
        <w:pStyle w:val="BodyText"/>
      </w:pPr>
      <w:r>
        <w:t xml:space="preserve">The agency aims to make the right payment at the right rate, to the right customer, from the right date. We focus on helping customers through upfront and ongoing payment in accuracy prevention, education, and early intervention activities. Staff engage proactive conversations that are designed to prompt updates from the customer based on key drivers of payment inaccuracy relevant to their payment type. In 2024–25 more of our customers used STP data to prefill reportable income information (see Single Touch Payroll on page 50). </w:t>
      </w:r>
    </w:p>
    <w:p w14:paraId="4F10A1B6" w14:textId="77777777" w:rsidR="00BF0D5E" w:rsidRDefault="00BF0D5E" w:rsidP="00BF0D5E">
      <w:pPr>
        <w:pStyle w:val="BodyText"/>
      </w:pPr>
      <w:r>
        <w:t xml:space="preserve">The agency sends a range of proactive ‘nudge messages’ via SMS, myGov and letters, to prompt customers to update changes in their circumstances. In 2024–25 we introduced sending messages to </w:t>
      </w:r>
      <w:r>
        <w:lastRenderedPageBreak/>
        <w:t xml:space="preserve">customers to remind them to update their bank account balances if they have not done so in the last 12 months. We also send nudge letters to self-employed customers who have not updated their self-employment information in the last 3 years and are on a part-payment rate. </w:t>
      </w:r>
    </w:p>
    <w:p w14:paraId="4C189FF4" w14:textId="77777777" w:rsidR="00BF0D5E" w:rsidRDefault="00BF0D5E" w:rsidP="00BF0D5E">
      <w:pPr>
        <w:pStyle w:val="BodyText"/>
        <w:spacing w:after="283"/>
      </w:pPr>
      <w:r>
        <w:t xml:space="preserve">These strategies help customers and their nominees to understand their notification obligations and educate them on the impacts on their payments of not reporting changes when they happen. This helps to ensure the customer will continue to get the correct rate of payment. </w:t>
      </w:r>
    </w:p>
    <w:p w14:paraId="67BD2F80" w14:textId="77777777" w:rsidR="00BF0D5E" w:rsidRDefault="00BF0D5E" w:rsidP="00BF0D5E">
      <w:pPr>
        <w:pStyle w:val="Heading1"/>
      </w:pPr>
      <w:bookmarkStart w:id="32" w:name="_Toc210815411"/>
      <w:r>
        <w:t>6.7 Payment accuracy reviews</w:t>
      </w:r>
      <w:bookmarkEnd w:id="32"/>
    </w:p>
    <w:p w14:paraId="5FD435DD" w14:textId="77777777" w:rsidR="00BF0D5E" w:rsidRDefault="00BF0D5E" w:rsidP="00BF0D5E">
      <w:pPr>
        <w:pStyle w:val="BodyText"/>
        <w:rPr>
          <w:spacing w:val="-2"/>
        </w:rPr>
      </w:pPr>
      <w:r>
        <w:t xml:space="preserve">A payment accuracy review is a point-in-time assessment of a customer’s </w:t>
      </w:r>
      <w:r>
        <w:rPr>
          <w:spacing w:val="-2"/>
        </w:rPr>
        <w:t xml:space="preserve">circumstances. The results are used to identify both administrative and customer errors, assess our ability to deliver correct payment outcomes (administrative correctness) and support the DSS in measuring the integrity of government outlays (payment accuracy). </w:t>
      </w:r>
    </w:p>
    <w:p w14:paraId="6B233C7E" w14:textId="77777777" w:rsidR="00BF0D5E" w:rsidRDefault="00BF0D5E" w:rsidP="00BF0D5E">
      <w:pPr>
        <w:pStyle w:val="BodyText"/>
      </w:pPr>
      <w:r>
        <w:t xml:space="preserve">In 2024–25 the agency achieved 99.00% administrative correctness, derived from payment accuracy reviews, against a target of ≥95%. </w:t>
      </w:r>
    </w:p>
    <w:p w14:paraId="16E9A428" w14:textId="77777777" w:rsidR="00BF0D5E" w:rsidRDefault="00BF0D5E" w:rsidP="00BF0D5E">
      <w:pPr>
        <w:pStyle w:val="Heading1"/>
      </w:pPr>
      <w:bookmarkStart w:id="33" w:name="_Toc210815412"/>
      <w:r>
        <w:t>6.8 Payment assurance program</w:t>
      </w:r>
      <w:bookmarkEnd w:id="33"/>
    </w:p>
    <w:p w14:paraId="1C4B5239" w14:textId="77777777" w:rsidR="00BF0D5E" w:rsidRDefault="00BF0D5E" w:rsidP="00BF0D5E">
      <w:pPr>
        <w:pStyle w:val="BodyText"/>
      </w:pPr>
      <w:r>
        <w:t xml:space="preserve">For the accuracy of social security and other payments, we address inconsistencies in information that customers have provided, including sourcing information from other government agencies and third parties as needed. </w:t>
      </w:r>
    </w:p>
    <w:p w14:paraId="109E1752" w14:textId="77777777" w:rsidR="00BF0D5E" w:rsidRDefault="00BF0D5E" w:rsidP="00BF0D5E">
      <w:pPr>
        <w:pStyle w:val="BodyText"/>
      </w:pPr>
      <w:r>
        <w:t xml:space="preserve">In 2024–25 we delivered priority payment assurance activities to help customers receiving social security payments to meet their obligations and prevent overpayment. This included proactive approaches to prevent debt and improve earned income reporting, contacting customers regarding the use of STP data where it is determined a customer may not understand or use the data correctly. We continue to identify risk and implement new messages to remind customers of their obligations. </w:t>
      </w:r>
    </w:p>
    <w:p w14:paraId="1BF16AA0" w14:textId="77777777" w:rsidR="00BF0D5E" w:rsidRDefault="00BF0D5E" w:rsidP="00BF0D5E">
      <w:pPr>
        <w:pStyle w:val="BodyText"/>
      </w:pPr>
      <w:r>
        <w:t>Table 43 shows the social security payment assurance activities from 2022–23 to 2024–25.</w:t>
      </w:r>
    </w:p>
    <w:p w14:paraId="17943AB1" w14:textId="30C28520" w:rsidR="00BF0D5E" w:rsidRPr="00BF0D5E" w:rsidRDefault="00BF0D5E" w:rsidP="00BF0D5E">
      <w:pPr>
        <w:pStyle w:val="BodyText"/>
        <w:rPr>
          <w:b/>
          <w:bCs/>
        </w:rPr>
      </w:pPr>
      <w:r w:rsidRPr="00BF0D5E">
        <w:rPr>
          <w:b/>
          <w:bCs/>
        </w:rPr>
        <w:t>Table 43: Social security payment assurance activity</w:t>
      </w:r>
    </w:p>
    <w:tbl>
      <w:tblPr>
        <w:tblStyle w:val="TableGrid"/>
        <w:tblW w:w="5000" w:type="pct"/>
        <w:tblLook w:val="04A0" w:firstRow="1" w:lastRow="0" w:firstColumn="1" w:lastColumn="0" w:noHBand="0" w:noVBand="1"/>
        <w:tblCaption w:val="Social security payment assurance activity"/>
      </w:tblPr>
      <w:tblGrid>
        <w:gridCol w:w="5252"/>
        <w:gridCol w:w="1948"/>
        <w:gridCol w:w="1948"/>
        <w:gridCol w:w="1948"/>
      </w:tblGrid>
      <w:tr w:rsidR="00BF0D5E" w14:paraId="544BCCCD" w14:textId="77777777" w:rsidTr="00BC283A">
        <w:trPr>
          <w:trHeight w:val="396"/>
          <w:tblHeader/>
        </w:trPr>
        <w:tc>
          <w:tcPr>
            <w:tcW w:w="2366" w:type="pct"/>
          </w:tcPr>
          <w:p w14:paraId="2C9C657A" w14:textId="77777777" w:rsidR="00BF0D5E" w:rsidRDefault="00BF0D5E" w:rsidP="00682FFF">
            <w:pPr>
              <w:pStyle w:val="NoParagraphStyle"/>
              <w:spacing w:line="240" w:lineRule="auto"/>
              <w:textAlignment w:val="auto"/>
              <w:rPr>
                <w:rFonts w:ascii="Roboto-Medium" w:hAnsi="Roboto-Medium" w:cstheme="minorBidi"/>
                <w:color w:val="auto"/>
                <w:lang w:val="en-AU"/>
              </w:rPr>
            </w:pPr>
          </w:p>
        </w:tc>
        <w:tc>
          <w:tcPr>
            <w:tcW w:w="878" w:type="pct"/>
          </w:tcPr>
          <w:p w14:paraId="06EDD69C" w14:textId="77777777" w:rsidR="00BF0D5E" w:rsidRPr="00891C1C" w:rsidRDefault="00BF0D5E" w:rsidP="00891C1C">
            <w:pPr>
              <w:pStyle w:val="BodyText"/>
              <w:rPr>
                <w:b/>
                <w:bCs/>
              </w:rPr>
            </w:pPr>
            <w:r w:rsidRPr="00891C1C">
              <w:rPr>
                <w:b/>
                <w:bCs/>
              </w:rPr>
              <w:t>2022–23</w:t>
            </w:r>
          </w:p>
        </w:tc>
        <w:tc>
          <w:tcPr>
            <w:tcW w:w="878" w:type="pct"/>
          </w:tcPr>
          <w:p w14:paraId="6D4ED79D" w14:textId="77777777" w:rsidR="00BF0D5E" w:rsidRPr="00891C1C" w:rsidRDefault="00BF0D5E" w:rsidP="00891C1C">
            <w:pPr>
              <w:pStyle w:val="BodyText"/>
              <w:rPr>
                <w:b/>
                <w:bCs/>
              </w:rPr>
            </w:pPr>
            <w:r w:rsidRPr="00891C1C">
              <w:rPr>
                <w:b/>
                <w:bCs/>
              </w:rPr>
              <w:t>2023–24</w:t>
            </w:r>
          </w:p>
        </w:tc>
        <w:tc>
          <w:tcPr>
            <w:tcW w:w="878" w:type="pct"/>
          </w:tcPr>
          <w:p w14:paraId="04B2A40A" w14:textId="77777777" w:rsidR="00BF0D5E" w:rsidRPr="00891C1C" w:rsidRDefault="00BF0D5E" w:rsidP="00891C1C">
            <w:pPr>
              <w:pStyle w:val="BodyText"/>
              <w:rPr>
                <w:b/>
                <w:bCs/>
              </w:rPr>
            </w:pPr>
            <w:r w:rsidRPr="00891C1C">
              <w:rPr>
                <w:b/>
                <w:bCs/>
              </w:rPr>
              <w:t>2024–25</w:t>
            </w:r>
          </w:p>
        </w:tc>
      </w:tr>
      <w:tr w:rsidR="00BF0D5E" w14:paraId="6B6620B4" w14:textId="77777777" w:rsidTr="006A0585">
        <w:trPr>
          <w:trHeight w:val="396"/>
        </w:trPr>
        <w:tc>
          <w:tcPr>
            <w:tcW w:w="2366" w:type="pct"/>
          </w:tcPr>
          <w:p w14:paraId="7AFCC503" w14:textId="77777777" w:rsidR="00BF0D5E" w:rsidRDefault="00BF0D5E" w:rsidP="00682FFF">
            <w:pPr>
              <w:pStyle w:val="BodyText"/>
            </w:pPr>
            <w:r>
              <w:t>Payment assurance interventions</w:t>
            </w:r>
          </w:p>
        </w:tc>
        <w:tc>
          <w:tcPr>
            <w:tcW w:w="878" w:type="pct"/>
          </w:tcPr>
          <w:p w14:paraId="4E1EFD8C" w14:textId="77777777" w:rsidR="00BF0D5E" w:rsidRDefault="00BF0D5E" w:rsidP="00682FFF">
            <w:pPr>
              <w:pStyle w:val="BodyText"/>
              <w:jc w:val="right"/>
            </w:pPr>
            <w:r>
              <w:t>198,765</w:t>
            </w:r>
          </w:p>
        </w:tc>
        <w:tc>
          <w:tcPr>
            <w:tcW w:w="878" w:type="pct"/>
          </w:tcPr>
          <w:p w14:paraId="15F1CEA3" w14:textId="77777777" w:rsidR="00BF0D5E" w:rsidRDefault="00BF0D5E" w:rsidP="00682FFF">
            <w:pPr>
              <w:pStyle w:val="BodyText"/>
              <w:jc w:val="right"/>
            </w:pPr>
            <w:r>
              <w:t>164,955</w:t>
            </w:r>
          </w:p>
        </w:tc>
        <w:tc>
          <w:tcPr>
            <w:tcW w:w="878" w:type="pct"/>
          </w:tcPr>
          <w:p w14:paraId="7890F078" w14:textId="77777777" w:rsidR="00BF0D5E" w:rsidRDefault="00BF0D5E" w:rsidP="00682FFF">
            <w:pPr>
              <w:pStyle w:val="BodyText"/>
              <w:jc w:val="right"/>
            </w:pPr>
            <w:r>
              <w:t>174,123</w:t>
            </w:r>
          </w:p>
        </w:tc>
      </w:tr>
      <w:tr w:rsidR="00BF0D5E" w14:paraId="12988A1A" w14:textId="77777777" w:rsidTr="006A0585">
        <w:trPr>
          <w:trHeight w:val="396"/>
        </w:trPr>
        <w:tc>
          <w:tcPr>
            <w:tcW w:w="2366" w:type="pct"/>
          </w:tcPr>
          <w:p w14:paraId="480195FF" w14:textId="77777777" w:rsidR="00BF0D5E" w:rsidRDefault="00BF0D5E" w:rsidP="00682FFF">
            <w:pPr>
              <w:pStyle w:val="BodyText"/>
            </w:pPr>
            <w:r>
              <w:t>Reductions in fortnightly payments</w:t>
            </w:r>
          </w:p>
        </w:tc>
        <w:tc>
          <w:tcPr>
            <w:tcW w:w="878" w:type="pct"/>
          </w:tcPr>
          <w:p w14:paraId="7FE4342B" w14:textId="77777777" w:rsidR="00BF0D5E" w:rsidRDefault="00BF0D5E" w:rsidP="00682FFF">
            <w:pPr>
              <w:pStyle w:val="BodyText"/>
              <w:jc w:val="right"/>
            </w:pPr>
            <w:r>
              <w:t>39,172</w:t>
            </w:r>
          </w:p>
        </w:tc>
        <w:tc>
          <w:tcPr>
            <w:tcW w:w="878" w:type="pct"/>
          </w:tcPr>
          <w:p w14:paraId="70B26255" w14:textId="77777777" w:rsidR="00BF0D5E" w:rsidRDefault="00BF0D5E" w:rsidP="00682FFF">
            <w:pPr>
              <w:pStyle w:val="BodyText"/>
              <w:jc w:val="right"/>
            </w:pPr>
            <w:r>
              <w:t>37,129</w:t>
            </w:r>
          </w:p>
        </w:tc>
        <w:tc>
          <w:tcPr>
            <w:tcW w:w="878" w:type="pct"/>
          </w:tcPr>
          <w:p w14:paraId="06735BE1" w14:textId="77777777" w:rsidR="00BF0D5E" w:rsidRDefault="00BF0D5E" w:rsidP="00682FFF">
            <w:pPr>
              <w:pStyle w:val="BodyText"/>
              <w:jc w:val="right"/>
            </w:pPr>
            <w:r>
              <w:t>38,108</w:t>
            </w:r>
          </w:p>
        </w:tc>
      </w:tr>
      <w:tr w:rsidR="00BF0D5E" w14:paraId="0D102247" w14:textId="77777777" w:rsidTr="006A0585">
        <w:trPr>
          <w:trHeight w:val="396"/>
        </w:trPr>
        <w:tc>
          <w:tcPr>
            <w:tcW w:w="2366" w:type="pct"/>
          </w:tcPr>
          <w:p w14:paraId="00F6C63D" w14:textId="77777777" w:rsidR="00BF0D5E" w:rsidRDefault="00BF0D5E" w:rsidP="00682FFF">
            <w:pPr>
              <w:pStyle w:val="BodyText"/>
            </w:pPr>
            <w:r>
              <w:t>Value of fortnightly reductions</w:t>
            </w:r>
          </w:p>
        </w:tc>
        <w:tc>
          <w:tcPr>
            <w:tcW w:w="878" w:type="pct"/>
          </w:tcPr>
          <w:p w14:paraId="161FCDE2" w14:textId="77777777" w:rsidR="00BF0D5E" w:rsidRDefault="00BF0D5E" w:rsidP="00682FFF">
            <w:pPr>
              <w:pStyle w:val="BodyText"/>
              <w:jc w:val="right"/>
            </w:pPr>
            <w:r>
              <w:rPr>
                <w:spacing w:val="-2"/>
              </w:rPr>
              <w:t>$22.8 million</w:t>
            </w:r>
          </w:p>
        </w:tc>
        <w:tc>
          <w:tcPr>
            <w:tcW w:w="878" w:type="pct"/>
          </w:tcPr>
          <w:p w14:paraId="5D2A01A9" w14:textId="77777777" w:rsidR="00BF0D5E" w:rsidRDefault="00BF0D5E" w:rsidP="00682FFF">
            <w:pPr>
              <w:pStyle w:val="BodyText"/>
              <w:jc w:val="right"/>
            </w:pPr>
            <w:r>
              <w:rPr>
                <w:spacing w:val="-2"/>
              </w:rPr>
              <w:t xml:space="preserve">$22.7 million </w:t>
            </w:r>
          </w:p>
        </w:tc>
        <w:tc>
          <w:tcPr>
            <w:tcW w:w="878" w:type="pct"/>
          </w:tcPr>
          <w:p w14:paraId="2F8E9C54" w14:textId="77777777" w:rsidR="00BF0D5E" w:rsidRDefault="00BF0D5E" w:rsidP="00682FFF">
            <w:pPr>
              <w:pStyle w:val="BodyText"/>
              <w:jc w:val="right"/>
            </w:pPr>
            <w:r>
              <w:rPr>
                <w:spacing w:val="-2"/>
              </w:rPr>
              <w:t>$24.4 million</w:t>
            </w:r>
          </w:p>
        </w:tc>
      </w:tr>
      <w:tr w:rsidR="00BF0D5E" w14:paraId="02848EBC" w14:textId="77777777" w:rsidTr="006A0585">
        <w:trPr>
          <w:trHeight w:val="396"/>
        </w:trPr>
        <w:tc>
          <w:tcPr>
            <w:tcW w:w="2366" w:type="pct"/>
          </w:tcPr>
          <w:p w14:paraId="3EFFB684" w14:textId="77777777" w:rsidR="00BF0D5E" w:rsidRDefault="00BF0D5E" w:rsidP="00682FFF">
            <w:pPr>
              <w:pStyle w:val="BodyText"/>
            </w:pPr>
            <w:r>
              <w:t>Debts raised</w:t>
            </w:r>
          </w:p>
        </w:tc>
        <w:tc>
          <w:tcPr>
            <w:tcW w:w="878" w:type="pct"/>
          </w:tcPr>
          <w:p w14:paraId="7309ACAF" w14:textId="77777777" w:rsidR="00BF0D5E" w:rsidRDefault="00BF0D5E" w:rsidP="00682FFF">
            <w:pPr>
              <w:pStyle w:val="BodyText"/>
              <w:jc w:val="right"/>
            </w:pPr>
            <w:r>
              <w:t>31,736</w:t>
            </w:r>
          </w:p>
        </w:tc>
        <w:tc>
          <w:tcPr>
            <w:tcW w:w="878" w:type="pct"/>
          </w:tcPr>
          <w:p w14:paraId="5532A165" w14:textId="77777777" w:rsidR="00BF0D5E" w:rsidRDefault="00BF0D5E" w:rsidP="00682FFF">
            <w:pPr>
              <w:pStyle w:val="BodyText"/>
              <w:jc w:val="right"/>
            </w:pPr>
            <w:r>
              <w:t>25,796</w:t>
            </w:r>
          </w:p>
        </w:tc>
        <w:tc>
          <w:tcPr>
            <w:tcW w:w="878" w:type="pct"/>
          </w:tcPr>
          <w:p w14:paraId="12668838" w14:textId="77777777" w:rsidR="00BF0D5E" w:rsidRDefault="00BF0D5E" w:rsidP="00682FFF">
            <w:pPr>
              <w:pStyle w:val="BodyText"/>
              <w:jc w:val="right"/>
            </w:pPr>
            <w:r>
              <w:t>20,753</w:t>
            </w:r>
          </w:p>
        </w:tc>
      </w:tr>
      <w:tr w:rsidR="00BF0D5E" w14:paraId="388F813C" w14:textId="77777777" w:rsidTr="006A0585">
        <w:trPr>
          <w:trHeight w:val="396"/>
        </w:trPr>
        <w:tc>
          <w:tcPr>
            <w:tcW w:w="2366" w:type="pct"/>
          </w:tcPr>
          <w:p w14:paraId="3264733A" w14:textId="77777777" w:rsidR="00BF0D5E" w:rsidRDefault="00BF0D5E" w:rsidP="00682FFF">
            <w:pPr>
              <w:pStyle w:val="BodyText"/>
            </w:pPr>
            <w:r>
              <w:rPr>
                <w:rStyle w:val="Bold"/>
              </w:rPr>
              <w:t>Total debt value</w:t>
            </w:r>
          </w:p>
        </w:tc>
        <w:tc>
          <w:tcPr>
            <w:tcW w:w="878" w:type="pct"/>
          </w:tcPr>
          <w:p w14:paraId="52A54300" w14:textId="77777777" w:rsidR="00BF0D5E" w:rsidRDefault="00BF0D5E" w:rsidP="00682FFF">
            <w:pPr>
              <w:pStyle w:val="BodyText"/>
              <w:jc w:val="right"/>
            </w:pPr>
            <w:r>
              <w:rPr>
                <w:rStyle w:val="Bold"/>
                <w:spacing w:val="-6"/>
              </w:rPr>
              <w:t>$82.2 million</w:t>
            </w:r>
            <w:r>
              <w:rPr>
                <w:rStyle w:val="Bold"/>
                <w:spacing w:val="-6"/>
                <w:vertAlign w:val="superscript"/>
              </w:rPr>
              <w:t>(a)</w:t>
            </w:r>
          </w:p>
        </w:tc>
        <w:tc>
          <w:tcPr>
            <w:tcW w:w="878" w:type="pct"/>
          </w:tcPr>
          <w:p w14:paraId="29083A0F" w14:textId="77777777" w:rsidR="00BF0D5E" w:rsidRDefault="00BF0D5E" w:rsidP="00682FFF">
            <w:pPr>
              <w:pStyle w:val="BodyText"/>
              <w:jc w:val="right"/>
            </w:pPr>
            <w:r>
              <w:rPr>
                <w:rStyle w:val="Bold"/>
                <w:spacing w:val="-4"/>
              </w:rPr>
              <w:t>$66 million</w:t>
            </w:r>
          </w:p>
        </w:tc>
        <w:tc>
          <w:tcPr>
            <w:tcW w:w="878" w:type="pct"/>
          </w:tcPr>
          <w:p w14:paraId="3BA809DF" w14:textId="77777777" w:rsidR="00BF0D5E" w:rsidRDefault="00BF0D5E" w:rsidP="00682FFF">
            <w:pPr>
              <w:pStyle w:val="BodyText"/>
              <w:jc w:val="right"/>
            </w:pPr>
            <w:r>
              <w:rPr>
                <w:rStyle w:val="Bold"/>
                <w:spacing w:val="-4"/>
              </w:rPr>
              <w:t>$57.7 million</w:t>
            </w:r>
          </w:p>
        </w:tc>
      </w:tr>
    </w:tbl>
    <w:p w14:paraId="4952299D" w14:textId="2A3FC8BD" w:rsidR="00BF0D5E" w:rsidRDefault="00BF0D5E" w:rsidP="00BF0D5E">
      <w:pPr>
        <w:pStyle w:val="ProductCode"/>
      </w:pPr>
      <w:r>
        <w:t xml:space="preserve">(a) The increase in total debt value in 2022–23 compared to other financial years reflects the targeted focus on customers at high risk of payment inaccuracy. </w:t>
      </w:r>
    </w:p>
    <w:p w14:paraId="701335B0" w14:textId="77777777" w:rsidR="00BF0D5E" w:rsidRDefault="00BF0D5E" w:rsidP="00BF0D5E">
      <w:pPr>
        <w:pStyle w:val="Heading1"/>
      </w:pPr>
      <w:bookmarkStart w:id="34" w:name="_Toc210815413"/>
      <w:r>
        <w:lastRenderedPageBreak/>
        <w:t>6.9 Income Compliance Program</w:t>
      </w:r>
      <w:bookmarkEnd w:id="34"/>
      <w:r>
        <w:t xml:space="preserve"> </w:t>
      </w:r>
    </w:p>
    <w:p w14:paraId="2BFF8FFC" w14:textId="77777777" w:rsidR="00BF0D5E" w:rsidRDefault="00BF0D5E" w:rsidP="00BF0D5E">
      <w:pPr>
        <w:pStyle w:val="BodyText"/>
      </w:pPr>
      <w:r>
        <w:t xml:space="preserve">The agency remains committed to refunding repayments on debts raised between July 2015 and November 2019 under the Income Compliance Program (the Robodebt Scheme). </w:t>
      </w:r>
    </w:p>
    <w:p w14:paraId="06437185" w14:textId="77777777" w:rsidR="00BF0D5E" w:rsidRDefault="00BF0D5E" w:rsidP="00BF0D5E">
      <w:pPr>
        <w:pStyle w:val="BodyText"/>
      </w:pPr>
      <w:r>
        <w:t>As at 30 June 2025 over $753.4 million had been refunded with approximately $3.4 million remaining for 2,477 former customers. These refund amounts will remain on customer records until contact is made and a refund is issued.</w:t>
      </w:r>
    </w:p>
    <w:p w14:paraId="6466ACEB" w14:textId="77777777" w:rsidR="00BF0D5E" w:rsidRDefault="00BF0D5E" w:rsidP="00BF0D5E">
      <w:pPr>
        <w:pStyle w:val="BodyText"/>
      </w:pPr>
      <w:r>
        <w:t xml:space="preserve">The agency will continue to correct and refund any previously unidentified debts affected by averaged ATO income information as they are identified. </w:t>
      </w:r>
    </w:p>
    <w:p w14:paraId="151451FF" w14:textId="77777777" w:rsidR="00BF0D5E" w:rsidRDefault="00BF0D5E" w:rsidP="00BF0D5E">
      <w:pPr>
        <w:pStyle w:val="Heading1"/>
      </w:pPr>
      <w:bookmarkStart w:id="35" w:name="_Toc210815414"/>
      <w:r>
        <w:t>6.10 Debt management</w:t>
      </w:r>
      <w:bookmarkEnd w:id="35"/>
    </w:p>
    <w:p w14:paraId="479A687F" w14:textId="77777777" w:rsidR="00BF0D5E" w:rsidRDefault="00BF0D5E" w:rsidP="00BF0D5E">
      <w:pPr>
        <w:pStyle w:val="BodyText"/>
      </w:pPr>
      <w:r>
        <w:t xml:space="preserve">The agency works with customers to help them understand their obligations to minimise the chances of incurring a debt. In circumstances where customers are overpaid, we will consider their individual circumstances when working with them to arrange repayments. </w:t>
      </w:r>
    </w:p>
    <w:p w14:paraId="09A7A735" w14:textId="77777777" w:rsidR="00BF0D5E" w:rsidRDefault="00BF0D5E" w:rsidP="00BF0D5E">
      <w:pPr>
        <w:pStyle w:val="BodyText"/>
      </w:pPr>
      <w:r>
        <w:t xml:space="preserve">When a customer finds it difficult to repay a debt, we can offer a range of flexible repayment options and services to help. Flexible repayment options can include pausing recovery of a debt for a specified period, when experiencing hardship or vulnerability. Services that are available to customers can include, but are not limited to, being connected to a social worker. </w:t>
      </w:r>
    </w:p>
    <w:p w14:paraId="7FC65246" w14:textId="77777777" w:rsidR="00BF0D5E" w:rsidRDefault="00BF0D5E" w:rsidP="00BF0D5E">
      <w:pPr>
        <w:pStyle w:val="BodyText"/>
        <w:spacing w:after="57"/>
      </w:pPr>
      <w:r>
        <w:t>In 2024–25 the agency made improvements to services for customers who were overpaid. This included:</w:t>
      </w:r>
    </w:p>
    <w:p w14:paraId="764F4635" w14:textId="77777777" w:rsidR="00BF0D5E" w:rsidRDefault="00BF0D5E" w:rsidP="002F437A">
      <w:pPr>
        <w:pStyle w:val="ListBullet"/>
      </w:pPr>
      <w:r>
        <w:t>promoting the option for customers to self-manage their debt repayments through the Money you Owe service on their Centrelink online account</w:t>
      </w:r>
    </w:p>
    <w:p w14:paraId="5A4545FB" w14:textId="77777777" w:rsidR="00BF0D5E" w:rsidRDefault="00BF0D5E" w:rsidP="002F437A">
      <w:pPr>
        <w:pStyle w:val="ListBullet"/>
      </w:pPr>
      <w:r>
        <w:t>introducing targeted messaging to educate customers on payment-affecting changes to their circumstances</w:t>
      </w:r>
    </w:p>
    <w:p w14:paraId="2E9A8939" w14:textId="77777777" w:rsidR="00BF0D5E" w:rsidRDefault="00BF0D5E" w:rsidP="002F437A">
      <w:pPr>
        <w:pStyle w:val="ListBullet"/>
      </w:pPr>
      <w:r>
        <w:t>improving staff resources to help identify customers who may be experiencing vulnerability and support customers to safely disclose their circumstances</w:t>
      </w:r>
    </w:p>
    <w:p w14:paraId="798F1DC7" w14:textId="77777777" w:rsidR="00BF0D5E" w:rsidRDefault="00BF0D5E" w:rsidP="002F437A">
      <w:pPr>
        <w:pStyle w:val="ListBullet"/>
      </w:pPr>
      <w:r>
        <w:t>implementing a debt management program that manages prioritising debt recovery activity in a fair and equitable manner.</w:t>
      </w:r>
    </w:p>
    <w:p w14:paraId="027665D7" w14:textId="77777777" w:rsidR="00BF0D5E" w:rsidRDefault="00BF0D5E" w:rsidP="00BF0D5E">
      <w:pPr>
        <w:pStyle w:val="BodyText"/>
        <w:spacing w:after="113"/>
      </w:pPr>
      <w:r>
        <w:t>Table 44 shows the number of debts and amounts raised from customers who received social security payments from 2022–23 to 2024–25.</w:t>
      </w:r>
    </w:p>
    <w:p w14:paraId="132D970A" w14:textId="6AE0C78A" w:rsidR="00BF0D5E" w:rsidRPr="002F437A" w:rsidRDefault="002F437A" w:rsidP="002F437A">
      <w:pPr>
        <w:pStyle w:val="BodyText"/>
        <w:rPr>
          <w:b/>
          <w:bCs/>
        </w:rPr>
      </w:pPr>
      <w:r w:rsidRPr="002F437A">
        <w:rPr>
          <w:b/>
          <w:bCs/>
        </w:rPr>
        <w:t>Table 44:</w:t>
      </w:r>
      <w:r w:rsidR="00BF0D5E" w:rsidRPr="002F437A">
        <w:rPr>
          <w:b/>
          <w:bCs/>
        </w:rPr>
        <w:t xml:space="preserve"> Debts and amounts raised from customers who received social security payments 2022–23 to 2024–25 </w:t>
      </w:r>
    </w:p>
    <w:tbl>
      <w:tblPr>
        <w:tblStyle w:val="TableGrid"/>
        <w:tblW w:w="5000" w:type="pct"/>
        <w:tblLook w:val="04A0" w:firstRow="1" w:lastRow="0" w:firstColumn="1" w:lastColumn="0" w:noHBand="0" w:noVBand="1"/>
        <w:tblCaption w:val="Debts and amounts raised from customers who received social security payments 2022–23 to 2024–25 "/>
      </w:tblPr>
      <w:tblGrid>
        <w:gridCol w:w="5252"/>
        <w:gridCol w:w="1948"/>
        <w:gridCol w:w="1948"/>
        <w:gridCol w:w="1948"/>
      </w:tblGrid>
      <w:tr w:rsidR="00BF0D5E" w14:paraId="66D10E10" w14:textId="77777777" w:rsidTr="00BC283A">
        <w:trPr>
          <w:trHeight w:val="396"/>
          <w:tblHeader/>
        </w:trPr>
        <w:tc>
          <w:tcPr>
            <w:tcW w:w="2366" w:type="pct"/>
          </w:tcPr>
          <w:p w14:paraId="57081B5F" w14:textId="77777777" w:rsidR="00BF0D5E" w:rsidRDefault="00BF0D5E" w:rsidP="00682FFF">
            <w:pPr>
              <w:pStyle w:val="NoParagraphStyle"/>
              <w:spacing w:line="240" w:lineRule="auto"/>
              <w:textAlignment w:val="auto"/>
              <w:rPr>
                <w:rFonts w:ascii="Roboto-Medium" w:hAnsi="Roboto-Medium" w:cstheme="minorBidi"/>
                <w:color w:val="auto"/>
                <w:lang w:val="en-AU"/>
              </w:rPr>
            </w:pPr>
          </w:p>
        </w:tc>
        <w:tc>
          <w:tcPr>
            <w:tcW w:w="878" w:type="pct"/>
          </w:tcPr>
          <w:p w14:paraId="6D0EF9F4" w14:textId="77777777" w:rsidR="00BF0D5E" w:rsidRPr="00891C1C" w:rsidRDefault="00BF0D5E" w:rsidP="00891C1C">
            <w:pPr>
              <w:pStyle w:val="BodyText"/>
              <w:rPr>
                <w:b/>
                <w:bCs/>
              </w:rPr>
            </w:pPr>
            <w:r w:rsidRPr="00891C1C">
              <w:rPr>
                <w:b/>
                <w:bCs/>
              </w:rPr>
              <w:t>2022–23</w:t>
            </w:r>
          </w:p>
        </w:tc>
        <w:tc>
          <w:tcPr>
            <w:tcW w:w="878" w:type="pct"/>
          </w:tcPr>
          <w:p w14:paraId="7297FBCD" w14:textId="77777777" w:rsidR="00BF0D5E" w:rsidRPr="00891C1C" w:rsidRDefault="00BF0D5E" w:rsidP="00891C1C">
            <w:pPr>
              <w:pStyle w:val="BodyText"/>
              <w:rPr>
                <w:b/>
                <w:bCs/>
              </w:rPr>
            </w:pPr>
            <w:r w:rsidRPr="00891C1C">
              <w:rPr>
                <w:b/>
                <w:bCs/>
              </w:rPr>
              <w:t>2023–24</w:t>
            </w:r>
          </w:p>
        </w:tc>
        <w:tc>
          <w:tcPr>
            <w:tcW w:w="878" w:type="pct"/>
          </w:tcPr>
          <w:p w14:paraId="4BA3D28B" w14:textId="77777777" w:rsidR="00BF0D5E" w:rsidRPr="00891C1C" w:rsidRDefault="00BF0D5E" w:rsidP="00891C1C">
            <w:pPr>
              <w:pStyle w:val="BodyText"/>
              <w:rPr>
                <w:b/>
                <w:bCs/>
              </w:rPr>
            </w:pPr>
            <w:r w:rsidRPr="00891C1C">
              <w:rPr>
                <w:b/>
                <w:bCs/>
              </w:rPr>
              <w:t>2024–25</w:t>
            </w:r>
          </w:p>
        </w:tc>
      </w:tr>
      <w:tr w:rsidR="00BF0D5E" w14:paraId="15C33962" w14:textId="77777777" w:rsidTr="006A0585">
        <w:trPr>
          <w:trHeight w:val="396"/>
        </w:trPr>
        <w:tc>
          <w:tcPr>
            <w:tcW w:w="2366" w:type="pct"/>
          </w:tcPr>
          <w:p w14:paraId="7D156768" w14:textId="77777777" w:rsidR="00BF0D5E" w:rsidRDefault="00BF0D5E" w:rsidP="00682FFF">
            <w:pPr>
              <w:pStyle w:val="BodyText"/>
            </w:pPr>
            <w:r>
              <w:t>Number of debts raised</w:t>
            </w:r>
          </w:p>
        </w:tc>
        <w:tc>
          <w:tcPr>
            <w:tcW w:w="878" w:type="pct"/>
          </w:tcPr>
          <w:p w14:paraId="392CFAB1" w14:textId="77777777" w:rsidR="00BF0D5E" w:rsidRDefault="00BF0D5E" w:rsidP="00682FFF">
            <w:pPr>
              <w:pStyle w:val="Tabletext-RHS"/>
            </w:pPr>
            <w:r>
              <w:t>1,729,773</w:t>
            </w:r>
          </w:p>
        </w:tc>
        <w:tc>
          <w:tcPr>
            <w:tcW w:w="878" w:type="pct"/>
          </w:tcPr>
          <w:p w14:paraId="0D9A2029" w14:textId="77777777" w:rsidR="00BF0D5E" w:rsidRDefault="00BF0D5E" w:rsidP="00682FFF">
            <w:pPr>
              <w:pStyle w:val="Tabletext-RHS"/>
            </w:pPr>
            <w:r>
              <w:t>1,542,377</w:t>
            </w:r>
          </w:p>
        </w:tc>
        <w:tc>
          <w:tcPr>
            <w:tcW w:w="878" w:type="pct"/>
          </w:tcPr>
          <w:p w14:paraId="6CD07FC9" w14:textId="77777777" w:rsidR="00BF0D5E" w:rsidRDefault="00BF0D5E" w:rsidP="00682FFF">
            <w:pPr>
              <w:pStyle w:val="Tabletext-RHS"/>
            </w:pPr>
            <w:r>
              <w:t>1,400,365</w:t>
            </w:r>
          </w:p>
        </w:tc>
      </w:tr>
      <w:tr w:rsidR="00BF0D5E" w14:paraId="0AFE2056" w14:textId="77777777" w:rsidTr="006A0585">
        <w:trPr>
          <w:trHeight w:val="396"/>
        </w:trPr>
        <w:tc>
          <w:tcPr>
            <w:tcW w:w="2366" w:type="pct"/>
          </w:tcPr>
          <w:p w14:paraId="7D7D25B6" w14:textId="77777777" w:rsidR="00BF0D5E" w:rsidRDefault="00BF0D5E" w:rsidP="00682FFF">
            <w:pPr>
              <w:pStyle w:val="BodyText"/>
            </w:pPr>
            <w:r>
              <w:t>Amount raised</w:t>
            </w:r>
          </w:p>
        </w:tc>
        <w:tc>
          <w:tcPr>
            <w:tcW w:w="878" w:type="pct"/>
          </w:tcPr>
          <w:p w14:paraId="451CB166" w14:textId="77777777" w:rsidR="00BF0D5E" w:rsidRDefault="00BF0D5E" w:rsidP="00682FFF">
            <w:pPr>
              <w:pStyle w:val="Tabletext-RHS"/>
            </w:pPr>
            <w:r>
              <w:t>$2.5 billion</w:t>
            </w:r>
          </w:p>
        </w:tc>
        <w:tc>
          <w:tcPr>
            <w:tcW w:w="878" w:type="pct"/>
          </w:tcPr>
          <w:p w14:paraId="78CE80AD" w14:textId="77777777" w:rsidR="00BF0D5E" w:rsidRDefault="00BF0D5E" w:rsidP="00682FFF">
            <w:pPr>
              <w:pStyle w:val="Tabletext-RHS"/>
            </w:pPr>
            <w:r>
              <w:t>$2.5 billion</w:t>
            </w:r>
          </w:p>
        </w:tc>
        <w:tc>
          <w:tcPr>
            <w:tcW w:w="878" w:type="pct"/>
          </w:tcPr>
          <w:p w14:paraId="252B58E5" w14:textId="77777777" w:rsidR="00BF0D5E" w:rsidRDefault="00BF0D5E" w:rsidP="00682FFF">
            <w:pPr>
              <w:pStyle w:val="Tabletext-RHS"/>
            </w:pPr>
            <w:r>
              <w:t>$2.4 billion</w:t>
            </w:r>
          </w:p>
        </w:tc>
      </w:tr>
    </w:tbl>
    <w:p w14:paraId="604C1217" w14:textId="77777777" w:rsidR="00BF0D5E" w:rsidRDefault="00BF0D5E" w:rsidP="00BF0D5E">
      <w:pPr>
        <w:pStyle w:val="BodyText"/>
      </w:pPr>
      <w:r>
        <w:t>Table 45 shows the total debts and amounts recovered by contracted agents from 2022–23 to 2024–25.</w:t>
      </w:r>
    </w:p>
    <w:p w14:paraId="615EE375" w14:textId="3333D991" w:rsidR="00BF0D5E" w:rsidRPr="002F437A" w:rsidRDefault="002F437A" w:rsidP="002F437A">
      <w:pPr>
        <w:pStyle w:val="BodyText"/>
        <w:rPr>
          <w:b/>
          <w:bCs/>
          <w:vertAlign w:val="superscript"/>
        </w:rPr>
      </w:pPr>
      <w:r w:rsidRPr="002F437A">
        <w:rPr>
          <w:b/>
          <w:bCs/>
        </w:rPr>
        <w:t>Table 45:</w:t>
      </w:r>
      <w:r w:rsidR="00BF0D5E" w:rsidRPr="002F437A">
        <w:rPr>
          <w:b/>
          <w:bCs/>
        </w:rPr>
        <w:t xml:space="preserve"> Debts and amounts recovered by contracted agents from 2022–23 to 2024–25</w:t>
      </w:r>
      <w:r w:rsidR="00BF0D5E" w:rsidRPr="002F437A">
        <w:rPr>
          <w:b/>
          <w:bCs/>
          <w:vertAlign w:val="superscript"/>
        </w:rPr>
        <w:t>*</w:t>
      </w:r>
    </w:p>
    <w:tbl>
      <w:tblPr>
        <w:tblStyle w:val="TableGrid"/>
        <w:tblW w:w="5000" w:type="pct"/>
        <w:tblLook w:val="04A0" w:firstRow="1" w:lastRow="0" w:firstColumn="1" w:lastColumn="0" w:noHBand="0" w:noVBand="1"/>
        <w:tblCaption w:val="Debts and amounts recovered by contracted agents from 2022–23 to 2024–25"/>
      </w:tblPr>
      <w:tblGrid>
        <w:gridCol w:w="5252"/>
        <w:gridCol w:w="1948"/>
        <w:gridCol w:w="1948"/>
        <w:gridCol w:w="1948"/>
      </w:tblGrid>
      <w:tr w:rsidR="00BF0D5E" w14:paraId="7E253BBB" w14:textId="77777777" w:rsidTr="00BC283A">
        <w:trPr>
          <w:trHeight w:val="396"/>
          <w:tblHeader/>
        </w:trPr>
        <w:tc>
          <w:tcPr>
            <w:tcW w:w="2366" w:type="pct"/>
          </w:tcPr>
          <w:p w14:paraId="1048D6F3" w14:textId="77777777" w:rsidR="00BF0D5E" w:rsidRDefault="00BF0D5E" w:rsidP="00682FFF">
            <w:pPr>
              <w:pStyle w:val="NoParagraphStyle"/>
              <w:spacing w:line="240" w:lineRule="auto"/>
              <w:textAlignment w:val="auto"/>
              <w:rPr>
                <w:rFonts w:ascii="Roboto-Medium" w:hAnsi="Roboto-Medium" w:cstheme="minorBidi"/>
                <w:color w:val="auto"/>
                <w:lang w:val="en-AU"/>
              </w:rPr>
            </w:pPr>
          </w:p>
        </w:tc>
        <w:tc>
          <w:tcPr>
            <w:tcW w:w="878" w:type="pct"/>
          </w:tcPr>
          <w:p w14:paraId="556ADAC7" w14:textId="77777777" w:rsidR="00BF0D5E" w:rsidRPr="00891C1C" w:rsidRDefault="00BF0D5E" w:rsidP="00891C1C">
            <w:pPr>
              <w:pStyle w:val="BodyText"/>
              <w:rPr>
                <w:b/>
                <w:bCs/>
              </w:rPr>
            </w:pPr>
            <w:r w:rsidRPr="00891C1C">
              <w:rPr>
                <w:b/>
                <w:bCs/>
              </w:rPr>
              <w:t>2022–23</w:t>
            </w:r>
          </w:p>
        </w:tc>
        <w:tc>
          <w:tcPr>
            <w:tcW w:w="878" w:type="pct"/>
          </w:tcPr>
          <w:p w14:paraId="7F57EE76" w14:textId="77777777" w:rsidR="00BF0D5E" w:rsidRPr="00891C1C" w:rsidRDefault="00BF0D5E" w:rsidP="00891C1C">
            <w:pPr>
              <w:pStyle w:val="BodyText"/>
              <w:rPr>
                <w:b/>
                <w:bCs/>
              </w:rPr>
            </w:pPr>
            <w:r w:rsidRPr="00891C1C">
              <w:rPr>
                <w:b/>
                <w:bCs/>
              </w:rPr>
              <w:t>2023–24</w:t>
            </w:r>
          </w:p>
        </w:tc>
        <w:tc>
          <w:tcPr>
            <w:tcW w:w="878" w:type="pct"/>
          </w:tcPr>
          <w:p w14:paraId="6B6433D4" w14:textId="77777777" w:rsidR="00BF0D5E" w:rsidRPr="00891C1C" w:rsidRDefault="00BF0D5E" w:rsidP="00891C1C">
            <w:pPr>
              <w:pStyle w:val="BodyText"/>
              <w:rPr>
                <w:b/>
                <w:bCs/>
              </w:rPr>
            </w:pPr>
            <w:r w:rsidRPr="00891C1C">
              <w:rPr>
                <w:b/>
                <w:bCs/>
              </w:rPr>
              <w:t>2024–25</w:t>
            </w:r>
          </w:p>
        </w:tc>
      </w:tr>
      <w:tr w:rsidR="00BF0D5E" w14:paraId="503EB70B" w14:textId="77777777" w:rsidTr="006A0585">
        <w:trPr>
          <w:trHeight w:val="396"/>
        </w:trPr>
        <w:tc>
          <w:tcPr>
            <w:tcW w:w="2366" w:type="pct"/>
          </w:tcPr>
          <w:p w14:paraId="75716E8A" w14:textId="77777777" w:rsidR="00BF0D5E" w:rsidRDefault="00BF0D5E" w:rsidP="00682FFF">
            <w:pPr>
              <w:pStyle w:val="BodyText"/>
            </w:pPr>
            <w:r>
              <w:t>Total debts recovered</w:t>
            </w:r>
            <w:r>
              <w:rPr>
                <w:vertAlign w:val="superscript"/>
              </w:rPr>
              <w:t>(a)</w:t>
            </w:r>
          </w:p>
        </w:tc>
        <w:tc>
          <w:tcPr>
            <w:tcW w:w="878" w:type="pct"/>
          </w:tcPr>
          <w:p w14:paraId="1BAA9CD8" w14:textId="77777777" w:rsidR="00BF0D5E" w:rsidRDefault="00BF0D5E" w:rsidP="00682FFF">
            <w:pPr>
              <w:pStyle w:val="Tabletext-RHS"/>
            </w:pPr>
            <w:r>
              <w:t>$1.9 billion</w:t>
            </w:r>
          </w:p>
        </w:tc>
        <w:tc>
          <w:tcPr>
            <w:tcW w:w="878" w:type="pct"/>
          </w:tcPr>
          <w:p w14:paraId="7B4FD5EB" w14:textId="77777777" w:rsidR="00BF0D5E" w:rsidRDefault="00BF0D5E" w:rsidP="00682FFF">
            <w:pPr>
              <w:pStyle w:val="Tabletext-RHS"/>
            </w:pPr>
            <w:r>
              <w:t xml:space="preserve">$1.9 billion </w:t>
            </w:r>
          </w:p>
        </w:tc>
        <w:tc>
          <w:tcPr>
            <w:tcW w:w="878" w:type="pct"/>
          </w:tcPr>
          <w:p w14:paraId="40CE9534" w14:textId="77777777" w:rsidR="00BF0D5E" w:rsidRDefault="00BF0D5E" w:rsidP="00682FFF">
            <w:pPr>
              <w:pStyle w:val="Tabletext-RHS"/>
            </w:pPr>
            <w:r>
              <w:t>$1.6 billion</w:t>
            </w:r>
          </w:p>
        </w:tc>
      </w:tr>
      <w:tr w:rsidR="00BF0D5E" w14:paraId="327D1D77" w14:textId="77777777" w:rsidTr="006A0585">
        <w:trPr>
          <w:trHeight w:val="396"/>
        </w:trPr>
        <w:tc>
          <w:tcPr>
            <w:tcW w:w="2366" w:type="pct"/>
          </w:tcPr>
          <w:p w14:paraId="110101F5" w14:textId="77777777" w:rsidR="00BF0D5E" w:rsidRDefault="00BF0D5E" w:rsidP="00682FFF">
            <w:pPr>
              <w:pStyle w:val="BodyText"/>
            </w:pPr>
            <w:r>
              <w:rPr>
                <w:spacing w:val="-4"/>
              </w:rPr>
              <w:t>Amount recovered by contracted agents</w:t>
            </w:r>
          </w:p>
        </w:tc>
        <w:tc>
          <w:tcPr>
            <w:tcW w:w="878" w:type="pct"/>
          </w:tcPr>
          <w:p w14:paraId="6EB4C920" w14:textId="77777777" w:rsidR="00BF0D5E" w:rsidRDefault="00BF0D5E" w:rsidP="00682FFF">
            <w:pPr>
              <w:pStyle w:val="Tabletext-RHS"/>
            </w:pPr>
            <w:r>
              <w:rPr>
                <w:spacing w:val="-2"/>
              </w:rPr>
              <w:t xml:space="preserve">$35 million </w:t>
            </w:r>
          </w:p>
        </w:tc>
        <w:tc>
          <w:tcPr>
            <w:tcW w:w="878" w:type="pct"/>
          </w:tcPr>
          <w:p w14:paraId="2894C883" w14:textId="77777777" w:rsidR="00BF0D5E" w:rsidRDefault="00BF0D5E" w:rsidP="00682FFF">
            <w:pPr>
              <w:pStyle w:val="Tabletext-RHS"/>
            </w:pPr>
            <w:r>
              <w:t>N/A</w:t>
            </w:r>
            <w:r>
              <w:rPr>
                <w:vertAlign w:val="superscript"/>
              </w:rPr>
              <w:t>(b)</w:t>
            </w:r>
          </w:p>
        </w:tc>
        <w:tc>
          <w:tcPr>
            <w:tcW w:w="878" w:type="pct"/>
          </w:tcPr>
          <w:p w14:paraId="6EDD150A" w14:textId="77777777" w:rsidR="00BF0D5E" w:rsidRDefault="00BF0D5E" w:rsidP="00682FFF">
            <w:pPr>
              <w:pStyle w:val="Tabletext-RHS"/>
            </w:pPr>
            <w:r>
              <w:t>N/A</w:t>
            </w:r>
            <w:r>
              <w:rPr>
                <w:vertAlign w:val="superscript"/>
              </w:rPr>
              <w:t>(b)</w:t>
            </w:r>
          </w:p>
        </w:tc>
      </w:tr>
      <w:tr w:rsidR="00BF0D5E" w14:paraId="7A0C6F11" w14:textId="77777777" w:rsidTr="006A0585">
        <w:trPr>
          <w:trHeight w:val="396"/>
        </w:trPr>
        <w:tc>
          <w:tcPr>
            <w:tcW w:w="2366" w:type="pct"/>
          </w:tcPr>
          <w:p w14:paraId="04E02963" w14:textId="77777777" w:rsidR="00BF0D5E" w:rsidRDefault="00BF0D5E" w:rsidP="00682FFF">
            <w:pPr>
              <w:pStyle w:val="BodyText"/>
            </w:pPr>
            <w:r>
              <w:t>Total recovered by contracted agents</w:t>
            </w:r>
          </w:p>
        </w:tc>
        <w:tc>
          <w:tcPr>
            <w:tcW w:w="878" w:type="pct"/>
          </w:tcPr>
          <w:p w14:paraId="26A07590" w14:textId="77777777" w:rsidR="00BF0D5E" w:rsidRDefault="00BF0D5E" w:rsidP="00682FFF">
            <w:pPr>
              <w:pStyle w:val="Tabletext-RHS"/>
            </w:pPr>
            <w:r>
              <w:t>1.9%</w:t>
            </w:r>
          </w:p>
        </w:tc>
        <w:tc>
          <w:tcPr>
            <w:tcW w:w="878" w:type="pct"/>
          </w:tcPr>
          <w:p w14:paraId="74CACA6F" w14:textId="77777777" w:rsidR="00BF0D5E" w:rsidRDefault="00BF0D5E" w:rsidP="00682FFF">
            <w:pPr>
              <w:pStyle w:val="Tabletext-RHS"/>
            </w:pPr>
            <w:r>
              <w:t>N/A</w:t>
            </w:r>
            <w:r>
              <w:rPr>
                <w:vertAlign w:val="superscript"/>
              </w:rPr>
              <w:t>(b)</w:t>
            </w:r>
          </w:p>
        </w:tc>
        <w:tc>
          <w:tcPr>
            <w:tcW w:w="878" w:type="pct"/>
          </w:tcPr>
          <w:p w14:paraId="22C4FC36" w14:textId="77777777" w:rsidR="00BF0D5E" w:rsidRDefault="00BF0D5E" w:rsidP="00682FFF">
            <w:pPr>
              <w:pStyle w:val="Tabletext-RHS"/>
            </w:pPr>
            <w:r>
              <w:t>N/A</w:t>
            </w:r>
            <w:r>
              <w:rPr>
                <w:vertAlign w:val="superscript"/>
              </w:rPr>
              <w:t>(b)</w:t>
            </w:r>
          </w:p>
        </w:tc>
      </w:tr>
    </w:tbl>
    <w:p w14:paraId="10BE03E2" w14:textId="51F96A18" w:rsidR="00BF0D5E" w:rsidRDefault="00BF0D5E" w:rsidP="002F437A">
      <w:pPr>
        <w:pStyle w:val="ProductCode"/>
      </w:pPr>
      <w:r>
        <w:t>(a)</w:t>
      </w:r>
      <w:r w:rsidR="002F437A">
        <w:t xml:space="preserve"> </w:t>
      </w:r>
      <w:r>
        <w:t>Rounding has been applied.</w:t>
      </w:r>
    </w:p>
    <w:p w14:paraId="64A7AFB2" w14:textId="76A2492E" w:rsidR="00BF0D5E" w:rsidRDefault="00BF0D5E" w:rsidP="002F437A">
      <w:pPr>
        <w:pStyle w:val="ProductCode"/>
      </w:pPr>
      <w:r>
        <w:t>(b)</w:t>
      </w:r>
      <w:r w:rsidR="002F437A">
        <w:t xml:space="preserve"> </w:t>
      </w:r>
      <w:r>
        <w:t>The amount and total percentage recovered by contracted agents is no longer applicable as this method of recovery has ceased.</w:t>
      </w:r>
    </w:p>
    <w:p w14:paraId="100C1B28" w14:textId="4F5041D3" w:rsidR="00BF0D5E" w:rsidRDefault="00BF0D5E" w:rsidP="002F437A">
      <w:pPr>
        <w:pStyle w:val="ProductCode"/>
      </w:pPr>
      <w:r>
        <w:t>*</w:t>
      </w:r>
      <w:r w:rsidR="002F437A">
        <w:t xml:space="preserve"> </w:t>
      </w:r>
      <w:r>
        <w:t>As this method of recovery has ceased, we will not include this table from next year.</w:t>
      </w:r>
    </w:p>
    <w:p w14:paraId="1418B49E" w14:textId="383F3419" w:rsidR="002F437A" w:rsidRDefault="002F437A" w:rsidP="002F437A">
      <w:pPr>
        <w:pStyle w:val="Heading1"/>
      </w:pPr>
      <w:bookmarkStart w:id="36" w:name="_Toc210815415"/>
      <w:r>
        <w:t>Part 7 – Management and accountability</w:t>
      </w:r>
      <w:bookmarkEnd w:id="36"/>
    </w:p>
    <w:p w14:paraId="4CC4D7BB" w14:textId="77777777" w:rsidR="002F437A" w:rsidRDefault="002F437A" w:rsidP="002F437A">
      <w:pPr>
        <w:pStyle w:val="Heading1"/>
      </w:pPr>
      <w:bookmarkStart w:id="37" w:name="_Toc210815416"/>
      <w:r>
        <w:t>7.1 Royal Commission into Robodebt Scheme</w:t>
      </w:r>
      <w:bookmarkEnd w:id="37"/>
      <w:r>
        <w:t xml:space="preserve"> </w:t>
      </w:r>
    </w:p>
    <w:p w14:paraId="3694F0E2" w14:textId="77777777" w:rsidR="002F437A" w:rsidRDefault="002F437A" w:rsidP="0084290E">
      <w:pPr>
        <w:pStyle w:val="BodyText"/>
      </w:pPr>
      <w:r>
        <w:t xml:space="preserve">Through our implementation of 26 recommendations of the Royal Commission into the Robodebt Scheme, we are rebuilding trust with customers and staff and ensuring our services are delivered with integrity. </w:t>
      </w:r>
    </w:p>
    <w:p w14:paraId="0AE9E0AD" w14:textId="77777777" w:rsidR="002F437A" w:rsidRDefault="002F437A" w:rsidP="002F437A">
      <w:pPr>
        <w:pStyle w:val="BodyText"/>
      </w:pPr>
      <w:r>
        <w:t xml:space="preserve">Of the 26 recommendations we lead, 21 were fully implemented, 2 were partially implemented, and 3 were undergoing an external independent assurance process as at 30 June 2025. </w:t>
      </w:r>
    </w:p>
    <w:p w14:paraId="495D06C4" w14:textId="77777777" w:rsidR="002F437A" w:rsidRDefault="002F437A" w:rsidP="002F437A">
      <w:pPr>
        <w:pStyle w:val="BodyText"/>
      </w:pPr>
      <w:r>
        <w:t>We’ve been working with customers, staff, and advocacy organisations to better understand and improve how people access services. The Advocates Channel has given legal advocates a streamlined channel to use when supporting their most vulnerable clients and we have started a proof of concept for a Lived Experience Reference Group to improve how we gather customer insights and use these to improve our customer experiences.</w:t>
      </w:r>
    </w:p>
    <w:p w14:paraId="10D976B5" w14:textId="77777777" w:rsidR="002F437A" w:rsidRDefault="002F437A" w:rsidP="002F437A">
      <w:pPr>
        <w:pStyle w:val="BodyText"/>
      </w:pPr>
      <w:r>
        <w:t xml:space="preserve">The Royal Commission recommended the development of a policy for debt recovery, in line with guidelines from regulatory bodies. In response we developed our new debt management program in 2024–25, which we will review annually. </w:t>
      </w:r>
    </w:p>
    <w:p w14:paraId="01ABA7A5" w14:textId="77777777" w:rsidR="002F437A" w:rsidRDefault="002F437A" w:rsidP="002F437A">
      <w:pPr>
        <w:pStyle w:val="BodyText"/>
      </w:pPr>
      <w:r>
        <w:t>We will continue to build and maintain trusted partnerships across government, industry and advocacy organisations to inform the design of high-quality government services and changes to our culture and practices, informed by lessons from the Robodebt Scheme.</w:t>
      </w:r>
    </w:p>
    <w:p w14:paraId="264B5133" w14:textId="21A963EB" w:rsidR="002F437A" w:rsidRDefault="002F437A" w:rsidP="002F437A">
      <w:pPr>
        <w:pStyle w:val="Heading1"/>
        <w:tabs>
          <w:tab w:val="left" w:pos="652"/>
        </w:tabs>
      </w:pPr>
      <w:bookmarkStart w:id="38" w:name="_Toc210815417"/>
      <w:r>
        <w:t>7.2</w:t>
      </w:r>
      <w:r>
        <w:tab/>
        <w:t>Government’s response to the myGov User Audit</w:t>
      </w:r>
      <w:bookmarkEnd w:id="38"/>
    </w:p>
    <w:p w14:paraId="3276C6CD" w14:textId="77777777" w:rsidR="002F437A" w:rsidRDefault="002F437A" w:rsidP="002F437A">
      <w:pPr>
        <w:pStyle w:val="BodyText"/>
      </w:pPr>
      <w:r>
        <w:t xml:space="preserve">The agency continued to deliver improvements to myGov including supporting the government’s response to the myGov User Audit, building on early achievements to create a more secure, simple, and connected experience. </w:t>
      </w:r>
    </w:p>
    <w:p w14:paraId="11B585EF" w14:textId="77777777" w:rsidR="002F437A" w:rsidRDefault="002F437A" w:rsidP="002F437A">
      <w:pPr>
        <w:pStyle w:val="BodyText"/>
      </w:pPr>
      <w:r>
        <w:t xml:space="preserve">In 2024–25 we continued enhancements for customers to improve security and usability, while ensuring the platform grows to meet future needs. Changes included introducing a new security dashboard, a redesigned sign in screen, and additional security for high-risk transactions and SMS notifications. </w:t>
      </w:r>
    </w:p>
    <w:p w14:paraId="7BDFE508" w14:textId="77777777" w:rsidR="002F437A" w:rsidRDefault="002F437A" w:rsidP="002F437A">
      <w:pPr>
        <w:pStyle w:val="BodyText"/>
        <w:spacing w:after="57"/>
      </w:pPr>
      <w:r>
        <w:t>Users now:</w:t>
      </w:r>
    </w:p>
    <w:p w14:paraId="5762617C" w14:textId="77777777" w:rsidR="002F437A" w:rsidRDefault="002F437A" w:rsidP="0084290E">
      <w:pPr>
        <w:pStyle w:val="ListBullet"/>
      </w:pPr>
      <w:r>
        <w:t>get prompts to switch to more secure settings such as multi-factor authentication and switching off secret questions and answers as a sign in option</w:t>
      </w:r>
    </w:p>
    <w:p w14:paraId="7442BC5E" w14:textId="77777777" w:rsidR="002F437A" w:rsidRDefault="002F437A" w:rsidP="0084290E">
      <w:pPr>
        <w:pStyle w:val="ListBullet"/>
      </w:pPr>
      <w:r>
        <w:lastRenderedPageBreak/>
        <w:t>get notifications when sign ins happen from an unrecognised device, including advice on how to take steps to secure their account or seek help</w:t>
      </w:r>
    </w:p>
    <w:p w14:paraId="3F4158AF" w14:textId="77777777" w:rsidR="002F437A" w:rsidRDefault="002F437A" w:rsidP="0084290E">
      <w:pPr>
        <w:pStyle w:val="ListBullet"/>
      </w:pPr>
      <w:r>
        <w:t>have the option to sign into myGov with a passkey, which is more secure than a username and password.</w:t>
      </w:r>
    </w:p>
    <w:p w14:paraId="48F41933" w14:textId="77777777" w:rsidR="002F437A" w:rsidRDefault="002F437A" w:rsidP="002F437A">
      <w:pPr>
        <w:pStyle w:val="BodyText"/>
        <w:spacing w:after="113"/>
      </w:pPr>
      <w:r>
        <w:t>We enhanced tools for staff to help customers with myGov enquiries, by offering more responsive assistance through guided help. We delivered the myGov Incident Response System to help member services prevent and respond to fraud. Work started on initiatives to improve platform accessibility, expand the use of Digital ID and ensure secure integration with other government services. We published the myGov roadmap on the Services Australia website and updated it 6 times, outlining key priorities for the agency to deliver through myGov.</w:t>
      </w:r>
    </w:p>
    <w:p w14:paraId="57779B62" w14:textId="77777777" w:rsidR="002F437A" w:rsidRDefault="002F437A" w:rsidP="002F437A">
      <w:pPr>
        <w:pStyle w:val="Heading2"/>
      </w:pPr>
      <w:r>
        <w:t>Independent Advisory Board</w:t>
      </w:r>
    </w:p>
    <w:p w14:paraId="2290E0FC" w14:textId="77777777" w:rsidR="002F437A" w:rsidRDefault="002F437A" w:rsidP="002F437A">
      <w:pPr>
        <w:pStyle w:val="BodyText"/>
        <w:rPr>
          <w:spacing w:val="-4"/>
        </w:rPr>
      </w:pPr>
      <w:r>
        <w:rPr>
          <w:spacing w:val="-4"/>
        </w:rPr>
        <w:t xml:space="preserve">The Minister for Government Services Independent Advisory Board (the board) was </w:t>
      </w:r>
      <w:r>
        <w:rPr>
          <w:spacing w:val="-3"/>
        </w:rPr>
        <w:t xml:space="preserve">established in response to the myGov User Audit recommendations. The board comprises </w:t>
      </w:r>
      <w:r>
        <w:t xml:space="preserve">non-government members appointed by government with expertise across industry, </w:t>
      </w:r>
      <w:r>
        <w:rPr>
          <w:spacing w:val="-3"/>
        </w:rPr>
        <w:t xml:space="preserve">academia and peak bodies. Drawing on their diverse experience and knowledge, members </w:t>
      </w:r>
      <w:r>
        <w:t>provide guidance and advice on the design, delivery and implementation of government services to ensure they meet the needs of people and the Australian economy.</w:t>
      </w:r>
    </w:p>
    <w:p w14:paraId="2B13E9FB" w14:textId="77777777" w:rsidR="002F437A" w:rsidRDefault="002F437A" w:rsidP="002F437A">
      <w:pPr>
        <w:pStyle w:val="BodyText"/>
      </w:pPr>
      <w:r>
        <w:t>The board was established in its interim form in December 2023 consisting of 9 members. In the 2024–25 Budget, the government agreed to continue the board to June 2028, expanding its membership to 12 members.</w:t>
      </w:r>
    </w:p>
    <w:p w14:paraId="36041222" w14:textId="77777777" w:rsidR="002F437A" w:rsidRDefault="002F437A" w:rsidP="002F437A">
      <w:pPr>
        <w:pStyle w:val="BodyText"/>
      </w:pPr>
      <w:r>
        <w:t>In 2024–25 the board gave advice to the Minister for Government Services on various initiatives considering ethical and human rights impacts and benefits for people and the economy. Topics considered included the agency’s work to improve the digital experience for customers, safe and ethical use of automation and AI, actions towards implementation of the National Agreement on Closing the Gap Action Plan, targeted and tailored support for vulnerable customers, and progress in implementing the government’s response to the Robodebt Royal Commission.</w:t>
      </w:r>
    </w:p>
    <w:p w14:paraId="553874EC" w14:textId="77777777" w:rsidR="002F437A" w:rsidRDefault="002F437A" w:rsidP="002F437A">
      <w:pPr>
        <w:pStyle w:val="BodyText"/>
      </w:pPr>
      <w:r>
        <w:t>You can read more about the Independent Advisory Board on the Minister for Government Services’ website.</w:t>
      </w:r>
    </w:p>
    <w:p w14:paraId="71EA6204" w14:textId="77777777" w:rsidR="002F437A" w:rsidRDefault="002F437A" w:rsidP="002F437A">
      <w:pPr>
        <w:pStyle w:val="Heading1"/>
      </w:pPr>
      <w:bookmarkStart w:id="39" w:name="_Toc210815418"/>
      <w:r>
        <w:t>7.3 Judicial decisions</w:t>
      </w:r>
      <w:bookmarkEnd w:id="39"/>
    </w:p>
    <w:p w14:paraId="47BF1CF4" w14:textId="77777777" w:rsidR="002F437A" w:rsidRDefault="002F437A" w:rsidP="002F437A">
      <w:pPr>
        <w:pStyle w:val="BodyText"/>
      </w:pPr>
      <w:r>
        <w:t xml:space="preserve">In 2024–25 there was one judicial decision involving Services Australia’s operations. </w:t>
      </w:r>
    </w:p>
    <w:p w14:paraId="09C68CE4" w14:textId="77777777" w:rsidR="002F437A" w:rsidRDefault="002F437A" w:rsidP="002F437A">
      <w:pPr>
        <w:pStyle w:val="BodyText"/>
        <w:spacing w:after="283"/>
      </w:pPr>
      <w:r>
        <w:t xml:space="preserve">In </w:t>
      </w:r>
      <w:r>
        <w:rPr>
          <w:rStyle w:val="Italic"/>
        </w:rPr>
        <w:t>Warren vs Chief Executive Officer, Services Australia</w:t>
      </w:r>
      <w:r>
        <w:t xml:space="preserve"> [2024] FCAFC 73, the Full Federal Court set aside a decision of the Administrative Appeals Tribunal (AAT) that certain Cabinet documents were exempt under section 34 of the </w:t>
      </w:r>
      <w:r>
        <w:rPr>
          <w:rStyle w:val="Italic"/>
        </w:rPr>
        <w:t>Freedom of Information Act 1982</w:t>
      </w:r>
      <w:r>
        <w:t xml:space="preserve"> (FOI Act). As a result of this decision, the agency’s freedom of information (FOI) decision was remitted to the newly established Administrative Review Tribunal (ART) for reconsideration. The FOI applicant accepted the agency’s offer to resolve the ART proceedings by release of the documents in issue. On 24 October 2024 the documents were released to the FOI applicant.</w:t>
      </w:r>
    </w:p>
    <w:p w14:paraId="2117CEE9" w14:textId="77777777" w:rsidR="002F437A" w:rsidRDefault="002F437A" w:rsidP="002F437A">
      <w:pPr>
        <w:pStyle w:val="Heading1"/>
      </w:pPr>
      <w:bookmarkStart w:id="40" w:name="_Toc210815419"/>
      <w:r>
        <w:t>7.4 Administrative Review Tribunal</w:t>
      </w:r>
      <w:bookmarkEnd w:id="40"/>
    </w:p>
    <w:p w14:paraId="29699072" w14:textId="77777777" w:rsidR="002F437A" w:rsidRDefault="002F437A" w:rsidP="002F437A">
      <w:pPr>
        <w:pStyle w:val="BodyText"/>
      </w:pPr>
      <w:r>
        <w:t>On 14 October 2024, the AAT ceased operations, with all matters transferred to the ART.</w:t>
      </w:r>
    </w:p>
    <w:p w14:paraId="51D72A0C" w14:textId="77777777" w:rsidR="002F437A" w:rsidRDefault="002F437A" w:rsidP="002F437A">
      <w:pPr>
        <w:pStyle w:val="BodyText"/>
      </w:pPr>
      <w:r>
        <w:t xml:space="preserve">If a person disagrees with a decision by the agency on social security payments, they may, after a formal internal review by an Authorised Review Officer, apply to the ART for a review of that decision </w:t>
      </w:r>
      <w:r>
        <w:lastRenderedPageBreak/>
        <w:t>(ART first review). If they are dissatisfied with the outcome of the ART first review, they may apply to the ART to review it again (ART second review).</w:t>
      </w:r>
    </w:p>
    <w:p w14:paraId="4674F6E2" w14:textId="77777777" w:rsidR="002F437A" w:rsidRDefault="002F437A" w:rsidP="002F437A">
      <w:pPr>
        <w:pStyle w:val="BodyText"/>
      </w:pPr>
      <w:r>
        <w:t xml:space="preserve">Some matters that raise issues of significance to administrative decision making may also be referred to the Guidance and Appeal Panel of the ART. Social security decisions can only be referred to the Guidance and Appeals panel by referral from the President of the ART. </w:t>
      </w:r>
    </w:p>
    <w:p w14:paraId="2202967D" w14:textId="77777777" w:rsidR="002F437A" w:rsidRDefault="002F437A" w:rsidP="002F437A">
      <w:pPr>
        <w:pStyle w:val="BodyText"/>
      </w:pPr>
      <w:r>
        <w:t>Table 46 shows the number of social security payment ART applications received and decisions changed or unchanged for 2024–25.</w:t>
      </w:r>
    </w:p>
    <w:p w14:paraId="58540456" w14:textId="54D24E7E" w:rsidR="002F437A" w:rsidRPr="0084290E" w:rsidRDefault="0084290E" w:rsidP="0084290E">
      <w:pPr>
        <w:pStyle w:val="BodyText"/>
        <w:rPr>
          <w:b/>
          <w:bCs/>
        </w:rPr>
      </w:pPr>
      <w:r w:rsidRPr="0084290E">
        <w:rPr>
          <w:b/>
          <w:bCs/>
        </w:rPr>
        <w:t>Table 46:</w:t>
      </w:r>
      <w:r w:rsidR="002F437A" w:rsidRPr="0084290E">
        <w:rPr>
          <w:b/>
          <w:bCs/>
        </w:rPr>
        <w:t xml:space="preserve"> Social security payments merits review applications and outcomes 2024–25</w:t>
      </w:r>
      <w:r w:rsidR="002F437A" w:rsidRPr="0084290E">
        <w:rPr>
          <w:b/>
          <w:bCs/>
          <w:vertAlign w:val="superscript"/>
        </w:rPr>
        <w:t>(a)</w:t>
      </w:r>
    </w:p>
    <w:tbl>
      <w:tblPr>
        <w:tblStyle w:val="TableGrid"/>
        <w:tblW w:w="5000" w:type="pct"/>
        <w:tblLook w:val="04A0" w:firstRow="1" w:lastRow="0" w:firstColumn="1" w:lastColumn="0" w:noHBand="0" w:noVBand="1"/>
        <w:tblCaption w:val="Social security payments merits review applications and outcomes 2024–25"/>
      </w:tblPr>
      <w:tblGrid>
        <w:gridCol w:w="5252"/>
        <w:gridCol w:w="1948"/>
        <w:gridCol w:w="1948"/>
        <w:gridCol w:w="1948"/>
      </w:tblGrid>
      <w:tr w:rsidR="002F437A" w14:paraId="6F56C4DF" w14:textId="77777777" w:rsidTr="00BC283A">
        <w:trPr>
          <w:trHeight w:val="396"/>
          <w:tblHeader/>
        </w:trPr>
        <w:tc>
          <w:tcPr>
            <w:tcW w:w="2366" w:type="pct"/>
          </w:tcPr>
          <w:p w14:paraId="2A3749A9" w14:textId="77777777" w:rsidR="002F437A" w:rsidRDefault="002F437A" w:rsidP="00682FFF">
            <w:pPr>
              <w:pStyle w:val="NoParagraphStyle"/>
              <w:spacing w:line="240" w:lineRule="auto"/>
              <w:textAlignment w:val="auto"/>
              <w:rPr>
                <w:rFonts w:ascii="Roboto-Medium" w:hAnsi="Roboto-Medium" w:cstheme="minorBidi"/>
                <w:color w:val="auto"/>
                <w:lang w:val="en-AU"/>
              </w:rPr>
            </w:pPr>
          </w:p>
        </w:tc>
        <w:tc>
          <w:tcPr>
            <w:tcW w:w="878" w:type="pct"/>
          </w:tcPr>
          <w:p w14:paraId="261199E2" w14:textId="77777777" w:rsidR="002F437A" w:rsidRPr="00891C1C" w:rsidRDefault="002F437A" w:rsidP="00891C1C">
            <w:pPr>
              <w:pStyle w:val="BodyText"/>
              <w:rPr>
                <w:b/>
                <w:bCs/>
              </w:rPr>
            </w:pPr>
            <w:r w:rsidRPr="00891C1C">
              <w:rPr>
                <w:b/>
                <w:bCs/>
              </w:rPr>
              <w:t>Applications received</w:t>
            </w:r>
          </w:p>
        </w:tc>
        <w:tc>
          <w:tcPr>
            <w:tcW w:w="878" w:type="pct"/>
          </w:tcPr>
          <w:p w14:paraId="0C494381" w14:textId="77777777" w:rsidR="002F437A" w:rsidRPr="00891C1C" w:rsidRDefault="002F437A" w:rsidP="00891C1C">
            <w:pPr>
              <w:pStyle w:val="BodyText"/>
              <w:rPr>
                <w:b/>
                <w:bCs/>
              </w:rPr>
            </w:pPr>
            <w:r w:rsidRPr="00891C1C">
              <w:rPr>
                <w:b/>
                <w:bCs/>
              </w:rPr>
              <w:t>Unchanged decisions</w:t>
            </w:r>
            <w:r w:rsidRPr="00891C1C">
              <w:rPr>
                <w:b/>
                <w:bCs/>
                <w:vertAlign w:val="superscript"/>
              </w:rPr>
              <w:t>(b)</w:t>
            </w:r>
          </w:p>
        </w:tc>
        <w:tc>
          <w:tcPr>
            <w:tcW w:w="878" w:type="pct"/>
          </w:tcPr>
          <w:p w14:paraId="71AF5B84" w14:textId="77777777" w:rsidR="002F437A" w:rsidRPr="00891C1C" w:rsidRDefault="002F437A" w:rsidP="00891C1C">
            <w:pPr>
              <w:pStyle w:val="BodyText"/>
              <w:rPr>
                <w:b/>
                <w:bCs/>
              </w:rPr>
            </w:pPr>
            <w:r w:rsidRPr="00891C1C">
              <w:rPr>
                <w:b/>
                <w:bCs/>
              </w:rPr>
              <w:t>Changed decisions</w:t>
            </w:r>
          </w:p>
        </w:tc>
      </w:tr>
      <w:tr w:rsidR="002F437A" w14:paraId="12AE5154" w14:textId="77777777" w:rsidTr="006A0585">
        <w:trPr>
          <w:trHeight w:val="396"/>
        </w:trPr>
        <w:tc>
          <w:tcPr>
            <w:tcW w:w="2366" w:type="pct"/>
          </w:tcPr>
          <w:p w14:paraId="6ECB8AD5" w14:textId="77777777" w:rsidR="002F437A" w:rsidRDefault="002F437A" w:rsidP="00682FFF">
            <w:pPr>
              <w:pStyle w:val="BodyText"/>
            </w:pPr>
            <w:r>
              <w:t>AAT first review</w:t>
            </w:r>
          </w:p>
        </w:tc>
        <w:tc>
          <w:tcPr>
            <w:tcW w:w="878" w:type="pct"/>
          </w:tcPr>
          <w:p w14:paraId="1199F5E8" w14:textId="77777777" w:rsidR="002F437A" w:rsidRDefault="002F437A" w:rsidP="00682FFF">
            <w:pPr>
              <w:pStyle w:val="Tabletext-RHS"/>
            </w:pPr>
            <w:r>
              <w:t xml:space="preserve"> 4,071</w:t>
            </w:r>
          </w:p>
        </w:tc>
        <w:tc>
          <w:tcPr>
            <w:tcW w:w="878" w:type="pct"/>
          </w:tcPr>
          <w:p w14:paraId="5A7B87BE" w14:textId="77777777" w:rsidR="002F437A" w:rsidRDefault="002F437A" w:rsidP="00682FFF">
            <w:pPr>
              <w:pStyle w:val="Tabletext-RHS"/>
            </w:pPr>
            <w:r>
              <w:t xml:space="preserve"> 2,606</w:t>
            </w:r>
          </w:p>
        </w:tc>
        <w:tc>
          <w:tcPr>
            <w:tcW w:w="878" w:type="pct"/>
          </w:tcPr>
          <w:p w14:paraId="50136248" w14:textId="77777777" w:rsidR="002F437A" w:rsidRDefault="002F437A" w:rsidP="00682FFF">
            <w:pPr>
              <w:pStyle w:val="Tabletext-RHS"/>
            </w:pPr>
            <w:r>
              <w:t xml:space="preserve"> 1,424</w:t>
            </w:r>
          </w:p>
        </w:tc>
      </w:tr>
      <w:tr w:rsidR="002F437A" w14:paraId="77940BF0" w14:textId="77777777" w:rsidTr="006A0585">
        <w:trPr>
          <w:trHeight w:val="396"/>
        </w:trPr>
        <w:tc>
          <w:tcPr>
            <w:tcW w:w="2366" w:type="pct"/>
          </w:tcPr>
          <w:p w14:paraId="4472CFF1" w14:textId="77777777" w:rsidR="002F437A" w:rsidRDefault="002F437A" w:rsidP="00682FFF">
            <w:pPr>
              <w:pStyle w:val="BodyText"/>
            </w:pPr>
            <w:r>
              <w:rPr>
                <w:spacing w:val="-4"/>
              </w:rPr>
              <w:t>AAT second review — customer initiated</w:t>
            </w:r>
          </w:p>
        </w:tc>
        <w:tc>
          <w:tcPr>
            <w:tcW w:w="878" w:type="pct"/>
          </w:tcPr>
          <w:p w14:paraId="03A034E2" w14:textId="77777777" w:rsidR="002F437A" w:rsidRDefault="002F437A" w:rsidP="00682FFF">
            <w:pPr>
              <w:pStyle w:val="Tabletext-RHS"/>
            </w:pPr>
            <w:r>
              <w:rPr>
                <w:spacing w:val="-2"/>
              </w:rPr>
              <w:t xml:space="preserve"> 497</w:t>
            </w:r>
          </w:p>
        </w:tc>
        <w:tc>
          <w:tcPr>
            <w:tcW w:w="878" w:type="pct"/>
          </w:tcPr>
          <w:p w14:paraId="34197DE5" w14:textId="77777777" w:rsidR="002F437A" w:rsidRDefault="002F437A" w:rsidP="00682FFF">
            <w:pPr>
              <w:pStyle w:val="Tabletext-RHS"/>
            </w:pPr>
            <w:r>
              <w:rPr>
                <w:spacing w:val="-2"/>
              </w:rPr>
              <w:t xml:space="preserve"> 431</w:t>
            </w:r>
          </w:p>
        </w:tc>
        <w:tc>
          <w:tcPr>
            <w:tcW w:w="878" w:type="pct"/>
          </w:tcPr>
          <w:p w14:paraId="50FF9215" w14:textId="77777777" w:rsidR="002F437A" w:rsidRDefault="002F437A" w:rsidP="00682FFF">
            <w:pPr>
              <w:pStyle w:val="Tabletext-RHS"/>
            </w:pPr>
            <w:r>
              <w:rPr>
                <w:spacing w:val="-2"/>
              </w:rPr>
              <w:t xml:space="preserve"> 163</w:t>
            </w:r>
          </w:p>
        </w:tc>
      </w:tr>
      <w:tr w:rsidR="002F437A" w14:paraId="0867C938" w14:textId="77777777" w:rsidTr="006A0585">
        <w:trPr>
          <w:trHeight w:val="396"/>
        </w:trPr>
        <w:tc>
          <w:tcPr>
            <w:tcW w:w="2366" w:type="pct"/>
          </w:tcPr>
          <w:p w14:paraId="059AEE00" w14:textId="77777777" w:rsidR="002F437A" w:rsidRDefault="002F437A" w:rsidP="00682FFF">
            <w:pPr>
              <w:pStyle w:val="BodyText"/>
            </w:pPr>
            <w:r>
              <w:t>AAT second review — Secretary applications</w:t>
            </w:r>
            <w:r>
              <w:rPr>
                <w:vertAlign w:val="superscript"/>
              </w:rPr>
              <w:t>(c)</w:t>
            </w:r>
          </w:p>
        </w:tc>
        <w:tc>
          <w:tcPr>
            <w:tcW w:w="878" w:type="pct"/>
          </w:tcPr>
          <w:p w14:paraId="23A93A90" w14:textId="77777777" w:rsidR="002F437A" w:rsidRDefault="002F437A" w:rsidP="00682FFF">
            <w:pPr>
              <w:pStyle w:val="Tabletext-RHS"/>
            </w:pPr>
            <w:r>
              <w:t xml:space="preserve"> 41</w:t>
            </w:r>
          </w:p>
        </w:tc>
        <w:tc>
          <w:tcPr>
            <w:tcW w:w="878" w:type="pct"/>
          </w:tcPr>
          <w:p w14:paraId="2E386182" w14:textId="77777777" w:rsidR="002F437A" w:rsidRDefault="002F437A" w:rsidP="00682FFF">
            <w:pPr>
              <w:pStyle w:val="Tabletext-RHS"/>
            </w:pPr>
            <w:r>
              <w:t xml:space="preserve"> 29</w:t>
            </w:r>
          </w:p>
        </w:tc>
        <w:tc>
          <w:tcPr>
            <w:tcW w:w="878" w:type="pct"/>
          </w:tcPr>
          <w:p w14:paraId="44017EBC" w14:textId="77777777" w:rsidR="002F437A" w:rsidRDefault="002F437A" w:rsidP="00682FFF">
            <w:pPr>
              <w:pStyle w:val="Tabletext-RHS"/>
            </w:pPr>
            <w:r>
              <w:t xml:space="preserve"> 37</w:t>
            </w:r>
          </w:p>
        </w:tc>
      </w:tr>
    </w:tbl>
    <w:p w14:paraId="416C899E" w14:textId="331A2206" w:rsidR="002F437A" w:rsidRDefault="002F437A" w:rsidP="0084290E">
      <w:pPr>
        <w:pStyle w:val="ProductCode"/>
      </w:pPr>
      <w:r>
        <w:t>(a)</w:t>
      </w:r>
      <w:r w:rsidR="0084290E">
        <w:t xml:space="preserve"> </w:t>
      </w:r>
      <w:r>
        <w:t>All references to ART applications and decisions include AAT applications and decisions prior to 14 October 2024.</w:t>
      </w:r>
    </w:p>
    <w:p w14:paraId="7BE8585F" w14:textId="41872ADC" w:rsidR="002F437A" w:rsidRDefault="002F437A" w:rsidP="0084290E">
      <w:pPr>
        <w:pStyle w:val="ProductCode"/>
      </w:pPr>
      <w:r>
        <w:t>(b)</w:t>
      </w:r>
      <w:r w:rsidR="0084290E">
        <w:t xml:space="preserve"> </w:t>
      </w:r>
      <w:r>
        <w:t>Unchanged decisions include applications for review that were affirmed by the ART, withdrawn or dismissed.</w:t>
      </w:r>
    </w:p>
    <w:p w14:paraId="1B933CE2" w14:textId="5B9ACA24" w:rsidR="002F437A" w:rsidRDefault="002F437A" w:rsidP="0084290E">
      <w:pPr>
        <w:pStyle w:val="ProductCode"/>
      </w:pPr>
      <w:r>
        <w:t>(c)</w:t>
      </w:r>
      <w:r w:rsidR="0084290E">
        <w:t xml:space="preserve"> </w:t>
      </w:r>
      <w:r>
        <w:t>Refers to the secretary of any department where the relevant minister is responsible, under the Administrative Arrangements Order, for that part of the social security law that allows for appeal of a decision of the ART.</w:t>
      </w:r>
    </w:p>
    <w:p w14:paraId="7A93740D" w14:textId="77777777" w:rsidR="002F437A" w:rsidRDefault="002F437A" w:rsidP="002F437A">
      <w:pPr>
        <w:pStyle w:val="BodyText"/>
      </w:pPr>
      <w:r>
        <w:t>The ART is also responsible for independently reviewing objections to child support decisions. The child support decisions challenged in the ART in 2024–25 mostly concerned changes of assessment and disputed care arrangements for children.</w:t>
      </w:r>
    </w:p>
    <w:p w14:paraId="05D821A5" w14:textId="77777777" w:rsidR="002F437A" w:rsidRDefault="002F437A" w:rsidP="002F437A">
      <w:pPr>
        <w:pStyle w:val="BodyText"/>
      </w:pPr>
      <w:r>
        <w:t>Table 47 shows the number of child support ART applications received and decisions changed or unchanged.</w:t>
      </w:r>
    </w:p>
    <w:p w14:paraId="4F8F616D" w14:textId="7D73DF55" w:rsidR="002F437A" w:rsidRPr="0084290E" w:rsidRDefault="0084290E" w:rsidP="0084290E">
      <w:pPr>
        <w:pStyle w:val="BodyText"/>
        <w:rPr>
          <w:b/>
          <w:bCs/>
        </w:rPr>
      </w:pPr>
      <w:r w:rsidRPr="0084290E">
        <w:rPr>
          <w:b/>
          <w:bCs/>
        </w:rPr>
        <w:t>Table 47:</w:t>
      </w:r>
      <w:r w:rsidR="002F437A" w:rsidRPr="0084290E">
        <w:rPr>
          <w:b/>
          <w:bCs/>
        </w:rPr>
        <w:t xml:space="preserve"> Child support assessment merits review applications and outcomes 2024–25</w:t>
      </w:r>
      <w:r w:rsidR="002F437A" w:rsidRPr="0084290E">
        <w:rPr>
          <w:b/>
          <w:bCs/>
          <w:vertAlign w:val="superscript"/>
        </w:rPr>
        <w:t>(a)</w:t>
      </w:r>
    </w:p>
    <w:tbl>
      <w:tblPr>
        <w:tblStyle w:val="TableGrid"/>
        <w:tblW w:w="5000" w:type="pct"/>
        <w:tblLook w:val="04A0" w:firstRow="1" w:lastRow="0" w:firstColumn="1" w:lastColumn="0" w:noHBand="0" w:noVBand="1"/>
        <w:tblCaption w:val="Child support assessment merits review applications and outcomes 2024–25"/>
      </w:tblPr>
      <w:tblGrid>
        <w:gridCol w:w="5252"/>
        <w:gridCol w:w="1948"/>
        <w:gridCol w:w="1948"/>
        <w:gridCol w:w="1948"/>
      </w:tblGrid>
      <w:tr w:rsidR="002F437A" w14:paraId="6712B14A" w14:textId="77777777" w:rsidTr="00BC283A">
        <w:trPr>
          <w:trHeight w:val="396"/>
          <w:tblHeader/>
        </w:trPr>
        <w:tc>
          <w:tcPr>
            <w:tcW w:w="2366" w:type="pct"/>
          </w:tcPr>
          <w:p w14:paraId="4A996C10" w14:textId="77777777" w:rsidR="002F437A" w:rsidRDefault="002F437A" w:rsidP="00682FFF">
            <w:pPr>
              <w:pStyle w:val="NoParagraphStyle"/>
              <w:spacing w:line="240" w:lineRule="auto"/>
              <w:textAlignment w:val="auto"/>
              <w:rPr>
                <w:rFonts w:ascii="Roboto-Medium" w:hAnsi="Roboto-Medium" w:cstheme="minorBidi"/>
                <w:color w:val="auto"/>
                <w:lang w:val="en-AU"/>
              </w:rPr>
            </w:pPr>
          </w:p>
        </w:tc>
        <w:tc>
          <w:tcPr>
            <w:tcW w:w="878" w:type="pct"/>
          </w:tcPr>
          <w:p w14:paraId="7AD37701" w14:textId="77777777" w:rsidR="002F437A" w:rsidRPr="00891C1C" w:rsidRDefault="002F437A" w:rsidP="00891C1C">
            <w:pPr>
              <w:pStyle w:val="BodyText"/>
              <w:rPr>
                <w:b/>
                <w:bCs/>
              </w:rPr>
            </w:pPr>
            <w:r w:rsidRPr="00891C1C">
              <w:rPr>
                <w:b/>
                <w:bCs/>
              </w:rPr>
              <w:t>Applications received</w:t>
            </w:r>
          </w:p>
        </w:tc>
        <w:tc>
          <w:tcPr>
            <w:tcW w:w="878" w:type="pct"/>
          </w:tcPr>
          <w:p w14:paraId="1D894F5C" w14:textId="77777777" w:rsidR="002F437A" w:rsidRPr="00891C1C" w:rsidRDefault="002F437A" w:rsidP="00891C1C">
            <w:pPr>
              <w:pStyle w:val="BodyText"/>
              <w:rPr>
                <w:b/>
                <w:bCs/>
              </w:rPr>
            </w:pPr>
            <w:r w:rsidRPr="00891C1C">
              <w:rPr>
                <w:b/>
                <w:bCs/>
              </w:rPr>
              <w:t>Unchanged decisions</w:t>
            </w:r>
          </w:p>
        </w:tc>
        <w:tc>
          <w:tcPr>
            <w:tcW w:w="878" w:type="pct"/>
          </w:tcPr>
          <w:p w14:paraId="37B648C6" w14:textId="77777777" w:rsidR="002F437A" w:rsidRPr="00891C1C" w:rsidRDefault="002F437A" w:rsidP="00891C1C">
            <w:pPr>
              <w:pStyle w:val="BodyText"/>
              <w:rPr>
                <w:b/>
                <w:bCs/>
              </w:rPr>
            </w:pPr>
            <w:r w:rsidRPr="00891C1C">
              <w:rPr>
                <w:b/>
                <w:bCs/>
              </w:rPr>
              <w:t>Changed decisions</w:t>
            </w:r>
          </w:p>
        </w:tc>
      </w:tr>
      <w:tr w:rsidR="002F437A" w14:paraId="6CEFC8FC" w14:textId="77777777" w:rsidTr="006A0585">
        <w:trPr>
          <w:trHeight w:val="396"/>
        </w:trPr>
        <w:tc>
          <w:tcPr>
            <w:tcW w:w="2366" w:type="pct"/>
          </w:tcPr>
          <w:p w14:paraId="53284A29" w14:textId="77777777" w:rsidR="002F437A" w:rsidRDefault="002F437A" w:rsidP="00682FFF">
            <w:pPr>
              <w:pStyle w:val="BodyText"/>
            </w:pPr>
            <w:r>
              <w:t>ART first review</w:t>
            </w:r>
          </w:p>
        </w:tc>
        <w:tc>
          <w:tcPr>
            <w:tcW w:w="878" w:type="pct"/>
          </w:tcPr>
          <w:p w14:paraId="4BB1DE69" w14:textId="77777777" w:rsidR="002F437A" w:rsidRDefault="002F437A" w:rsidP="00682FFF">
            <w:pPr>
              <w:pStyle w:val="Tabletext-RHS"/>
            </w:pPr>
            <w:r>
              <w:t>1,666</w:t>
            </w:r>
          </w:p>
        </w:tc>
        <w:tc>
          <w:tcPr>
            <w:tcW w:w="878" w:type="pct"/>
          </w:tcPr>
          <w:p w14:paraId="01AE41FB" w14:textId="77777777" w:rsidR="002F437A" w:rsidRDefault="002F437A" w:rsidP="00682FFF">
            <w:pPr>
              <w:pStyle w:val="Tabletext-RHS"/>
            </w:pPr>
            <w:r>
              <w:t>357</w:t>
            </w:r>
          </w:p>
        </w:tc>
        <w:tc>
          <w:tcPr>
            <w:tcW w:w="878" w:type="pct"/>
          </w:tcPr>
          <w:p w14:paraId="1525F9E0" w14:textId="77777777" w:rsidR="002F437A" w:rsidRDefault="002F437A" w:rsidP="00682FFF">
            <w:pPr>
              <w:pStyle w:val="Tabletext-RHS"/>
            </w:pPr>
            <w:r>
              <w:t>548</w:t>
            </w:r>
          </w:p>
        </w:tc>
      </w:tr>
      <w:tr w:rsidR="002F437A" w14:paraId="06D27D7D" w14:textId="77777777" w:rsidTr="006A0585">
        <w:trPr>
          <w:trHeight w:val="396"/>
        </w:trPr>
        <w:tc>
          <w:tcPr>
            <w:tcW w:w="2366" w:type="pct"/>
          </w:tcPr>
          <w:p w14:paraId="45FE6EBF" w14:textId="77777777" w:rsidR="002F437A" w:rsidRDefault="002F437A" w:rsidP="00682FFF">
            <w:pPr>
              <w:pStyle w:val="NoParagraphStyle"/>
              <w:spacing w:line="240" w:lineRule="auto"/>
              <w:textAlignment w:val="auto"/>
              <w:rPr>
                <w:rFonts w:ascii="Roboto-Medium" w:hAnsi="Roboto-Medium" w:cstheme="minorBidi"/>
                <w:color w:val="auto"/>
                <w:lang w:val="en-AU"/>
              </w:rPr>
            </w:pPr>
          </w:p>
        </w:tc>
        <w:tc>
          <w:tcPr>
            <w:tcW w:w="878" w:type="pct"/>
          </w:tcPr>
          <w:p w14:paraId="4CEB7153" w14:textId="77777777" w:rsidR="002F437A" w:rsidRDefault="002F437A" w:rsidP="00682FFF">
            <w:pPr>
              <w:pStyle w:val="Tabletext-RHS"/>
            </w:pPr>
            <w:r>
              <w:rPr>
                <w:rStyle w:val="Bold"/>
              </w:rPr>
              <w:t>Applications received</w:t>
            </w:r>
          </w:p>
        </w:tc>
        <w:tc>
          <w:tcPr>
            <w:tcW w:w="878" w:type="pct"/>
          </w:tcPr>
          <w:p w14:paraId="7F67521E" w14:textId="77777777" w:rsidR="002F437A" w:rsidRDefault="002F437A" w:rsidP="00682FFF">
            <w:pPr>
              <w:pStyle w:val="Tabletext-RHS"/>
            </w:pPr>
            <w:r>
              <w:rPr>
                <w:rStyle w:val="Bold"/>
              </w:rPr>
              <w:t xml:space="preserve">Referrals accepted </w:t>
            </w:r>
          </w:p>
        </w:tc>
        <w:tc>
          <w:tcPr>
            <w:tcW w:w="878" w:type="pct"/>
          </w:tcPr>
          <w:p w14:paraId="39C6485A" w14:textId="77777777" w:rsidR="002F437A" w:rsidRDefault="002F437A" w:rsidP="00682FFF">
            <w:pPr>
              <w:pStyle w:val="Tabletext-RHS"/>
            </w:pPr>
            <w:r>
              <w:rPr>
                <w:rStyle w:val="Bold"/>
              </w:rPr>
              <w:t>Referrals refused</w:t>
            </w:r>
            <w:r>
              <w:rPr>
                <w:rStyle w:val="Bold"/>
                <w:vertAlign w:val="superscript"/>
              </w:rPr>
              <w:t>(b)</w:t>
            </w:r>
          </w:p>
        </w:tc>
      </w:tr>
      <w:tr w:rsidR="002F437A" w14:paraId="17AE0D39" w14:textId="77777777" w:rsidTr="006A0585">
        <w:trPr>
          <w:trHeight w:val="396"/>
        </w:trPr>
        <w:tc>
          <w:tcPr>
            <w:tcW w:w="2366" w:type="pct"/>
          </w:tcPr>
          <w:p w14:paraId="5424E140" w14:textId="77777777" w:rsidR="002F437A" w:rsidRDefault="002F437A" w:rsidP="00682FFF">
            <w:pPr>
              <w:pStyle w:val="BodyText"/>
            </w:pPr>
            <w:r>
              <w:t xml:space="preserve">Guidance and Appeals Panel referrals </w:t>
            </w:r>
          </w:p>
        </w:tc>
        <w:tc>
          <w:tcPr>
            <w:tcW w:w="878" w:type="pct"/>
          </w:tcPr>
          <w:p w14:paraId="25E240F9" w14:textId="77777777" w:rsidR="002F437A" w:rsidRDefault="002F437A" w:rsidP="00682FFF">
            <w:pPr>
              <w:pStyle w:val="Tabletext-RHS"/>
            </w:pPr>
            <w:r>
              <w:t>26</w:t>
            </w:r>
          </w:p>
        </w:tc>
        <w:tc>
          <w:tcPr>
            <w:tcW w:w="878" w:type="pct"/>
          </w:tcPr>
          <w:p w14:paraId="73E3596F" w14:textId="77777777" w:rsidR="002F437A" w:rsidRDefault="002F437A" w:rsidP="00682FFF">
            <w:pPr>
              <w:pStyle w:val="Tabletext-RHS"/>
            </w:pPr>
            <w:r>
              <w:t>4</w:t>
            </w:r>
          </w:p>
        </w:tc>
        <w:tc>
          <w:tcPr>
            <w:tcW w:w="878" w:type="pct"/>
          </w:tcPr>
          <w:p w14:paraId="73EAF460" w14:textId="77777777" w:rsidR="002F437A" w:rsidRDefault="002F437A" w:rsidP="00682FFF">
            <w:pPr>
              <w:pStyle w:val="Tabletext-RHS"/>
            </w:pPr>
            <w:r>
              <w:t>14</w:t>
            </w:r>
          </w:p>
        </w:tc>
      </w:tr>
    </w:tbl>
    <w:p w14:paraId="672EAA7B" w14:textId="759ED043" w:rsidR="002F437A" w:rsidRDefault="002F437A" w:rsidP="0084290E">
      <w:pPr>
        <w:pStyle w:val="ProductCode"/>
      </w:pPr>
      <w:r>
        <w:t>(a)</w:t>
      </w:r>
      <w:r w:rsidR="0084290E">
        <w:t xml:space="preserve"> </w:t>
      </w:r>
      <w:r>
        <w:t>All references to ART applications and decisions include AAT applications and decisions prior to 14 October 2024.</w:t>
      </w:r>
    </w:p>
    <w:p w14:paraId="044F1983" w14:textId="24D953DE" w:rsidR="002F437A" w:rsidRDefault="002F437A" w:rsidP="0084290E">
      <w:pPr>
        <w:pStyle w:val="ProductCode"/>
      </w:pPr>
      <w:r>
        <w:t>(b)</w:t>
      </w:r>
      <w:r w:rsidR="0084290E">
        <w:t xml:space="preserve"> </w:t>
      </w:r>
      <w:r>
        <w:t>Includes refusals of extensions of time.</w:t>
      </w:r>
    </w:p>
    <w:p w14:paraId="31A57838" w14:textId="77777777" w:rsidR="002F437A" w:rsidRDefault="002F437A" w:rsidP="002F437A">
      <w:pPr>
        <w:pStyle w:val="Heading1"/>
      </w:pPr>
      <w:bookmarkStart w:id="41" w:name="_Toc210815420"/>
      <w:r>
        <w:t>7.5 Freedom of information</w:t>
      </w:r>
      <w:bookmarkEnd w:id="41"/>
    </w:p>
    <w:p w14:paraId="3401C8C6" w14:textId="77777777" w:rsidR="002F437A" w:rsidRDefault="002F437A" w:rsidP="002F437A">
      <w:pPr>
        <w:pStyle w:val="BodyText"/>
      </w:pPr>
      <w:r>
        <w:t>Under the FOI Act, the agency needs to have an Information Publication Scheme (IPS).</w:t>
      </w:r>
    </w:p>
    <w:p w14:paraId="438011E5" w14:textId="77777777" w:rsidR="002F437A" w:rsidRDefault="002F437A" w:rsidP="002F437A">
      <w:pPr>
        <w:pStyle w:val="BodyText"/>
        <w:spacing w:after="57"/>
      </w:pPr>
      <w:r>
        <w:lastRenderedPageBreak/>
        <w:t>Our IPS includes a range of information about our agency and our programs. Published information on our IPS includes:</w:t>
      </w:r>
    </w:p>
    <w:p w14:paraId="233B6059" w14:textId="77777777" w:rsidR="002F437A" w:rsidRDefault="002F437A" w:rsidP="0084290E">
      <w:pPr>
        <w:pStyle w:val="ListBullet"/>
      </w:pPr>
      <w:r>
        <w:t>information about the organisation and structure of the agency, the location of offices, governance arrangements, senior management team and statutory appointments</w:t>
      </w:r>
    </w:p>
    <w:p w14:paraId="37EC0E39" w14:textId="77777777" w:rsidR="002F437A" w:rsidRDefault="002F437A" w:rsidP="0084290E">
      <w:pPr>
        <w:pStyle w:val="ListBullet"/>
      </w:pPr>
      <w:r>
        <w:t>descriptions of the functions and powers of the agency and the rules, guidelines, practices and precedents relating to those functions and powers that is, operational information</w:t>
      </w:r>
    </w:p>
    <w:p w14:paraId="75EA7D04" w14:textId="77777777" w:rsidR="002F437A" w:rsidRDefault="002F437A" w:rsidP="0084290E">
      <w:pPr>
        <w:pStyle w:val="ListBullet"/>
        <w:rPr>
          <w:spacing w:val="-4"/>
        </w:rPr>
      </w:pPr>
      <w:r>
        <w:rPr>
          <w:spacing w:val="-4"/>
        </w:rPr>
        <w:t>annual reports before parliament, and other information routinely provided to parliament</w:t>
      </w:r>
    </w:p>
    <w:p w14:paraId="3FCAFA44" w14:textId="77777777" w:rsidR="002F437A" w:rsidRDefault="002F437A" w:rsidP="0084290E">
      <w:pPr>
        <w:pStyle w:val="ListBullet"/>
      </w:pPr>
      <w:r>
        <w:t>information that the agency routinely gives access to, in response to FOI requests and the disclosure log of information that has been released under the FOI Act. Information that can be published resulting from FOI requests and any routinely released information from these requests is found in our FOI Disclosure Log.</w:t>
      </w:r>
    </w:p>
    <w:p w14:paraId="68EFC743" w14:textId="77777777" w:rsidR="002F437A" w:rsidRDefault="002F437A" w:rsidP="0084290E">
      <w:pPr>
        <w:pStyle w:val="ListBullet"/>
      </w:pPr>
      <w:r>
        <w:t>information about consultation arrangements that enable members of the public to comment on specific policy proposals that we are responsible.</w:t>
      </w:r>
    </w:p>
    <w:p w14:paraId="51BC36E5" w14:textId="77777777" w:rsidR="002F437A" w:rsidRDefault="002F437A" w:rsidP="002F437A">
      <w:pPr>
        <w:pStyle w:val="BodyText"/>
      </w:pPr>
      <w:r>
        <w:t>For more information about the agency’s IPS, go to the Services Australia website.</w:t>
      </w:r>
    </w:p>
    <w:p w14:paraId="691128BA" w14:textId="77777777" w:rsidR="002F437A" w:rsidRDefault="002F437A" w:rsidP="002F437A">
      <w:pPr>
        <w:pStyle w:val="Heading1"/>
      </w:pPr>
      <w:bookmarkStart w:id="42" w:name="_Toc210815421"/>
      <w:r>
        <w:t>7.6 Auditor-General reports</w:t>
      </w:r>
      <w:bookmarkEnd w:id="42"/>
    </w:p>
    <w:p w14:paraId="52545C62" w14:textId="77777777" w:rsidR="002F437A" w:rsidRDefault="002F437A" w:rsidP="002F437A">
      <w:pPr>
        <w:pStyle w:val="BodyText"/>
        <w:spacing w:after="57"/>
      </w:pPr>
      <w:r>
        <w:t xml:space="preserve">The Australian National Audit Office (ANAO) tabled 3 performance audits relating to the agency in 2024–25: </w:t>
      </w:r>
    </w:p>
    <w:p w14:paraId="0968FC43" w14:textId="77777777" w:rsidR="002F437A" w:rsidRDefault="002F437A" w:rsidP="0084290E">
      <w:pPr>
        <w:pStyle w:val="ListBullet"/>
      </w:pPr>
      <w:r>
        <w:t xml:space="preserve">Administration of the Pharmaceutical Benefits Scheme assessed the effectiveness of the administration of the PBS by the DHDA and the agency. The audit report was published on 17 December 2024 and made 7 recommendations – 2 recommendations were directed to the DHDA, 2 recommendations were directed to the agency and 3 shared recommendations were jointly directed to the DHDA and the agency. </w:t>
      </w:r>
    </w:p>
    <w:p w14:paraId="1BA255F5" w14:textId="77777777" w:rsidR="002F437A" w:rsidRDefault="002F437A" w:rsidP="0084290E">
      <w:pPr>
        <w:pStyle w:val="ListBullet"/>
      </w:pPr>
      <w:r>
        <w:t xml:space="preserve">Ministerial Statements of Expectations and responding Statements of Intent was a cross-entity performance audit that assessed whether entities are providing effective support to ministers to ensure Statements of Expectations and responding Regulator Statements of Intent are in place. The audit report was published on 28 May 2025 and made no recommendations directed to the agency. </w:t>
      </w:r>
    </w:p>
    <w:p w14:paraId="3DC853A6" w14:textId="77777777" w:rsidR="002F437A" w:rsidRDefault="002F437A" w:rsidP="0084290E">
      <w:pPr>
        <w:pStyle w:val="ListBullet"/>
      </w:pPr>
      <w:r>
        <w:t xml:space="preserve">Management and Oversight of Compliance Activities within the Child Care Subsidy Program assessed the effectiveness of the management and oversight of compliance activities within the Child Care Subsidy program by the Department of Education (DoE) and the agency. The audit report was published on 16 June 2025 and made 7 recommendations – 4 recommendations were directed to the DoE and 3 shared recommendations were jointly directed to the DoE and the agency. </w:t>
      </w:r>
    </w:p>
    <w:p w14:paraId="493DD142" w14:textId="77777777" w:rsidR="002F437A" w:rsidRDefault="002F437A" w:rsidP="002F437A">
      <w:pPr>
        <w:pStyle w:val="BodyText"/>
        <w:spacing w:after="57"/>
      </w:pPr>
      <w:r>
        <w:t xml:space="preserve">The agency’s results from ANAO financial statements audits were reported in the following ANAO reports: </w:t>
      </w:r>
    </w:p>
    <w:p w14:paraId="6391B587" w14:textId="77777777" w:rsidR="002F437A" w:rsidRDefault="002F437A" w:rsidP="0084290E">
      <w:pPr>
        <w:pStyle w:val="ListBullet"/>
      </w:pPr>
      <w:r>
        <w:t>Audits of the Financial Statements of Australian Government Entities for the Period Ended 30 June 2024, published on 6 February 2025</w:t>
      </w:r>
    </w:p>
    <w:p w14:paraId="67EDF31A" w14:textId="77777777" w:rsidR="002F437A" w:rsidRDefault="002F437A" w:rsidP="0084290E">
      <w:pPr>
        <w:pStyle w:val="ListBullet"/>
      </w:pPr>
      <w:r>
        <w:rPr>
          <w:spacing w:val="-2"/>
        </w:rPr>
        <w:t xml:space="preserve">Interim Report on Key Financial Controls of Major Entities, published on 29 May 2025. </w:t>
      </w:r>
    </w:p>
    <w:p w14:paraId="2E941E56" w14:textId="77777777" w:rsidR="002F437A" w:rsidRDefault="002F437A" w:rsidP="002F437A">
      <w:pPr>
        <w:pStyle w:val="BodyText"/>
        <w:spacing w:after="57"/>
      </w:pPr>
      <w:r>
        <w:t>The agency’s results from the 2023–24 Annual Performance Statements Audit were reported in the ANAO report:</w:t>
      </w:r>
    </w:p>
    <w:p w14:paraId="035CA6AF" w14:textId="77777777" w:rsidR="002F437A" w:rsidRDefault="002F437A" w:rsidP="0084290E">
      <w:pPr>
        <w:pStyle w:val="ListBullet"/>
      </w:pPr>
      <w:r>
        <w:t>Performance Statements Auditing in the Commonwealth – Outcomes from the 2023–24 Audit Program, published on 19 February 2025.</w:t>
      </w:r>
    </w:p>
    <w:p w14:paraId="14732819" w14:textId="77777777" w:rsidR="002F437A" w:rsidRDefault="002F437A" w:rsidP="002F437A">
      <w:pPr>
        <w:pStyle w:val="BodyText"/>
      </w:pPr>
      <w:r>
        <w:rPr>
          <w:spacing w:val="-2"/>
        </w:rPr>
        <w:t>For more information about these and other ANAO audit reports, go to the ANAO website.</w:t>
      </w:r>
    </w:p>
    <w:p w14:paraId="4B02DCBE" w14:textId="77777777" w:rsidR="002F437A" w:rsidRDefault="002F437A" w:rsidP="002F437A">
      <w:pPr>
        <w:pStyle w:val="Heading1"/>
      </w:pPr>
      <w:bookmarkStart w:id="43" w:name="_Toc210815422"/>
      <w:r>
        <w:lastRenderedPageBreak/>
        <w:t>7.7 Commonwealth Ombudsman</w:t>
      </w:r>
      <w:bookmarkEnd w:id="43"/>
    </w:p>
    <w:p w14:paraId="47DB478E" w14:textId="77777777" w:rsidR="002F437A" w:rsidRDefault="002F437A" w:rsidP="002F437A">
      <w:pPr>
        <w:pStyle w:val="BodyText"/>
        <w:spacing w:after="57"/>
      </w:pPr>
      <w:r>
        <w:t xml:space="preserve">In 2024–25 the agency responded to one public statement and 4 reports published by the Commonwealth Ombudsman about agency activities, following the Ombudsman’s investigations into: </w:t>
      </w:r>
    </w:p>
    <w:p w14:paraId="4254E6F5" w14:textId="77777777" w:rsidR="002F437A" w:rsidRDefault="002F437A" w:rsidP="0084290E">
      <w:pPr>
        <w:pStyle w:val="ListBullet"/>
      </w:pPr>
      <w:r>
        <w:t xml:space="preserve">the Targeted Compliance Framework </w:t>
      </w:r>
    </w:p>
    <w:p w14:paraId="4E2D0CB6" w14:textId="77777777" w:rsidR="002F437A" w:rsidRDefault="002F437A" w:rsidP="0084290E">
      <w:pPr>
        <w:pStyle w:val="ListBullet"/>
      </w:pPr>
      <w:r>
        <w:t>the agency’s response to myGov fraud</w:t>
      </w:r>
    </w:p>
    <w:p w14:paraId="314D7570" w14:textId="77777777" w:rsidR="002F437A" w:rsidRDefault="002F437A" w:rsidP="0084290E">
      <w:pPr>
        <w:pStyle w:val="ListBullet"/>
      </w:pPr>
      <w:r>
        <w:t>engagement with merits review</w:t>
      </w:r>
    </w:p>
    <w:p w14:paraId="039F22EE" w14:textId="77777777" w:rsidR="002F437A" w:rsidRDefault="002F437A" w:rsidP="0084290E">
      <w:pPr>
        <w:pStyle w:val="ListBullet"/>
        <w:rPr>
          <w:spacing w:val="-1"/>
        </w:rPr>
      </w:pPr>
      <w:r>
        <w:rPr>
          <w:spacing w:val="-1"/>
        </w:rPr>
        <w:t>the Child Support program, following a complaint received by a member of the public</w:t>
      </w:r>
    </w:p>
    <w:p w14:paraId="0B0BC4C1" w14:textId="77777777" w:rsidR="002F437A" w:rsidRDefault="002F437A" w:rsidP="0084290E">
      <w:pPr>
        <w:pStyle w:val="ListBullet"/>
      </w:pPr>
      <w:r>
        <w:t>the weaponisation of Child Support.</w:t>
      </w:r>
    </w:p>
    <w:p w14:paraId="5D87CDBE" w14:textId="77777777" w:rsidR="002F437A" w:rsidRDefault="002F437A" w:rsidP="002F437A">
      <w:pPr>
        <w:pStyle w:val="BodyText"/>
        <w:spacing w:after="283"/>
        <w:rPr>
          <w:spacing w:val="-2"/>
        </w:rPr>
      </w:pPr>
      <w:r>
        <w:rPr>
          <w:spacing w:val="-2"/>
        </w:rPr>
        <w:t xml:space="preserve">The agency has worked closely with the relevant policy departments, the Ombudsman’s </w:t>
      </w:r>
      <w:r>
        <w:t>Office and other key Commonwealth stakeholders to respond to the Ombudsman’s findings and recommendations about these matters.</w:t>
      </w:r>
    </w:p>
    <w:p w14:paraId="3DECE39D" w14:textId="77777777" w:rsidR="002F437A" w:rsidRDefault="002F437A" w:rsidP="002F437A">
      <w:pPr>
        <w:pStyle w:val="Heading1"/>
      </w:pPr>
      <w:bookmarkStart w:id="44" w:name="_Toc210815423"/>
      <w:r>
        <w:t>7.8 Australian Information Commissioner</w:t>
      </w:r>
      <w:bookmarkEnd w:id="44"/>
    </w:p>
    <w:p w14:paraId="43E4E5F6" w14:textId="77777777" w:rsidR="002F437A" w:rsidRDefault="002F437A" w:rsidP="002F437A">
      <w:pPr>
        <w:pStyle w:val="BodyText"/>
      </w:pPr>
      <w:r>
        <w:t>In 2024–25 the Privacy Commissioner made one determination against the agency in ‘ATQ’ and CEO of Services Australia (Privacy) [2025] AICmr 19 (23 January 2025). The agency has complied with the Privacy Commissioner’s declarations.</w:t>
      </w:r>
    </w:p>
    <w:p w14:paraId="3F56E5BC" w14:textId="77777777" w:rsidR="002F437A" w:rsidRDefault="002F437A" w:rsidP="002F437A">
      <w:pPr>
        <w:pStyle w:val="BodyText"/>
      </w:pPr>
      <w:r>
        <w:t>In 2024–25, 17 historical FOI decisions made by the agency were set aside by the Freedom of Information Commissioner or delegates in the Office of the Australian Information Commissioner. Recommendations from 10 of these determinations have been implemented and 7 are under review before the ART.</w:t>
      </w:r>
    </w:p>
    <w:p w14:paraId="4BF75918" w14:textId="77777777" w:rsidR="002F437A" w:rsidRDefault="002F437A" w:rsidP="002F437A">
      <w:pPr>
        <w:pStyle w:val="Heading1"/>
      </w:pPr>
      <w:bookmarkStart w:id="45" w:name="_Toc210815424"/>
      <w:r>
        <w:t>7.9 Agency capability review</w:t>
      </w:r>
      <w:bookmarkEnd w:id="45"/>
    </w:p>
    <w:p w14:paraId="6B21D5F1" w14:textId="77777777" w:rsidR="002F437A" w:rsidRDefault="002F437A" w:rsidP="002F437A">
      <w:pPr>
        <w:pStyle w:val="BodyText"/>
      </w:pPr>
      <w:r>
        <w:t>Services Australia participated in the Australian Public Service Commission’s (APSC) pilot Capability Review Program (the review) in 2024, with the final report published by the APSC on 28 January 2025 on its website.</w:t>
      </w:r>
    </w:p>
    <w:p w14:paraId="0C1971CB" w14:textId="77777777" w:rsidR="002F437A" w:rsidRDefault="002F437A" w:rsidP="002F437A">
      <w:pPr>
        <w:pStyle w:val="BodyText"/>
      </w:pPr>
      <w:r>
        <w:t>The review assessed the agency’s current and future capability and considered our ability to meet future objectives and challenges. It identified areas of strength and opportunity to ensure we are positioned to achieve outcomes and deliver critical capabilities over the long term.</w:t>
      </w:r>
    </w:p>
    <w:p w14:paraId="472F3A4F" w14:textId="77777777" w:rsidR="002F437A" w:rsidRDefault="002F437A" w:rsidP="002F437A">
      <w:pPr>
        <w:pStyle w:val="BodyText"/>
      </w:pPr>
      <w:r>
        <w:t xml:space="preserve">The review found our ability to respond when and where it’s needed is one of our greatest strengths. It also highlighted the dedication of staff to the agency’s purpose and genuine passion for serving customers. </w:t>
      </w:r>
    </w:p>
    <w:p w14:paraId="79DCC010" w14:textId="77777777" w:rsidR="002F437A" w:rsidRDefault="002F437A" w:rsidP="002F437A">
      <w:pPr>
        <w:pStyle w:val="BodyText"/>
        <w:spacing w:after="57"/>
      </w:pPr>
      <w:r>
        <w:t xml:space="preserve">In response to the review, the agency developed the Services Australia 2030 Strategy which aims to drive focus and prioritisation across the agency to lift capability across 6 strategic themes: </w:t>
      </w:r>
    </w:p>
    <w:p w14:paraId="24C11E13" w14:textId="3902A93A" w:rsidR="002F437A" w:rsidRDefault="002F437A" w:rsidP="0099421F">
      <w:pPr>
        <w:pStyle w:val="ListNumber"/>
      </w:pPr>
      <w:r>
        <w:t>Customer</w:t>
      </w:r>
    </w:p>
    <w:p w14:paraId="1FAB86E9" w14:textId="303EF0FD" w:rsidR="002F437A" w:rsidRDefault="002F437A" w:rsidP="0099421F">
      <w:pPr>
        <w:pStyle w:val="ListNumber"/>
      </w:pPr>
      <w:r>
        <w:t>People and culture</w:t>
      </w:r>
    </w:p>
    <w:p w14:paraId="1263617A" w14:textId="29AB9794" w:rsidR="002F437A" w:rsidRDefault="002F437A" w:rsidP="0099421F">
      <w:pPr>
        <w:pStyle w:val="ListNumber"/>
      </w:pPr>
      <w:r>
        <w:t>Productivity and efficiency</w:t>
      </w:r>
    </w:p>
    <w:p w14:paraId="099F4E14" w14:textId="341FDF67" w:rsidR="002F437A" w:rsidRDefault="002F437A" w:rsidP="0099421F">
      <w:pPr>
        <w:pStyle w:val="ListNumber"/>
      </w:pPr>
      <w:r>
        <w:tab/>
        <w:t>Integrity</w:t>
      </w:r>
    </w:p>
    <w:p w14:paraId="3F83170E" w14:textId="62A62468" w:rsidR="002F437A" w:rsidRDefault="002F437A" w:rsidP="0099421F">
      <w:pPr>
        <w:pStyle w:val="ListNumber"/>
      </w:pPr>
      <w:r>
        <w:t>Technology and data foundations</w:t>
      </w:r>
    </w:p>
    <w:p w14:paraId="231839FF" w14:textId="3E111927" w:rsidR="002F437A" w:rsidRDefault="002F437A" w:rsidP="0099421F">
      <w:pPr>
        <w:pStyle w:val="ListNumber"/>
      </w:pPr>
      <w:r>
        <w:t>Partnership.</w:t>
      </w:r>
    </w:p>
    <w:p w14:paraId="7375B12B" w14:textId="77777777" w:rsidR="002F437A" w:rsidRDefault="002F437A" w:rsidP="002F437A">
      <w:pPr>
        <w:pStyle w:val="BodyText"/>
      </w:pPr>
      <w:r>
        <w:lastRenderedPageBreak/>
        <w:t xml:space="preserve">The 2030 Strategy will help to ensure we continue to deliver high quality, accessible services and payments, while keeping pace with the expectations and needs of government, our customers and the broader community into the future. </w:t>
      </w:r>
    </w:p>
    <w:p w14:paraId="051AAE0B" w14:textId="77777777" w:rsidR="002F437A" w:rsidRDefault="002F437A" w:rsidP="002F437A">
      <w:pPr>
        <w:pStyle w:val="BodyText"/>
      </w:pPr>
      <w:r>
        <w:t>The 2030 Strategy is published on the Services Australia website.</w:t>
      </w:r>
    </w:p>
    <w:p w14:paraId="17895FE8" w14:textId="77777777" w:rsidR="002F437A" w:rsidRDefault="002F437A" w:rsidP="002F437A">
      <w:pPr>
        <w:pStyle w:val="Heading1"/>
      </w:pPr>
      <w:bookmarkStart w:id="46" w:name="_Toc210815425"/>
      <w:r>
        <w:t>7.10 Parliamentary committee reports</w:t>
      </w:r>
      <w:bookmarkEnd w:id="46"/>
    </w:p>
    <w:p w14:paraId="0C310A58" w14:textId="77777777" w:rsidR="002F437A" w:rsidRDefault="002F437A" w:rsidP="002F437A">
      <w:pPr>
        <w:pStyle w:val="BodyText"/>
      </w:pPr>
      <w:r>
        <w:t>In 2024–25 the agency supported a range of parliamentary inquiries, which involved giving written submissions, attending public hearings and private briefings, submitting answers to questions on notice and supporting policy entities in responding to parliamentary inquiries. These inquiries are detailed below.</w:t>
      </w:r>
    </w:p>
    <w:p w14:paraId="50669B3F" w14:textId="77777777" w:rsidR="002F437A" w:rsidRDefault="002F437A" w:rsidP="002F437A">
      <w:pPr>
        <w:pStyle w:val="Heading4"/>
      </w:pPr>
      <w:r>
        <w:t>Inquiry into procurement at Services Australia and the National Disability Insurance Agency</w:t>
      </w:r>
    </w:p>
    <w:p w14:paraId="0B5EB275" w14:textId="77777777" w:rsidR="002F437A" w:rsidRDefault="002F437A" w:rsidP="002F437A">
      <w:pPr>
        <w:pStyle w:val="BodyText"/>
      </w:pPr>
      <w:r>
        <w:t xml:space="preserve">On 26 June 2024 the Joint Committee of Public Accounts and Audit (JCPAA) tabled its final report into procurement at Services Australia and the NDIA, with a particular focus on the matters contained in or related to the Independent Review of Services Australia and NDIA Procurement and Contracting (the Watt review). The committee made 5 recommendations in the final report. No recommendations were for the agency. </w:t>
      </w:r>
    </w:p>
    <w:p w14:paraId="4AF0DB90" w14:textId="77777777" w:rsidR="002F437A" w:rsidRDefault="002F437A" w:rsidP="002F437A">
      <w:pPr>
        <w:pStyle w:val="BodyText"/>
      </w:pPr>
      <w:r>
        <w:t>On 11 February 2025 the committee requested a general update on the implementation of the recommendations from the Watt review. On 28 February 2025 the agency provided the committee with the requested update. On 1 April 2025 the committee requested clarification and more information on gifts and hospitality provided by Salesforce. On 17 June 2025 the agency gave its response to the committee.</w:t>
      </w:r>
    </w:p>
    <w:p w14:paraId="152411D6" w14:textId="77777777" w:rsidR="002F437A" w:rsidRDefault="002F437A" w:rsidP="002F437A">
      <w:pPr>
        <w:pStyle w:val="Heading4"/>
      </w:pPr>
      <w:r>
        <w:t>Inquiry into Commonwealth Financial Statements 2022–23</w:t>
      </w:r>
    </w:p>
    <w:p w14:paraId="23CCEF26" w14:textId="77777777" w:rsidR="002F437A" w:rsidRDefault="002F437A" w:rsidP="002F437A">
      <w:pPr>
        <w:pStyle w:val="BodyText"/>
      </w:pPr>
      <w:r>
        <w:t>On 5 November 2024 the JCPAA tabled its final report on its inquiry into Auditor-General Report No. 9 of 2023–24: Audits of the Financial Statements of Australian Government Entities for the Period Ended 30 June 2023. The committee made 5 recommendations in the final report – one recommendation was for the agency, being recommendation 5. On 29 April 2025 the agency provided its response to recommendation 5 in the form of an executive minute to the committee.</w:t>
      </w:r>
    </w:p>
    <w:p w14:paraId="07FF4552" w14:textId="77777777" w:rsidR="002F437A" w:rsidRDefault="002F437A" w:rsidP="002F437A">
      <w:pPr>
        <w:pStyle w:val="Heading4"/>
      </w:pPr>
      <w:r>
        <w:t>Inquiry into public sector information technology procurement and projects</w:t>
      </w:r>
    </w:p>
    <w:p w14:paraId="67131D53" w14:textId="77777777" w:rsidR="002F437A" w:rsidRDefault="002F437A" w:rsidP="002F437A">
      <w:pPr>
        <w:pStyle w:val="BodyText"/>
        <w:rPr>
          <w:spacing w:val="-2"/>
        </w:rPr>
      </w:pPr>
      <w:r>
        <w:t xml:space="preserve">On 18 February 2025 the JCPAA tabled the final report of its inquiry into information </w:t>
      </w:r>
      <w:r>
        <w:rPr>
          <w:spacing w:val="-2"/>
        </w:rPr>
        <w:t xml:space="preserve">technology procurement processes across the public sector. On 10 April 2024 the agency </w:t>
      </w:r>
      <w:r>
        <w:t>provided its submission to the inquiry. The committee made 3 recommendations in the final report. No recommendations were for the agency.</w:t>
      </w:r>
    </w:p>
    <w:p w14:paraId="6358DE61" w14:textId="77777777" w:rsidR="002F437A" w:rsidRDefault="002F437A" w:rsidP="002F437A">
      <w:pPr>
        <w:pStyle w:val="Heading4"/>
      </w:pPr>
      <w:r>
        <w:t>Inquiry into Financial Services Regulatory Framework in Relation to Financial Abuse</w:t>
      </w:r>
    </w:p>
    <w:p w14:paraId="63581849" w14:textId="77777777" w:rsidR="002F437A" w:rsidRDefault="002F437A" w:rsidP="002F437A">
      <w:pPr>
        <w:pStyle w:val="BodyText"/>
      </w:pPr>
      <w:r>
        <w:t>On 6 December 2024 the Parliamentary Joint Committee on Corporations and Financial Services tabled the final report of its inquiry into the financial services regulatory framework in relation to financial abuse. During the inquiry, the agency provided input into a draft submission led by the DSS, attended 2 hearings and responded to questions on notice. The committee made 61 recommendations in the final report, with 2 recommendations naming the agency: recommendations 49 and 58. These recommendations relate to legislative and regulatory changes and as such, the agency will provide input if requested into the Australian Government response.</w:t>
      </w:r>
    </w:p>
    <w:p w14:paraId="45A89BAF" w14:textId="77777777" w:rsidR="002F437A" w:rsidRDefault="002F437A" w:rsidP="002F437A">
      <w:pPr>
        <w:pStyle w:val="Heading4"/>
      </w:pPr>
      <w:r>
        <w:lastRenderedPageBreak/>
        <w:t>Select Committee on the Tasmanian Freight Equalisation Scheme</w:t>
      </w:r>
    </w:p>
    <w:p w14:paraId="70696961" w14:textId="77777777" w:rsidR="002F437A" w:rsidRDefault="002F437A" w:rsidP="002F437A">
      <w:pPr>
        <w:pStyle w:val="BodyText"/>
      </w:pPr>
      <w:r>
        <w:t>On 20 August 2024 the Senate established a select committee relating to the Tasmanian Freight Equalisation Scheme. On 13 September 2024 the agency gave input into a submission led by the then Department of Infrastructure, Transport, Regional Development, Communications and the Arts (DITRDCA). On 18 September 2024 the agency was invited to make a submission. On 23 September 2024 the agency declined to make a submission. On 25 October 2024 the agency received an invitation to appear at a public hearing. On 13 November 2024 the agency attended a public hearing alongside DITRDCA where one question on notice was taken. The response was tabled on 22 November 2024. On 19 December 2024 the committee tabled its final report. The committee made 5 recommendations in the final report. 2 recommendations were for agency: recommendations 3 and 4. Responses to these recommendations were provided to DITRDCA, for inclusion in the Australian Government response.</w:t>
      </w:r>
    </w:p>
    <w:p w14:paraId="16FCA228" w14:textId="77777777" w:rsidR="002F437A" w:rsidRDefault="002F437A" w:rsidP="002F437A">
      <w:pPr>
        <w:pStyle w:val="Heading4"/>
      </w:pPr>
      <w:r>
        <w:t>Inquiry into the use and governance of artificial intelligence systems by public sector entities – ‘Proceed with Caution’</w:t>
      </w:r>
    </w:p>
    <w:p w14:paraId="74E58C01" w14:textId="77777777" w:rsidR="002F437A" w:rsidRDefault="002F437A" w:rsidP="002F437A">
      <w:pPr>
        <w:pStyle w:val="BodyText"/>
      </w:pPr>
      <w:r>
        <w:t>On 12 September 2024 the JCPAA adopted an inquiry into the use and governance of artificial intelligence systems by public sector entities. On 30 September 2024 the agency was invited to make a submission. On 18 October 2024 the agency provided its submission to the committee. On 3 March 2025 the committee tabled its final report. The committee made 4 recommendations in the final report. No recommendations were for the agency.</w:t>
      </w:r>
    </w:p>
    <w:p w14:paraId="2538FA66" w14:textId="77777777" w:rsidR="002F437A" w:rsidRDefault="002F437A" w:rsidP="002F437A">
      <w:pPr>
        <w:pStyle w:val="Heading4"/>
      </w:pPr>
      <w:r>
        <w:t>Services Australia – Proposed Fit-out of Existing Leased Premises at Caroline Chisholm Centre 57 Athllon Drive, Greenway, Australian Capital Territory</w:t>
      </w:r>
    </w:p>
    <w:p w14:paraId="15EAF499" w14:textId="77777777" w:rsidR="002F437A" w:rsidRDefault="002F437A" w:rsidP="002F437A">
      <w:pPr>
        <w:pStyle w:val="BodyText"/>
      </w:pPr>
      <w:r>
        <w:t xml:space="preserve">On 16 December 2024 the Parliamentary Standing Committee on Public Works invited the agency to appear at a hearing which the agency accepted. On 18 February 2025 the agency appeared at the public hearing and took 3 questions on notice. Responses were tabled on 4 March 2025. On 25 March 2025 the committee tabled its final report. The committee listed 3 recommendations; all aimed at the House of Representatives resolving the proposed works. On 27 March 2025, the House of Representatives moved that, in accordance with the provisions of the </w:t>
      </w:r>
      <w:r>
        <w:rPr>
          <w:rStyle w:val="Italic"/>
        </w:rPr>
        <w:t>Public Works Committee Act 1969</w:t>
      </w:r>
      <w:r>
        <w:t xml:space="preserve">, it is expedient to carry out the following proposed work that was referred to the Parliamentary Standing Committee on Public Works and on which the committee has duly reported to Parliament: Services Australia – Proposed fit-out of existing leased premises at Caroline Chisholm Centre, 57 Athllon Drive, Greenway, Australian Capital Territory. The question was put forward and passed. The agency will notify the committee of any changes to the project scope, time, cost, function or design and provide a post-implementation report within 3 months of project completion. </w:t>
      </w:r>
    </w:p>
    <w:p w14:paraId="78DD3E1C" w14:textId="77777777" w:rsidR="002F437A" w:rsidRDefault="002F437A" w:rsidP="002F437A">
      <w:pPr>
        <w:pStyle w:val="Heading4"/>
      </w:pPr>
      <w:r>
        <w:t>Services Australia – Proposed Fit-out of New Leased Premises at 158–186 Walker Street, Townsville, Queensland</w:t>
      </w:r>
    </w:p>
    <w:p w14:paraId="5AA4AB56" w14:textId="77777777" w:rsidR="002F437A" w:rsidRDefault="002F437A" w:rsidP="002F437A">
      <w:pPr>
        <w:pStyle w:val="BodyText"/>
      </w:pPr>
      <w:r>
        <w:t xml:space="preserve">On 16 December 2024 the Parliamentary Standing Committee on Public Works invited the agency to a public hearing which the agency accepted. On 18 February 2025 the agency appeared at the hearing and took 3 questions on notice. Responses were tabled on 4 March 2025. On 25 March 2025 the committee tabled its final report. The committee listed 3 recommendations, all aimed at the House of Representatives resolving the proposed works. On 27 March 2025, the House of Representatives moved that, in accordance with the provisions of the </w:t>
      </w:r>
      <w:r>
        <w:rPr>
          <w:rStyle w:val="Italic"/>
        </w:rPr>
        <w:t>Public Works Committee Act 1969</w:t>
      </w:r>
      <w:r>
        <w:t xml:space="preserve">, it is expedient to carry out the following proposed work that was referred to the Parliamentary Standing Committee on Public Works and on which the committee has duly reported to Parliament: Services Australia – Proposed Fit-out of New Leased Premises at 158–186 Walker Street, Townsville, Queensland. The question was put forward and passed. The agency will notify the committee of any changes to the project scope, time, cost, function or design and provide a post-implementation report within 3 months of project completion. </w:t>
      </w:r>
    </w:p>
    <w:p w14:paraId="7A4DE31F" w14:textId="77777777" w:rsidR="002F437A" w:rsidRDefault="002F437A" w:rsidP="002F437A">
      <w:pPr>
        <w:pStyle w:val="Heading4"/>
      </w:pPr>
      <w:r>
        <w:lastRenderedPageBreak/>
        <w:t>Inquiry into Early Childhood Education and Care (Three Day Guarantee) Bill 2025 [Provisions]</w:t>
      </w:r>
    </w:p>
    <w:p w14:paraId="190F1726" w14:textId="77777777" w:rsidR="002F437A" w:rsidRDefault="002F437A" w:rsidP="002F437A">
      <w:pPr>
        <w:pStyle w:val="BodyText"/>
      </w:pPr>
      <w:r>
        <w:t xml:space="preserve">On 6 February 2025 the Senate referred the provisions of the Early Childhood Education and Care (Three Day Guarantee) Bill 2025 to the Senate Standing Committee for </w:t>
      </w:r>
      <w:r>
        <w:rPr>
          <w:spacing w:val="-2"/>
        </w:rPr>
        <w:t xml:space="preserve">Education and Employment for inquiry and report by 21 March 2025. On 6 February 2025 </w:t>
      </w:r>
      <w:r>
        <w:t xml:space="preserve">the agency was invited to make a submission. On 12 February 2025 the agency </w:t>
      </w:r>
      <w:r>
        <w:rPr>
          <w:spacing w:val="-1"/>
        </w:rPr>
        <w:t xml:space="preserve">declined to make a submission. On 14 March 2025 the committee tabled its final report. </w:t>
      </w:r>
      <w:r>
        <w:rPr>
          <w:spacing w:val="-2"/>
        </w:rPr>
        <w:t>The committee made no recommendations.</w:t>
      </w:r>
    </w:p>
    <w:p w14:paraId="72F7BC15" w14:textId="77777777" w:rsidR="002F437A" w:rsidRDefault="002F437A" w:rsidP="002F437A">
      <w:pPr>
        <w:pStyle w:val="Heading4"/>
      </w:pPr>
      <w:r>
        <w:rPr>
          <w:spacing w:val="-4"/>
        </w:rPr>
        <w:t>Inquiry into Commonwealth Workplace Protection Orders Bill 2024 [Provisions]</w:t>
      </w:r>
    </w:p>
    <w:p w14:paraId="24F76313" w14:textId="77777777" w:rsidR="002F437A" w:rsidRDefault="002F437A" w:rsidP="002F437A">
      <w:pPr>
        <w:pStyle w:val="BodyText"/>
      </w:pPr>
      <w:r>
        <w:t>On 6 February 2025 the Senate referred the provisions of the Commonwealth Workplace Protection Orders Bill 2024 to the Senate Legal and Constitutional Affairs Legislation Committee for inquiry and report. On 10 February 2025 the agency was invited to make a submission. On 21 February 2025 the agency provided its submission to the committee. On 14 March 2025 the committee tabled its final report. The committee made no recommendations.</w:t>
      </w:r>
    </w:p>
    <w:p w14:paraId="45E87165" w14:textId="77777777" w:rsidR="002F437A" w:rsidRDefault="002F437A" w:rsidP="002F437A">
      <w:pPr>
        <w:pStyle w:val="Heading1"/>
      </w:pPr>
      <w:bookmarkStart w:id="47" w:name="_Toc210815426"/>
      <w:r>
        <w:t>7.11 Strategic Commissioning Framework</w:t>
      </w:r>
      <w:bookmarkEnd w:id="47"/>
      <w:r>
        <w:t xml:space="preserve"> </w:t>
      </w:r>
    </w:p>
    <w:p w14:paraId="0152F89A" w14:textId="77777777" w:rsidR="002F437A" w:rsidRDefault="002F437A" w:rsidP="002F437A">
      <w:pPr>
        <w:pStyle w:val="BodyText"/>
      </w:pPr>
      <w:r>
        <w:t xml:space="preserve">The APS Strategic Commissioning Framework (the framework) requires the agency to build APS capability and appropriately manage integrity risks through reduced reliance on external contractors. </w:t>
      </w:r>
    </w:p>
    <w:p w14:paraId="6717D54E" w14:textId="77777777" w:rsidR="002F437A" w:rsidRDefault="002F437A" w:rsidP="002F437A">
      <w:pPr>
        <w:pStyle w:val="BodyText"/>
      </w:pPr>
      <w:r>
        <w:t xml:space="preserve">We achieved an expenditure reduction of $2.6 million against a target of $9.3 million in 2024–25. Within the targeted areas, supplier expenditure reduced in the job families of Accounting and Finance, Communications and Marketing, Portfolio/Program/Project Management and Human Resources. Many factors were considered as the agency implemented actions towards achieving targets including delivery of agency priorities. </w:t>
      </w:r>
    </w:p>
    <w:p w14:paraId="185EF55E" w14:textId="77777777" w:rsidR="002F437A" w:rsidRDefault="002F437A" w:rsidP="002F437A">
      <w:pPr>
        <w:pStyle w:val="BodyText"/>
      </w:pPr>
      <w:r>
        <w:t>The agency’s target, and actions towards achieving the target, were set in the context of significant reductions in the use of external workforces achieved in recent years. At the end of the 2023–24 financial year, the APS workforce constituted 85% of total workforce expenditure, this was an increase from 69% in 2019–20. There was a corresponding decrease in non-APS workforce expenditure of $733 million over the same period.</w:t>
      </w:r>
    </w:p>
    <w:p w14:paraId="0DF7E8E6" w14:textId="77777777" w:rsidR="002F437A" w:rsidRDefault="002F437A" w:rsidP="002F437A">
      <w:pPr>
        <w:pStyle w:val="BodyText"/>
      </w:pPr>
      <w:r>
        <w:t>We also embedded the APS Strategic Commissioning Framework’s principles into agency policies, procedures and processes.</w:t>
      </w:r>
    </w:p>
    <w:p w14:paraId="7AAE798C" w14:textId="77777777" w:rsidR="002F437A" w:rsidRDefault="002F437A" w:rsidP="002F437A">
      <w:pPr>
        <w:pStyle w:val="BodyText"/>
      </w:pPr>
      <w:r>
        <w:t>Services Australia will continue to implement the APS Strategic Commissioning Framework, building on the work undertaken in 2024–25. We will continue to assess workforce capabilities and identify opportunities to rebalance our workforce in a way that strengthens APS capability, manages integrity risks and best enables us to deliver for our customers.</w:t>
      </w:r>
    </w:p>
    <w:tbl>
      <w:tblPr>
        <w:tblStyle w:val="TableGrid"/>
        <w:tblW w:w="5000" w:type="pct"/>
        <w:tblLook w:val="04A0" w:firstRow="1" w:lastRow="0" w:firstColumn="1" w:lastColumn="0" w:noHBand="0" w:noVBand="1"/>
        <w:tblCaption w:val="Case study – Streamlined service improves outcomes for vulnerable customers"/>
      </w:tblPr>
      <w:tblGrid>
        <w:gridCol w:w="11096"/>
      </w:tblGrid>
      <w:tr w:rsidR="0099421F" w14:paraId="3245A016" w14:textId="77777777" w:rsidTr="006A0585">
        <w:tc>
          <w:tcPr>
            <w:tcW w:w="5000" w:type="pct"/>
          </w:tcPr>
          <w:p w14:paraId="3040CA8D" w14:textId="77777777" w:rsidR="0099421F" w:rsidRPr="0099421F" w:rsidRDefault="0099421F" w:rsidP="0099421F">
            <w:pPr>
              <w:pStyle w:val="Heading2"/>
              <w:rPr>
                <w:lang w:val="en-GB"/>
              </w:rPr>
            </w:pPr>
            <w:r w:rsidRPr="0099421F">
              <w:lastRenderedPageBreak/>
              <w:t>Case study –</w:t>
            </w:r>
            <w:r>
              <w:t xml:space="preserve"> </w:t>
            </w:r>
            <w:r w:rsidRPr="0099421F">
              <w:rPr>
                <w:lang w:val="en-GB"/>
              </w:rPr>
              <w:t>Streamlined service improves outcomes for vulnerable customers</w:t>
            </w:r>
          </w:p>
          <w:p w14:paraId="40A75D5D" w14:textId="77777777" w:rsidR="0099421F" w:rsidRPr="0099421F" w:rsidRDefault="0099421F" w:rsidP="0099421F">
            <w:pPr>
              <w:pStyle w:val="BodyText"/>
              <w:rPr>
                <w:lang w:val="en-GB"/>
              </w:rPr>
            </w:pPr>
            <w:r w:rsidRPr="0099421F">
              <w:rPr>
                <w:lang w:val="en-GB"/>
              </w:rPr>
              <w:t>A streamlined channel into Services Australia is resolving complex customer cases for community legal advocates more efficiently.</w:t>
            </w:r>
          </w:p>
          <w:p w14:paraId="6FB57FF7" w14:textId="77777777" w:rsidR="0099421F" w:rsidRPr="0099421F" w:rsidRDefault="0099421F" w:rsidP="0099421F">
            <w:pPr>
              <w:pStyle w:val="BodyText"/>
              <w:rPr>
                <w:lang w:val="en-GB"/>
              </w:rPr>
            </w:pPr>
            <w:r w:rsidRPr="0099421F">
              <w:rPr>
                <w:lang w:val="en-GB"/>
              </w:rPr>
              <w:t>The Advocates Channel enables legal advocates to contact an appropriately trained Services Australia staff member to directly resolve Medicare, Centrelink, or Child Support claims for their most vulnerable customers. This includes clients at high risk, in crisis, experiencing immediate vulnerability or with limited support and connections.</w:t>
            </w:r>
          </w:p>
          <w:p w14:paraId="20FB1600" w14:textId="77777777" w:rsidR="0099421F" w:rsidRPr="0099421F" w:rsidRDefault="0099421F" w:rsidP="0099421F">
            <w:pPr>
              <w:pStyle w:val="BodyText"/>
              <w:rPr>
                <w:lang w:val="en-GB"/>
              </w:rPr>
            </w:pPr>
            <w:r w:rsidRPr="0099421F">
              <w:rPr>
                <w:lang w:val="en-GB"/>
              </w:rPr>
              <w:t>The Advocates Channel has not only improved positive outcomes but significantly increased the speed with which complex cases can be resolved.</w:t>
            </w:r>
          </w:p>
          <w:p w14:paraId="5B87CDCC" w14:textId="77777777" w:rsidR="0099421F" w:rsidRPr="0099421F" w:rsidRDefault="0099421F" w:rsidP="0099421F">
            <w:pPr>
              <w:pStyle w:val="BodyText"/>
              <w:rPr>
                <w:lang w:val="en-GB"/>
              </w:rPr>
            </w:pPr>
            <w:r w:rsidRPr="0099421F">
              <w:rPr>
                <w:lang w:val="en-GB"/>
              </w:rPr>
              <w:t>Following the success of a 6-month pilot with Economic Justice Australia, the Advocates Channel is now an ongoing service and has expanded to serve more legal peak bodies.</w:t>
            </w:r>
          </w:p>
          <w:p w14:paraId="03EEF61C" w14:textId="77777777" w:rsidR="0099421F" w:rsidRPr="0099421F" w:rsidRDefault="0099421F" w:rsidP="0099421F">
            <w:pPr>
              <w:pStyle w:val="BodyText"/>
              <w:rPr>
                <w:lang w:val="en-GB"/>
              </w:rPr>
            </w:pPr>
            <w:r w:rsidRPr="0099421F">
              <w:rPr>
                <w:lang w:val="en-GB"/>
              </w:rPr>
              <w:t xml:space="preserve">So far, 19 community legal services have connected with the channel, increasing the speed at which they can support their clients. </w:t>
            </w:r>
          </w:p>
          <w:p w14:paraId="01645256" w14:textId="77777777" w:rsidR="0099421F" w:rsidRPr="0099421F" w:rsidRDefault="0099421F" w:rsidP="0099421F">
            <w:pPr>
              <w:pStyle w:val="BodyText"/>
              <w:rPr>
                <w:lang w:val="en-GB"/>
              </w:rPr>
            </w:pPr>
            <w:r w:rsidRPr="0099421F">
              <w:rPr>
                <w:lang w:val="en-GB"/>
              </w:rPr>
              <w:t>There are 121 registered users who can now directly connect with knowledgeable staff to resolve complex issues more quickly.</w:t>
            </w:r>
          </w:p>
          <w:p w14:paraId="18424AC9" w14:textId="77777777" w:rsidR="0099421F" w:rsidRPr="0099421F" w:rsidRDefault="0099421F" w:rsidP="0099421F">
            <w:pPr>
              <w:pStyle w:val="BodyText"/>
              <w:rPr>
                <w:lang w:val="en-GB"/>
              </w:rPr>
            </w:pPr>
            <w:r w:rsidRPr="0099421F">
              <w:rPr>
                <w:lang w:val="en-GB"/>
              </w:rPr>
              <w:t>Since 1 July 2024 the Advocates Channel has resolved over 1,700 enquiries, improving the outcome for customers in crisis or experiencing vulnerability.</w:t>
            </w:r>
          </w:p>
          <w:p w14:paraId="423BB115" w14:textId="77777777" w:rsidR="0099421F" w:rsidRPr="0099421F" w:rsidRDefault="0099421F" w:rsidP="0099421F">
            <w:pPr>
              <w:pStyle w:val="BodyText"/>
              <w:rPr>
                <w:lang w:val="en-GB"/>
              </w:rPr>
            </w:pPr>
            <w:r w:rsidRPr="0099421F">
              <w:rPr>
                <w:lang w:val="en-GB"/>
              </w:rPr>
              <w:t>The Advocates Channel is an important step towards better engagement between Services Australia and advocacy groups, which was a key recommendation from the Royal Commission into the Robodebt Scheme.</w:t>
            </w:r>
          </w:p>
          <w:p w14:paraId="07055CB2" w14:textId="77777777" w:rsidR="0099421F" w:rsidRPr="0099421F" w:rsidRDefault="0099421F" w:rsidP="0099421F">
            <w:pPr>
              <w:pStyle w:val="BodyText"/>
              <w:rPr>
                <w:lang w:val="en-GB"/>
              </w:rPr>
            </w:pPr>
            <w:r w:rsidRPr="0099421F">
              <w:rPr>
                <w:lang w:val="en-GB"/>
              </w:rPr>
              <w:t>Thanks to this support service, informed and compassionate staff on both ends can collaborate to resolve complex issues, often in a matter of days. It’s a simple, more personalised service, with staff able to provide clarity around reasons behind decisions.</w:t>
            </w:r>
          </w:p>
          <w:p w14:paraId="65ACD3C9" w14:textId="73C1BD3A" w:rsidR="0099421F" w:rsidRDefault="0099421F" w:rsidP="0099421F">
            <w:pPr>
              <w:pStyle w:val="BodyText"/>
            </w:pPr>
            <w:r w:rsidRPr="0099421F">
              <w:rPr>
                <w:lang w:val="en-GB"/>
              </w:rPr>
              <w:t>This means people experiencing vulnerability can get the support they need more quickly, allowing them to get on with their lives.</w:t>
            </w:r>
          </w:p>
        </w:tc>
      </w:tr>
    </w:tbl>
    <w:p w14:paraId="3E7F7590" w14:textId="570526C2" w:rsidR="00B96C7E" w:rsidRDefault="0084290E" w:rsidP="0084290E">
      <w:pPr>
        <w:pStyle w:val="Heading1"/>
      </w:pPr>
      <w:bookmarkStart w:id="48" w:name="_Toc210815427"/>
      <w:r>
        <w:t xml:space="preserve">Part 8 – </w:t>
      </w:r>
      <w:r w:rsidR="0099421F">
        <w:t>Our people</w:t>
      </w:r>
      <w:bookmarkEnd w:id="48"/>
    </w:p>
    <w:p w14:paraId="3A449E5A" w14:textId="77777777" w:rsidR="0099421F" w:rsidRDefault="0099421F" w:rsidP="00495E86">
      <w:pPr>
        <w:pStyle w:val="BodyText"/>
      </w:pPr>
      <w:r>
        <w:t>Our people are critical to us being a world leader in government service delivery. With a focus on continuous learning, wellbeing and inclusion, our staff are empowered to deliver the best customer service possible.</w:t>
      </w:r>
    </w:p>
    <w:p w14:paraId="757BBB7B" w14:textId="77777777" w:rsidR="0099421F" w:rsidRDefault="0099421F" w:rsidP="0099421F">
      <w:pPr>
        <w:pStyle w:val="BodyText"/>
      </w:pPr>
      <w:r>
        <w:t>In March 2025 we released our Strategic workforce plan 2025 to 2027, setting our priorities to build a sustainable, productive and future-ready workforce.</w:t>
      </w:r>
    </w:p>
    <w:p w14:paraId="26D46741" w14:textId="77777777" w:rsidR="0099421F" w:rsidRDefault="0099421F" w:rsidP="0099421F">
      <w:pPr>
        <w:pStyle w:val="BodyText"/>
      </w:pPr>
      <w:r>
        <w:t xml:space="preserve">As at 30 June 2025 the agency employed 35,203 APS staff (see Table 70 on page 232) across 360 sites. </w:t>
      </w:r>
    </w:p>
    <w:p w14:paraId="3D89EEF9" w14:textId="77777777" w:rsidR="0099421F" w:rsidRDefault="0099421F" w:rsidP="0099421F">
      <w:pPr>
        <w:pStyle w:val="Heading1"/>
      </w:pPr>
      <w:bookmarkStart w:id="49" w:name="_Toc210815428"/>
      <w:r>
        <w:t>8.1 Workforce strategies and planning</w:t>
      </w:r>
      <w:bookmarkEnd w:id="49"/>
    </w:p>
    <w:p w14:paraId="6FA18F6F" w14:textId="77777777" w:rsidR="0099421F" w:rsidRDefault="0099421F" w:rsidP="0099421F">
      <w:pPr>
        <w:pStyle w:val="BodyText"/>
      </w:pPr>
      <w:r>
        <w:t xml:space="preserve">Our Strategic workforce plan 2025 to 2027 (workforce plan) supports the overarching goals of our People strategy: Our vision for 2025, to help staff adapt to the changing nature of work. It is guided by </w:t>
      </w:r>
      <w:r>
        <w:lastRenderedPageBreak/>
        <w:t xml:space="preserve">our 2030 Vision, Corporate plan 2024–25 and 2024 Census Action Plan, positioning the agency to respond to a changing operating environment and shifts in our ways of working and type of skills required, to harness the benefits of digital technology. </w:t>
      </w:r>
    </w:p>
    <w:p w14:paraId="24089262" w14:textId="77777777" w:rsidR="0099421F" w:rsidRDefault="0099421F" w:rsidP="0099421F">
      <w:pPr>
        <w:pStyle w:val="BodyText"/>
        <w:spacing w:after="57"/>
      </w:pPr>
      <w:r>
        <w:rPr>
          <w:spacing w:val="-2"/>
        </w:rPr>
        <w:t>We worked with our staff to develop the workforce plan which focuses on 3 priority areas:</w:t>
      </w:r>
    </w:p>
    <w:p w14:paraId="77E47338" w14:textId="77777777" w:rsidR="0099421F" w:rsidRDefault="0099421F" w:rsidP="00495E86">
      <w:pPr>
        <w:pStyle w:val="ListBullet"/>
      </w:pPr>
      <w:r>
        <w:t>attraction and retention</w:t>
      </w:r>
    </w:p>
    <w:p w14:paraId="12251F56" w14:textId="77777777" w:rsidR="0099421F" w:rsidRDefault="0099421F" w:rsidP="00495E86">
      <w:pPr>
        <w:pStyle w:val="ListBullet"/>
      </w:pPr>
      <w:r>
        <w:t>workforce capability</w:t>
      </w:r>
    </w:p>
    <w:p w14:paraId="352FE09D" w14:textId="77777777" w:rsidR="0099421F" w:rsidRDefault="0099421F" w:rsidP="00495E86">
      <w:pPr>
        <w:pStyle w:val="ListBullet"/>
      </w:pPr>
      <w:r>
        <w:t>staff experience.</w:t>
      </w:r>
    </w:p>
    <w:p w14:paraId="08C8AD9F" w14:textId="77777777" w:rsidR="0099421F" w:rsidRDefault="0099421F" w:rsidP="0099421F">
      <w:pPr>
        <w:pStyle w:val="BodyText"/>
      </w:pPr>
      <w:r>
        <w:t xml:space="preserve">The workforce plan guides initiatives to support the agency to become an employer of choice, enhance the staff experience, expand professional development opportunities and give staff practical support to develop skills and manage their own career growth. </w:t>
      </w:r>
    </w:p>
    <w:p w14:paraId="04490EDA" w14:textId="77777777" w:rsidR="0099421F" w:rsidRDefault="0099421F" w:rsidP="0099421F">
      <w:pPr>
        <w:pStyle w:val="Heading1"/>
      </w:pPr>
      <w:bookmarkStart w:id="50" w:name="_Toc210815429"/>
      <w:r>
        <w:t>8.2 Our culture</w:t>
      </w:r>
      <w:bookmarkEnd w:id="50"/>
    </w:p>
    <w:p w14:paraId="01CB7BDE" w14:textId="77777777" w:rsidR="0099421F" w:rsidRDefault="0099421F" w:rsidP="0099421F">
      <w:pPr>
        <w:pStyle w:val="BodyText"/>
      </w:pPr>
      <w:r>
        <w:t xml:space="preserve">We continue to listen to our staff and take action to enhance their experience at work. </w:t>
      </w:r>
    </w:p>
    <w:p w14:paraId="765BAFBD" w14:textId="77777777" w:rsidR="0099421F" w:rsidRDefault="0099421F" w:rsidP="0099421F">
      <w:pPr>
        <w:pStyle w:val="BodyText"/>
        <w:spacing w:after="57"/>
      </w:pPr>
      <w:r>
        <w:t xml:space="preserve">The annual APS employee census collects information on staff sentiment and their experience of our culture. Through the 2024 census we identified 4 priority areas of focus that were included in our 2024 Census Action Plan. The targeted improvements were in: </w:t>
      </w:r>
    </w:p>
    <w:p w14:paraId="3671D96D" w14:textId="77777777" w:rsidR="0099421F" w:rsidRDefault="0099421F" w:rsidP="005679AA">
      <w:pPr>
        <w:pStyle w:val="ListBullet"/>
      </w:pPr>
      <w:r>
        <w:t>health and wellbeing</w:t>
      </w:r>
    </w:p>
    <w:p w14:paraId="48AF0D6E" w14:textId="77777777" w:rsidR="0099421F" w:rsidRDefault="0099421F" w:rsidP="005679AA">
      <w:pPr>
        <w:pStyle w:val="ListBullet"/>
      </w:pPr>
      <w:r>
        <w:t xml:space="preserve">innovation and change </w:t>
      </w:r>
    </w:p>
    <w:p w14:paraId="7EA2FED6" w14:textId="77777777" w:rsidR="0099421F" w:rsidRDefault="0099421F" w:rsidP="005679AA">
      <w:pPr>
        <w:pStyle w:val="ListBullet"/>
      </w:pPr>
      <w:r>
        <w:t>leadership</w:t>
      </w:r>
    </w:p>
    <w:p w14:paraId="4E175BB1" w14:textId="77777777" w:rsidR="0099421F" w:rsidRDefault="0099421F" w:rsidP="005679AA">
      <w:pPr>
        <w:pStyle w:val="ListBullet"/>
      </w:pPr>
      <w:r>
        <w:t>culture and values.</w:t>
      </w:r>
    </w:p>
    <w:p w14:paraId="71256A31" w14:textId="77777777" w:rsidR="0099421F" w:rsidRDefault="0099421F" w:rsidP="0099421F">
      <w:pPr>
        <w:pStyle w:val="BodyText"/>
      </w:pPr>
      <w:r>
        <w:t>To improve health and wellbeing, in 2024–25 we created a mental health first aid officer network and delivered new health and safety learning pathways. These and other actions strengthened our focus on building psychologically safe environments that allow for open discussion and testing ideas. We supported leadership, innovation and change by expanding leadership training programs, providing new tools and training for leaders, and growing our network of change champions. More than 5,000 staff provided input to inform the design of a new inclusion and diversity strategy.</w:t>
      </w:r>
    </w:p>
    <w:p w14:paraId="00FB175C" w14:textId="77777777" w:rsidR="0099421F" w:rsidRDefault="0099421F" w:rsidP="0099421F">
      <w:pPr>
        <w:pStyle w:val="Heading1"/>
      </w:pPr>
      <w:bookmarkStart w:id="51" w:name="_Toc210815430"/>
      <w:r>
        <w:t>8.3 Work health and safety</w:t>
      </w:r>
      <w:bookmarkEnd w:id="51"/>
    </w:p>
    <w:p w14:paraId="3BBBD9EC" w14:textId="77777777" w:rsidR="0099421F" w:rsidRDefault="0099421F" w:rsidP="0099421F">
      <w:pPr>
        <w:pStyle w:val="BodyText"/>
      </w:pPr>
      <w:r>
        <w:t xml:space="preserve">The agency complies with its obligations under the </w:t>
      </w:r>
      <w:r>
        <w:rPr>
          <w:rStyle w:val="Italic"/>
        </w:rPr>
        <w:t>Work Health and Safety Act 2011</w:t>
      </w:r>
      <w:r>
        <w:t xml:space="preserve">. Our Work health and safety strategy 2021 to 2026 (the strategy) guides continuous improvement in safety and gives staff a framework to build and sustain a positive safety culture. We prioritise the safety of our staff and support them in looking after their health and wellbeing. </w:t>
      </w:r>
    </w:p>
    <w:p w14:paraId="30A400BD" w14:textId="77777777" w:rsidR="0099421F" w:rsidRDefault="0099421F" w:rsidP="0099421F">
      <w:pPr>
        <w:pStyle w:val="BodyText"/>
        <w:spacing w:after="57"/>
      </w:pPr>
      <w:r>
        <w:t xml:space="preserve">The strategy outlines initiatives in: </w:t>
      </w:r>
    </w:p>
    <w:p w14:paraId="1EBD14F9" w14:textId="77777777" w:rsidR="0099421F" w:rsidRDefault="0099421F" w:rsidP="005679AA">
      <w:pPr>
        <w:pStyle w:val="ListBullet"/>
      </w:pPr>
      <w:r>
        <w:t xml:space="preserve">people – work health and safety consultation, safety leadership and capability </w:t>
      </w:r>
    </w:p>
    <w:p w14:paraId="56DA64C7" w14:textId="77777777" w:rsidR="0099421F" w:rsidRDefault="0099421F" w:rsidP="005679AA">
      <w:pPr>
        <w:pStyle w:val="ListBullet"/>
      </w:pPr>
      <w:r>
        <w:t xml:space="preserve">workplaces – safe service design, mentally safe workplaces and wellbeing </w:t>
      </w:r>
    </w:p>
    <w:p w14:paraId="13591BB5" w14:textId="77777777" w:rsidR="0099421F" w:rsidRDefault="0099421F" w:rsidP="005679AA">
      <w:pPr>
        <w:pStyle w:val="ListBullet"/>
      </w:pPr>
      <w:r>
        <w:t xml:space="preserve">systems – work health and safety tools and resources, critical risk identification and controls. </w:t>
      </w:r>
    </w:p>
    <w:p w14:paraId="5C88BA6E" w14:textId="77777777" w:rsidR="0099421F" w:rsidRDefault="0099421F" w:rsidP="0099421F">
      <w:pPr>
        <w:pStyle w:val="BodyText"/>
      </w:pPr>
      <w:r>
        <w:t>We implement initiatives to ensure psychosocial safety at work and reduce the risk of psychological injury. Our Health and wellbeing framework 2021–26 complements the strategy by providing resources and initiatives that support a safe and respectful work environment.</w:t>
      </w:r>
    </w:p>
    <w:p w14:paraId="0464F956" w14:textId="77777777" w:rsidR="0099421F" w:rsidRDefault="0099421F" w:rsidP="0099421F">
      <w:pPr>
        <w:pStyle w:val="Heading2"/>
      </w:pPr>
      <w:r>
        <w:lastRenderedPageBreak/>
        <w:t>Security Risk Management Review</w:t>
      </w:r>
    </w:p>
    <w:p w14:paraId="30BE16E2" w14:textId="77777777" w:rsidR="0099421F" w:rsidRDefault="0099421F" w:rsidP="0099421F">
      <w:pPr>
        <w:pStyle w:val="BodyText"/>
      </w:pPr>
      <w:r>
        <w:t>The agency is continuing to implement recommendations from the Security Risk Management Review (the review) to improve security and safety for our staff and customers following an incident where a customer seriously injured a staff member.</w:t>
      </w:r>
    </w:p>
    <w:p w14:paraId="0780B040" w14:textId="77777777" w:rsidR="0099421F" w:rsidRDefault="0099421F" w:rsidP="0099421F">
      <w:pPr>
        <w:pStyle w:val="BodyText"/>
      </w:pPr>
      <w:r>
        <w:t>As at 30 June 2025, 20 of the 44 review recommendations were complete, and the agency was on track to implement all remaining recommendations by July 2026.</w:t>
      </w:r>
    </w:p>
    <w:p w14:paraId="6EF63A0D" w14:textId="77777777" w:rsidR="0099421F" w:rsidRDefault="0099421F" w:rsidP="0099421F">
      <w:pPr>
        <w:pStyle w:val="BodyText"/>
        <w:spacing w:after="57"/>
      </w:pPr>
      <w:r>
        <w:t>We worked with the Attorney-General’s Department to legislate better protections for Commonwealth workers, including:</w:t>
      </w:r>
    </w:p>
    <w:p w14:paraId="771DE467" w14:textId="77777777" w:rsidR="0099421F" w:rsidRDefault="0099421F" w:rsidP="005679AA">
      <w:pPr>
        <w:pStyle w:val="ListBullet"/>
      </w:pPr>
      <w:r>
        <w:t xml:space="preserve">the </w:t>
      </w:r>
      <w:r>
        <w:rPr>
          <w:rStyle w:val="Italic"/>
          <w:spacing w:val="-4"/>
        </w:rPr>
        <w:t>Criminal Code Amendment (Protecting Commonwealth Frontline Workers) Act 2024</w:t>
      </w:r>
      <w:r>
        <w:t>, which was enacted on 9 July 2024 to strengthen criminal penalties relating to acts of violence and aggression against Commonwealth frontline workers</w:t>
      </w:r>
    </w:p>
    <w:p w14:paraId="50D041F9" w14:textId="77777777" w:rsidR="0099421F" w:rsidRDefault="0099421F" w:rsidP="005679AA">
      <w:pPr>
        <w:pStyle w:val="ListBullet"/>
      </w:pPr>
      <w:r>
        <w:t>the Commonwealth Workplace Protection Orders Bill 2025, which will establish a Commonwealth Workplace Protection Orders scheme to provide legal protections for Commonwealth workplaces and workers and deter acts of violence and other harmful behaviours by members of the public.</w:t>
      </w:r>
    </w:p>
    <w:p w14:paraId="1FDCCDFE" w14:textId="77777777" w:rsidR="0099421F" w:rsidRDefault="0099421F" w:rsidP="0099421F">
      <w:pPr>
        <w:pStyle w:val="BodyText"/>
        <w:spacing w:after="57"/>
      </w:pPr>
      <w:r>
        <w:t>Our actions to enhance security and improve the safety of our staff and customers in service centres include:</w:t>
      </w:r>
    </w:p>
    <w:p w14:paraId="74D74B22" w14:textId="77777777" w:rsidR="0099421F" w:rsidRDefault="0099421F" w:rsidP="005679AA">
      <w:pPr>
        <w:pStyle w:val="ListBullet"/>
      </w:pPr>
      <w:r>
        <w:t>increasing security guards deployed, including 2 guards at 258 service centres</w:t>
      </w:r>
    </w:p>
    <w:p w14:paraId="026A4A98" w14:textId="77777777" w:rsidR="0099421F" w:rsidRDefault="0099421F" w:rsidP="005679AA">
      <w:pPr>
        <w:pStyle w:val="ListBullet"/>
      </w:pPr>
      <w:r>
        <w:t xml:space="preserve">upgrading the design of 57 service centres at risk of high levels of customer aggression in conjunction with our service centre modernisation program to </w:t>
      </w:r>
      <w:r>
        <w:rPr>
          <w:spacing w:val="-2"/>
        </w:rPr>
        <w:t>strengthen security features while maintaining a customer-centric service experience</w:t>
      </w:r>
    </w:p>
    <w:p w14:paraId="42BC6AC8" w14:textId="77777777" w:rsidR="0099421F" w:rsidRDefault="0099421F" w:rsidP="005679AA">
      <w:pPr>
        <w:pStyle w:val="ListBullet"/>
      </w:pPr>
      <w:r>
        <w:t xml:space="preserve">rolling out customer self-check-in kiosks in 83 service centres to reduce stand-up queuing and provide real-time information to service centre leaders about any known risks </w:t>
      </w:r>
    </w:p>
    <w:p w14:paraId="51595206" w14:textId="77777777" w:rsidR="0099421F" w:rsidRDefault="0099421F" w:rsidP="005679AA">
      <w:pPr>
        <w:pStyle w:val="ListBullet"/>
      </w:pPr>
      <w:r>
        <w:t>upgrading the agency’s appointment system to allow more face to face and phone appointments to be booked by customers online</w:t>
      </w:r>
    </w:p>
    <w:p w14:paraId="6AAC9914" w14:textId="77777777" w:rsidR="0099421F" w:rsidRDefault="0099421F" w:rsidP="005679AA">
      <w:pPr>
        <w:pStyle w:val="ListBullet"/>
      </w:pPr>
      <w:r>
        <w:t xml:space="preserve">expanding the roll out of advanced customer aggression training to approximately 3,500 frontline staff, skilling them to respond to and de-escalate customer aggression </w:t>
      </w:r>
    </w:p>
    <w:p w14:paraId="7A79797E" w14:textId="77777777" w:rsidR="0099421F" w:rsidRDefault="0099421F" w:rsidP="005679AA">
      <w:pPr>
        <w:pStyle w:val="ListBullet"/>
      </w:pPr>
      <w:r>
        <w:t xml:space="preserve">updating agency systems from 7 February 2025 to store images taken from closed-circuit television of customers who are known to pose a risk to staff and customer safety, and to share these between our service centres </w:t>
      </w:r>
    </w:p>
    <w:p w14:paraId="2136BFD3" w14:textId="77777777" w:rsidR="0099421F" w:rsidRDefault="0099421F" w:rsidP="005679AA">
      <w:pPr>
        <w:pStyle w:val="ListBullet"/>
      </w:pPr>
      <w:r>
        <w:t>introducing new security investigator and security intelligence roles focused on proactive engagement and liaison with law enforcement agencies to investigate opportunities to improve intelligence about safety and security risks to staff and customers</w:t>
      </w:r>
    </w:p>
    <w:p w14:paraId="4C69CE9A" w14:textId="77777777" w:rsidR="0099421F" w:rsidRDefault="0099421F" w:rsidP="005679AA">
      <w:pPr>
        <w:pStyle w:val="ListBullet"/>
      </w:pPr>
      <w:r>
        <w:t>configuring our new Protective Security Operations Centre to begin a full range of operations from July 2026 to monitor incidents immediately and in real time.</w:t>
      </w:r>
    </w:p>
    <w:p w14:paraId="1227D8B1" w14:textId="77777777" w:rsidR="0099421F" w:rsidRDefault="0099421F" w:rsidP="0099421F">
      <w:pPr>
        <w:pStyle w:val="Heading2"/>
      </w:pPr>
      <w:r>
        <w:rPr>
          <w:rFonts w:ascii="Roboto-BoldItalic" w:hAnsi="Roboto-BoldItalic" w:cs="Roboto-BoldItalic"/>
          <w:i/>
          <w:iCs w:val="0"/>
        </w:rPr>
        <w:t xml:space="preserve">Work Health and Safety Act 2011 </w:t>
      </w:r>
      <w:r>
        <w:t>reporting</w:t>
      </w:r>
    </w:p>
    <w:p w14:paraId="1DB0C39D" w14:textId="77777777" w:rsidR="0099421F" w:rsidRDefault="0099421F" w:rsidP="0099421F">
      <w:pPr>
        <w:pStyle w:val="BodyText"/>
      </w:pPr>
      <w:r>
        <w:t xml:space="preserve">In 2024–25 Comcare did not conduct any reactive workplace inspections or proactive engagements in the agency. </w:t>
      </w:r>
    </w:p>
    <w:p w14:paraId="214D1230" w14:textId="77777777" w:rsidR="0099421F" w:rsidRDefault="0099421F" w:rsidP="0099421F">
      <w:pPr>
        <w:pStyle w:val="BodyText"/>
      </w:pPr>
      <w:r>
        <w:t>In March 2025 Comcare initiated a monitoring compliance activity for a report of a psychosocial hazard in a work group in Victoria that as of 30 June 2025 was ongoing. Comcare closed a monitoring compliance activity that began in 2023 related to a concern about refurbishments of the agency’s service centres and issued a final report on 2 June 2025 with no further remediation actions assigned to the agency.</w:t>
      </w:r>
    </w:p>
    <w:p w14:paraId="24BF7F1A" w14:textId="77777777" w:rsidR="0099421F" w:rsidRDefault="0099421F" w:rsidP="0099421F">
      <w:pPr>
        <w:pStyle w:val="BodyText"/>
      </w:pPr>
      <w:r>
        <w:lastRenderedPageBreak/>
        <w:t xml:space="preserve">Following an investigation by Comcare, a single criminal charge was laid against Services Australia (as the responsible Australian Government agency) relating to a violent incident that happened at the Airport West Service Centre in May 2023. The charge alleges the agency contravened the </w:t>
      </w:r>
      <w:r>
        <w:rPr>
          <w:rStyle w:val="Italic"/>
        </w:rPr>
        <w:t>Work Health Safety Act 2011</w:t>
      </w:r>
      <w:r>
        <w:t xml:space="preserve">. </w:t>
      </w:r>
    </w:p>
    <w:p w14:paraId="617BBCBE" w14:textId="77777777" w:rsidR="0099421F" w:rsidRDefault="0099421F" w:rsidP="0099421F">
      <w:pPr>
        <w:pStyle w:val="BodyText"/>
      </w:pPr>
      <w:r>
        <w:t>See ‘Security Risk Management Review’ on page 142 for more information about work undertaken to improve the safety of our staff and customers in services centres.</w:t>
      </w:r>
    </w:p>
    <w:p w14:paraId="6304BCFB" w14:textId="77777777" w:rsidR="0099421F" w:rsidRDefault="0099421F" w:rsidP="0099421F">
      <w:pPr>
        <w:pStyle w:val="BodyText"/>
      </w:pPr>
      <w:r>
        <w:rPr>
          <w:spacing w:val="-1"/>
        </w:rPr>
        <w:t xml:space="preserve">In 2024–25 the agency notified Comcare of 63 incidents, compared with 58 in 2023–24. </w:t>
      </w:r>
    </w:p>
    <w:p w14:paraId="0033B972" w14:textId="77777777" w:rsidR="0099421F" w:rsidRDefault="0099421F" w:rsidP="0099421F">
      <w:pPr>
        <w:pStyle w:val="BodyText"/>
      </w:pPr>
      <w:r>
        <w:t>Table 48 shows the number of incidents recorded over the last 2 years.</w:t>
      </w:r>
    </w:p>
    <w:p w14:paraId="5B5DEF6D" w14:textId="54FAD4E4" w:rsidR="0099421F" w:rsidRPr="005679AA" w:rsidRDefault="005679AA" w:rsidP="005679AA">
      <w:pPr>
        <w:pStyle w:val="BodyText"/>
        <w:rPr>
          <w:b/>
          <w:bCs/>
        </w:rPr>
      </w:pPr>
      <w:r w:rsidRPr="005679AA">
        <w:rPr>
          <w:b/>
          <w:bCs/>
        </w:rPr>
        <w:t>Table 48:</w:t>
      </w:r>
      <w:r w:rsidR="0099421F" w:rsidRPr="005679AA">
        <w:rPr>
          <w:b/>
          <w:bCs/>
        </w:rPr>
        <w:t xml:space="preserve"> Incidents notified to Comcare</w:t>
      </w:r>
    </w:p>
    <w:tbl>
      <w:tblPr>
        <w:tblStyle w:val="TableGrid"/>
        <w:tblW w:w="5000" w:type="pct"/>
        <w:tblLook w:val="04A0" w:firstRow="1" w:lastRow="0" w:firstColumn="1" w:lastColumn="0" w:noHBand="0" w:noVBand="1"/>
        <w:tblCaption w:val="Incidents notified to Comcare"/>
      </w:tblPr>
      <w:tblGrid>
        <w:gridCol w:w="7200"/>
        <w:gridCol w:w="1948"/>
        <w:gridCol w:w="1948"/>
      </w:tblGrid>
      <w:tr w:rsidR="0099421F" w14:paraId="4D445EA1" w14:textId="77777777" w:rsidTr="00BC283A">
        <w:trPr>
          <w:trHeight w:val="396"/>
          <w:tblHeader/>
        </w:trPr>
        <w:tc>
          <w:tcPr>
            <w:tcW w:w="3244" w:type="pct"/>
          </w:tcPr>
          <w:p w14:paraId="3DB71E76" w14:textId="77777777" w:rsidR="0099421F" w:rsidRPr="00891C1C" w:rsidRDefault="0099421F" w:rsidP="00891C1C">
            <w:pPr>
              <w:pStyle w:val="BodyText"/>
              <w:rPr>
                <w:b/>
                <w:bCs/>
              </w:rPr>
            </w:pPr>
            <w:r w:rsidRPr="00891C1C">
              <w:rPr>
                <w:b/>
                <w:bCs/>
              </w:rPr>
              <w:t xml:space="preserve">Type of incident </w:t>
            </w:r>
          </w:p>
        </w:tc>
        <w:tc>
          <w:tcPr>
            <w:tcW w:w="878" w:type="pct"/>
          </w:tcPr>
          <w:p w14:paraId="35187261" w14:textId="77777777" w:rsidR="0099421F" w:rsidRPr="00891C1C" w:rsidRDefault="0099421F" w:rsidP="00891C1C">
            <w:pPr>
              <w:pStyle w:val="BodyText"/>
              <w:rPr>
                <w:b/>
                <w:bCs/>
              </w:rPr>
            </w:pPr>
            <w:r w:rsidRPr="00891C1C">
              <w:rPr>
                <w:b/>
                <w:bCs/>
              </w:rPr>
              <w:t>2023–24</w:t>
            </w:r>
          </w:p>
        </w:tc>
        <w:tc>
          <w:tcPr>
            <w:tcW w:w="878" w:type="pct"/>
          </w:tcPr>
          <w:p w14:paraId="05E8C118" w14:textId="77777777" w:rsidR="0099421F" w:rsidRPr="00891C1C" w:rsidRDefault="0099421F" w:rsidP="00891C1C">
            <w:pPr>
              <w:pStyle w:val="BodyText"/>
              <w:rPr>
                <w:b/>
                <w:bCs/>
              </w:rPr>
            </w:pPr>
            <w:r w:rsidRPr="00891C1C">
              <w:rPr>
                <w:b/>
                <w:bCs/>
              </w:rPr>
              <w:t>2024–25</w:t>
            </w:r>
          </w:p>
        </w:tc>
      </w:tr>
      <w:tr w:rsidR="0099421F" w14:paraId="042AAF7E" w14:textId="77777777" w:rsidTr="006A0585">
        <w:trPr>
          <w:trHeight w:val="396"/>
        </w:trPr>
        <w:tc>
          <w:tcPr>
            <w:tcW w:w="3244" w:type="pct"/>
          </w:tcPr>
          <w:p w14:paraId="52EF2712" w14:textId="77777777" w:rsidR="0099421F" w:rsidRDefault="0099421F" w:rsidP="00682FFF">
            <w:pPr>
              <w:pStyle w:val="BodyText"/>
            </w:pPr>
            <w:r>
              <w:t xml:space="preserve">Death </w:t>
            </w:r>
          </w:p>
        </w:tc>
        <w:tc>
          <w:tcPr>
            <w:tcW w:w="878" w:type="pct"/>
          </w:tcPr>
          <w:p w14:paraId="3BBABC8C" w14:textId="77777777" w:rsidR="0099421F" w:rsidRDefault="0099421F" w:rsidP="00682FFF">
            <w:pPr>
              <w:pStyle w:val="Tabletext-RHS"/>
            </w:pPr>
            <w:r>
              <w:t>0</w:t>
            </w:r>
          </w:p>
        </w:tc>
        <w:tc>
          <w:tcPr>
            <w:tcW w:w="878" w:type="pct"/>
          </w:tcPr>
          <w:p w14:paraId="05E02CFE" w14:textId="77777777" w:rsidR="0099421F" w:rsidRDefault="0099421F" w:rsidP="00682FFF">
            <w:pPr>
              <w:pStyle w:val="Tabletext-RHS"/>
            </w:pPr>
            <w:r>
              <w:t>0</w:t>
            </w:r>
          </w:p>
        </w:tc>
      </w:tr>
      <w:tr w:rsidR="0099421F" w14:paraId="740A8B60" w14:textId="77777777" w:rsidTr="006A0585">
        <w:trPr>
          <w:trHeight w:val="396"/>
        </w:trPr>
        <w:tc>
          <w:tcPr>
            <w:tcW w:w="3244" w:type="pct"/>
          </w:tcPr>
          <w:p w14:paraId="749B367C" w14:textId="77777777" w:rsidR="0099421F" w:rsidRDefault="0099421F" w:rsidP="00682FFF">
            <w:pPr>
              <w:pStyle w:val="BodyText"/>
            </w:pPr>
            <w:r>
              <w:t>Serious injury or illness</w:t>
            </w:r>
          </w:p>
        </w:tc>
        <w:tc>
          <w:tcPr>
            <w:tcW w:w="878" w:type="pct"/>
          </w:tcPr>
          <w:p w14:paraId="0186185B" w14:textId="77777777" w:rsidR="0099421F" w:rsidRDefault="0099421F" w:rsidP="00682FFF">
            <w:pPr>
              <w:pStyle w:val="Tabletext-RHS"/>
            </w:pPr>
            <w:r>
              <w:rPr>
                <w:spacing w:val="-2"/>
              </w:rPr>
              <w:t>8</w:t>
            </w:r>
          </w:p>
        </w:tc>
        <w:tc>
          <w:tcPr>
            <w:tcW w:w="878" w:type="pct"/>
          </w:tcPr>
          <w:p w14:paraId="1060FE5A" w14:textId="77777777" w:rsidR="0099421F" w:rsidRDefault="0099421F" w:rsidP="00682FFF">
            <w:pPr>
              <w:pStyle w:val="Tabletext-RHS"/>
            </w:pPr>
            <w:r>
              <w:rPr>
                <w:spacing w:val="-2"/>
              </w:rPr>
              <w:t>13</w:t>
            </w:r>
          </w:p>
        </w:tc>
      </w:tr>
      <w:tr w:rsidR="0099421F" w14:paraId="41644802" w14:textId="77777777" w:rsidTr="006A0585">
        <w:trPr>
          <w:trHeight w:val="396"/>
        </w:trPr>
        <w:tc>
          <w:tcPr>
            <w:tcW w:w="3244" w:type="pct"/>
          </w:tcPr>
          <w:p w14:paraId="5391CE8F" w14:textId="77777777" w:rsidR="0099421F" w:rsidRDefault="0099421F" w:rsidP="00682FFF">
            <w:pPr>
              <w:pStyle w:val="BodyText"/>
            </w:pPr>
            <w:r>
              <w:t xml:space="preserve">Dangerous incidents </w:t>
            </w:r>
          </w:p>
        </w:tc>
        <w:tc>
          <w:tcPr>
            <w:tcW w:w="878" w:type="pct"/>
          </w:tcPr>
          <w:p w14:paraId="1BAE1CBE" w14:textId="77777777" w:rsidR="0099421F" w:rsidRDefault="0099421F" w:rsidP="00682FFF">
            <w:pPr>
              <w:pStyle w:val="Tabletext-RHS"/>
            </w:pPr>
            <w:r>
              <w:t>50</w:t>
            </w:r>
          </w:p>
        </w:tc>
        <w:tc>
          <w:tcPr>
            <w:tcW w:w="878" w:type="pct"/>
          </w:tcPr>
          <w:p w14:paraId="019161DF" w14:textId="77777777" w:rsidR="0099421F" w:rsidRDefault="0099421F" w:rsidP="00682FFF">
            <w:pPr>
              <w:pStyle w:val="Tabletext-RHS"/>
            </w:pPr>
            <w:r>
              <w:t>50</w:t>
            </w:r>
          </w:p>
        </w:tc>
      </w:tr>
      <w:tr w:rsidR="0099421F" w14:paraId="76ECD827" w14:textId="77777777" w:rsidTr="006A0585">
        <w:trPr>
          <w:trHeight w:val="396"/>
        </w:trPr>
        <w:tc>
          <w:tcPr>
            <w:tcW w:w="3244" w:type="pct"/>
          </w:tcPr>
          <w:p w14:paraId="3F2B3DB5" w14:textId="77777777" w:rsidR="0099421F" w:rsidRDefault="0099421F" w:rsidP="00682FFF">
            <w:pPr>
              <w:pStyle w:val="BodyText"/>
            </w:pPr>
            <w:r>
              <w:rPr>
                <w:rStyle w:val="Bold"/>
              </w:rPr>
              <w:t xml:space="preserve">Total </w:t>
            </w:r>
          </w:p>
        </w:tc>
        <w:tc>
          <w:tcPr>
            <w:tcW w:w="878" w:type="pct"/>
          </w:tcPr>
          <w:p w14:paraId="78EB2AE8" w14:textId="77777777" w:rsidR="0099421F" w:rsidRDefault="0099421F" w:rsidP="00682FFF">
            <w:pPr>
              <w:pStyle w:val="Tabletext-RHS"/>
            </w:pPr>
            <w:r>
              <w:rPr>
                <w:rStyle w:val="Bold"/>
              </w:rPr>
              <w:t>58</w:t>
            </w:r>
          </w:p>
        </w:tc>
        <w:tc>
          <w:tcPr>
            <w:tcW w:w="878" w:type="pct"/>
          </w:tcPr>
          <w:p w14:paraId="70DA0488" w14:textId="77777777" w:rsidR="0099421F" w:rsidRDefault="0099421F" w:rsidP="00682FFF">
            <w:pPr>
              <w:pStyle w:val="Tabletext-RHS"/>
            </w:pPr>
            <w:r>
              <w:rPr>
                <w:rStyle w:val="Bold"/>
              </w:rPr>
              <w:t>63</w:t>
            </w:r>
          </w:p>
        </w:tc>
      </w:tr>
    </w:tbl>
    <w:p w14:paraId="203D6097" w14:textId="77777777" w:rsidR="0099421F" w:rsidRDefault="0099421F" w:rsidP="0099421F">
      <w:pPr>
        <w:pStyle w:val="Heading2"/>
      </w:pPr>
      <w:r>
        <w:t>Mental health and wellbeing</w:t>
      </w:r>
    </w:p>
    <w:p w14:paraId="6DAF3860" w14:textId="77777777" w:rsidR="0099421F" w:rsidRDefault="0099421F" w:rsidP="0099421F">
      <w:pPr>
        <w:pStyle w:val="BodyText"/>
      </w:pPr>
      <w:r>
        <w:t xml:space="preserve">Our Health and Wellbeing Framework 2021 to 2026 has embedded new ways of thinking and working around mental health and wellbeing. Psychological wellbeing resources, psychosocial safety assessments and trauma informed practices are promoted and applied to continuously improve staff experiences and outcomes. </w:t>
      </w:r>
    </w:p>
    <w:p w14:paraId="7612AB90" w14:textId="77777777" w:rsidR="0099421F" w:rsidRDefault="0099421F" w:rsidP="0099421F">
      <w:pPr>
        <w:pStyle w:val="BodyText"/>
      </w:pPr>
      <w:r>
        <w:t>The agency introduced a mental health first aid officer network in February 2025 to help build a psychologically safe workplace and give more support to staff who are experiencing distress or displaying possible signs and symptoms of mental ill-health. In 2024–25 we developed the first phase of an employee wellbeing network to engage staff and drive health and wellbeing at work for themselves and others.</w:t>
      </w:r>
    </w:p>
    <w:p w14:paraId="454CBAB5" w14:textId="77777777" w:rsidR="0099421F" w:rsidRDefault="0099421F" w:rsidP="0099421F">
      <w:pPr>
        <w:pStyle w:val="BodyText"/>
      </w:pPr>
      <w:r>
        <w:t xml:space="preserve">Our staff support plan on the Royal Commission into the Robodebt Scheme continued to provide access for staff to attend Listen to Learn restorative sessions. Participants meet with a member of the SES and an independent support to share their experiences and views on service system improvements. </w:t>
      </w:r>
    </w:p>
    <w:p w14:paraId="2BA39449" w14:textId="77777777" w:rsidR="0099421F" w:rsidRDefault="0099421F" w:rsidP="0099421F">
      <w:pPr>
        <w:pStyle w:val="BodyText"/>
      </w:pPr>
      <w:r>
        <w:t xml:space="preserve">The APS Mental Health Capability Framework continues to be embedded in the agency. The framework is a tailored, systems-based approach to building mental health and suicide prevention capability within the APS. Our employee assistance program offers immediate or short-term support to our staff, with additional services such as communities of support and wellbeing checks being implemented in several high-risk teams. </w:t>
      </w:r>
    </w:p>
    <w:p w14:paraId="3D7C88E4" w14:textId="77777777" w:rsidR="0099421F" w:rsidRDefault="0099421F" w:rsidP="0099421F">
      <w:pPr>
        <w:pStyle w:val="BodyText"/>
      </w:pPr>
      <w:r>
        <w:t xml:space="preserve">In 2024–25 the agency established its positive duty prevention and response plan for the prevention of workplace sexual harassment, sex discrimination and other relevant unlawful conduct in the workplace, or in connection to work, to ensure safe, respectful and inclusive workplaces. Support and advice are provided through a dedicated telephone line and mailbox. Trained contact officers are available to support staff who may have experienced family and domestic violence. </w:t>
      </w:r>
    </w:p>
    <w:p w14:paraId="6D9C5A88" w14:textId="77777777" w:rsidR="0099421F" w:rsidRDefault="0099421F" w:rsidP="0099421F">
      <w:pPr>
        <w:pStyle w:val="BodyText"/>
      </w:pPr>
      <w:r>
        <w:lastRenderedPageBreak/>
        <w:t>Harassment contact officers provide a confidential peer support service to staff who may have experienced or witnessed unreasonable behaviours at work. Where bullying and harassment is identified, it is appropriately addressed, being mindful of trauma informed practices and ‘do no further harm’ principles.</w:t>
      </w:r>
    </w:p>
    <w:p w14:paraId="224A0D18" w14:textId="77777777" w:rsidR="0099421F" w:rsidRDefault="0099421F" w:rsidP="0099421F">
      <w:pPr>
        <w:pStyle w:val="Heading1"/>
      </w:pPr>
      <w:bookmarkStart w:id="52" w:name="_Toc210815431"/>
      <w:r>
        <w:t>8.4 Recruitment</w:t>
      </w:r>
      <w:bookmarkEnd w:id="52"/>
      <w:r>
        <w:t xml:space="preserve"> </w:t>
      </w:r>
    </w:p>
    <w:p w14:paraId="0DE50499" w14:textId="77777777" w:rsidR="0099421F" w:rsidRDefault="0099421F" w:rsidP="0099421F">
      <w:pPr>
        <w:pStyle w:val="Heading2"/>
      </w:pPr>
      <w:r>
        <w:t>National Graduate Program</w:t>
      </w:r>
    </w:p>
    <w:p w14:paraId="25EE21DF" w14:textId="77777777" w:rsidR="0099421F" w:rsidRDefault="0099421F" w:rsidP="0099421F">
      <w:pPr>
        <w:pStyle w:val="BodyText"/>
        <w:spacing w:after="57"/>
      </w:pPr>
      <w:r>
        <w:t>Our National Graduate Program offers placements across 9 streams:</w:t>
      </w:r>
    </w:p>
    <w:p w14:paraId="3B963C02" w14:textId="77777777" w:rsidR="0099421F" w:rsidRDefault="0099421F" w:rsidP="005679AA">
      <w:pPr>
        <w:pStyle w:val="ListBullet"/>
      </w:pPr>
      <w:r>
        <w:t>data</w:t>
      </w:r>
    </w:p>
    <w:p w14:paraId="0D88E3F5" w14:textId="77777777" w:rsidR="0099421F" w:rsidRDefault="0099421F" w:rsidP="005679AA">
      <w:pPr>
        <w:pStyle w:val="ListBullet"/>
      </w:pPr>
      <w:r>
        <w:t>digital</w:t>
      </w:r>
    </w:p>
    <w:p w14:paraId="579DEF91" w14:textId="77777777" w:rsidR="0099421F" w:rsidRDefault="0099421F" w:rsidP="005679AA">
      <w:pPr>
        <w:pStyle w:val="ListBullet"/>
      </w:pPr>
      <w:r>
        <w:t>finance and accounting</w:t>
      </w:r>
    </w:p>
    <w:p w14:paraId="60FC650A" w14:textId="77777777" w:rsidR="0099421F" w:rsidRDefault="0099421F" w:rsidP="005679AA">
      <w:pPr>
        <w:pStyle w:val="ListBullet"/>
      </w:pPr>
      <w:r>
        <w:t>generalist</w:t>
      </w:r>
    </w:p>
    <w:p w14:paraId="4DBD28E4" w14:textId="77777777" w:rsidR="0099421F" w:rsidRDefault="0099421F" w:rsidP="005679AA">
      <w:pPr>
        <w:pStyle w:val="ListBullet"/>
      </w:pPr>
      <w:r>
        <w:t>human resources</w:t>
      </w:r>
    </w:p>
    <w:p w14:paraId="6CD6A11F" w14:textId="77777777" w:rsidR="0099421F" w:rsidRDefault="0099421F" w:rsidP="005679AA">
      <w:pPr>
        <w:pStyle w:val="ListBullet"/>
      </w:pPr>
      <w:r>
        <w:t xml:space="preserve">legal </w:t>
      </w:r>
    </w:p>
    <w:p w14:paraId="00F00A7E" w14:textId="77777777" w:rsidR="0099421F" w:rsidRDefault="0099421F" w:rsidP="005679AA">
      <w:pPr>
        <w:pStyle w:val="ListBullet"/>
      </w:pPr>
      <w:r>
        <w:t>service delivery</w:t>
      </w:r>
    </w:p>
    <w:p w14:paraId="13CF2A5D" w14:textId="77777777" w:rsidR="0099421F" w:rsidRDefault="0099421F" w:rsidP="005679AA">
      <w:pPr>
        <w:pStyle w:val="ListBullet"/>
      </w:pPr>
      <w:r>
        <w:t>service design</w:t>
      </w:r>
    </w:p>
    <w:p w14:paraId="0D98FA2C" w14:textId="77777777" w:rsidR="0099421F" w:rsidRDefault="0099421F" w:rsidP="005679AA">
      <w:pPr>
        <w:pStyle w:val="ListBullet"/>
      </w:pPr>
      <w:r>
        <w:t xml:space="preserve">social work. </w:t>
      </w:r>
    </w:p>
    <w:p w14:paraId="40C2146E" w14:textId="77777777" w:rsidR="0099421F" w:rsidRDefault="0099421F" w:rsidP="0099421F">
      <w:pPr>
        <w:pStyle w:val="BodyText"/>
      </w:pPr>
      <w:r>
        <w:t xml:space="preserve">The 2025 intake comprised 120 graduates. </w:t>
      </w:r>
    </w:p>
    <w:p w14:paraId="7096A91F" w14:textId="77777777" w:rsidR="0099421F" w:rsidRDefault="0099421F" w:rsidP="0099421F">
      <w:pPr>
        <w:pStyle w:val="Heading2"/>
      </w:pPr>
      <w:r>
        <w:t>Data and digital entry programs</w:t>
      </w:r>
    </w:p>
    <w:p w14:paraId="5EE2F4A9" w14:textId="77777777" w:rsidR="0099421F" w:rsidRDefault="0099421F" w:rsidP="0099421F">
      <w:pPr>
        <w:pStyle w:val="BodyText"/>
      </w:pPr>
      <w:r>
        <w:t xml:space="preserve">The APS Data and Digital Cadet Program offers university students the opportunity to complete their degree while working part-time. </w:t>
      </w:r>
    </w:p>
    <w:p w14:paraId="43D0CE89" w14:textId="77777777" w:rsidR="0099421F" w:rsidRDefault="0099421F" w:rsidP="0099421F">
      <w:pPr>
        <w:pStyle w:val="BodyText"/>
      </w:pPr>
      <w:r>
        <w:t xml:space="preserve">The Australian Government Digital Traineeship Program provides modern, flexible and </w:t>
      </w:r>
      <w:r>
        <w:rPr>
          <w:spacing w:val="-1"/>
        </w:rPr>
        <w:t xml:space="preserve">ongoing training and employment for people wanting to build a digital career in the APS. </w:t>
      </w:r>
    </w:p>
    <w:p w14:paraId="3C904120" w14:textId="77777777" w:rsidR="0099421F" w:rsidRDefault="0099421F" w:rsidP="0099421F">
      <w:pPr>
        <w:pStyle w:val="BodyText"/>
      </w:pPr>
      <w:r>
        <w:t>The APS Academy Campus initiative provides opportunities in digital and data cadetships in regional areas.</w:t>
      </w:r>
    </w:p>
    <w:p w14:paraId="051F3CEC" w14:textId="77777777" w:rsidR="0099421F" w:rsidRDefault="0099421F" w:rsidP="0099421F">
      <w:pPr>
        <w:pStyle w:val="BodyText"/>
      </w:pPr>
      <w:r>
        <w:t xml:space="preserve">As at 30 June 2025, there were 48 participants across the 3 programs. </w:t>
      </w:r>
    </w:p>
    <w:p w14:paraId="1A70EA7A" w14:textId="77777777" w:rsidR="0099421F" w:rsidRDefault="0099421F" w:rsidP="0099421F">
      <w:pPr>
        <w:pStyle w:val="Heading2"/>
      </w:pPr>
      <w:r>
        <w:t>APS Academy Campuses</w:t>
      </w:r>
    </w:p>
    <w:p w14:paraId="78DFFB65" w14:textId="77777777" w:rsidR="0099421F" w:rsidRDefault="0099421F" w:rsidP="0099421F">
      <w:pPr>
        <w:pStyle w:val="BodyText"/>
        <w:spacing w:after="57"/>
      </w:pPr>
      <w:r>
        <w:t>APS Academy Campuses give opportunities in digital and data apprenticeships and cadetships in regional areas. As at 30 June 2025:</w:t>
      </w:r>
    </w:p>
    <w:p w14:paraId="43BC50EB" w14:textId="77777777" w:rsidR="0099421F" w:rsidRDefault="0099421F" w:rsidP="003D572C">
      <w:pPr>
        <w:pStyle w:val="ListBullet"/>
      </w:pPr>
      <w:r>
        <w:t>one agency data cadet is participating at the Townsville, Queensland campus</w:t>
      </w:r>
    </w:p>
    <w:p w14:paraId="2A7931B2" w14:textId="77777777" w:rsidR="0099421F" w:rsidRDefault="0099421F" w:rsidP="003D572C">
      <w:pPr>
        <w:pStyle w:val="ListBullet"/>
      </w:pPr>
      <w:r>
        <w:t>2 agency data cadets and one agency digital apprentice are participating at the Newcastle, New South Wales campus.</w:t>
      </w:r>
    </w:p>
    <w:p w14:paraId="067449D7" w14:textId="77777777" w:rsidR="0099421F" w:rsidRDefault="0099421F" w:rsidP="0099421F">
      <w:pPr>
        <w:pStyle w:val="Heading1"/>
      </w:pPr>
      <w:bookmarkStart w:id="53" w:name="_Toc210815432"/>
      <w:r>
        <w:t>8.5 Inclusion and diversity</w:t>
      </w:r>
      <w:bookmarkEnd w:id="53"/>
    </w:p>
    <w:p w14:paraId="36417E38" w14:textId="77777777" w:rsidR="0099421F" w:rsidRDefault="0099421F" w:rsidP="0099421F">
      <w:pPr>
        <w:pStyle w:val="BodyText"/>
      </w:pPr>
      <w:r>
        <w:t xml:space="preserve">We are committed to creating workplaces that are accessible and inclusive for all staff. By enhancing workforce representation and ensuring positive employment experiences for all staff, we are positioning </w:t>
      </w:r>
      <w:r>
        <w:lastRenderedPageBreak/>
        <w:t>ourselves as a workforce representative of the community we serve and to be ready to support our customers with an understanding of their unique backgrounds and identities.</w:t>
      </w:r>
    </w:p>
    <w:p w14:paraId="0993FE44" w14:textId="77777777" w:rsidR="0099421F" w:rsidRDefault="0099421F" w:rsidP="0099421F">
      <w:pPr>
        <w:pStyle w:val="Heading2"/>
      </w:pPr>
      <w:r>
        <w:t>Cultural and linguistic diversity</w:t>
      </w:r>
    </w:p>
    <w:p w14:paraId="0D8E3AF7" w14:textId="77777777" w:rsidR="0099421F" w:rsidRDefault="0099421F" w:rsidP="0099421F">
      <w:pPr>
        <w:pStyle w:val="BodyText"/>
      </w:pPr>
      <w:r>
        <w:t xml:space="preserve">The agency values the unique perspectives and lived experience of staff with CALD backgrounds. As at 30 June 2025, 27% of our APS workforce identified as CALD. </w:t>
      </w:r>
    </w:p>
    <w:p w14:paraId="2478DB6A" w14:textId="77777777" w:rsidR="0099421F" w:rsidRDefault="0099421F" w:rsidP="0099421F">
      <w:pPr>
        <w:pStyle w:val="BodyText"/>
      </w:pPr>
      <w:r>
        <w:t xml:space="preserve">In 2024–25 feedback from staff with CALD backgrounds contributed to the design of commitments in response to the APS CALD Employment Strategy and Action Plan. Our commitments will aim to uplift cultural understanding and inclusion and will include a target to increase CALD representation at the SES level. In 2024–25 CALD SES representation increased from 12.3% to 22%. </w:t>
      </w:r>
    </w:p>
    <w:p w14:paraId="4B864880" w14:textId="77777777" w:rsidR="0099421F" w:rsidRDefault="0099421F" w:rsidP="0099421F">
      <w:pPr>
        <w:pStyle w:val="BodyText"/>
      </w:pPr>
      <w:r>
        <w:t xml:space="preserve">We continue to build cultural capability in staff to enhance service delivery and foster inclusive and respectful workplaces. In 2024–25, 12,189 staff completed self-paced multicultural awareness training and 112 staff attended a facilitated multicultural awareness session. </w:t>
      </w:r>
    </w:p>
    <w:p w14:paraId="79982BEA" w14:textId="77777777" w:rsidR="0099421F" w:rsidRDefault="0099421F" w:rsidP="0099421F">
      <w:pPr>
        <w:pStyle w:val="BodyText"/>
      </w:pPr>
      <w:r>
        <w:t xml:space="preserve">We also recognised days and events of significance including Harmony Week, the International Day for the Elimination of Racial Discrimination and Refugee Week, as well as inviting staff to share their own stories about culturally significant events. </w:t>
      </w:r>
    </w:p>
    <w:p w14:paraId="5DD9B2E8" w14:textId="77777777" w:rsidR="0099421F" w:rsidRDefault="0099421F" w:rsidP="0099421F">
      <w:pPr>
        <w:pStyle w:val="Heading2"/>
      </w:pPr>
      <w:r>
        <w:t>Employment of people with disability</w:t>
      </w:r>
    </w:p>
    <w:p w14:paraId="03B154B6" w14:textId="77777777" w:rsidR="0099421F" w:rsidRDefault="0099421F" w:rsidP="0099421F">
      <w:pPr>
        <w:pStyle w:val="BodyText"/>
      </w:pPr>
      <w:r>
        <w:t xml:space="preserve">The agency is committed to providing an inclusive and accessible environment for everyone. As at 30 June 2025, 9% of our staff self-identified as having disability. Additionally, the 2024 APS Census highlighted that 8% of staff self-identified as neurodivergent. </w:t>
      </w:r>
    </w:p>
    <w:p w14:paraId="450B8935" w14:textId="77777777" w:rsidR="0099421F" w:rsidRDefault="0099421F" w:rsidP="0099421F">
      <w:pPr>
        <w:pStyle w:val="BodyText"/>
      </w:pPr>
      <w:r>
        <w:t>In 2024–25 the agency continued to deliver on outcomes and initiatives outlined in the workplace inclusion and diversity strategy and action plan. We offered employment pathways for people with disability including through the National Graduate Program and the award-winning Aurora Neuroinclusion Program. Our disability inclusion agents and disability inclusion alliance enabled the agency to focus on reducing barriers and improving the workplace experience for staff with disability in 2024–25.</w:t>
      </w:r>
    </w:p>
    <w:p w14:paraId="669B8DD8" w14:textId="77777777" w:rsidR="0099421F" w:rsidRDefault="0099421F" w:rsidP="0099421F">
      <w:pPr>
        <w:pStyle w:val="BodyText"/>
      </w:pPr>
      <w:r>
        <w:t xml:space="preserve">During 2025 the agency renewed its long-term partnership with Koomarri JobMatch supporting the employment of people with intellectual disability who work in administrative and office support services. </w:t>
      </w:r>
    </w:p>
    <w:p w14:paraId="789D7E44" w14:textId="77777777" w:rsidR="0099421F" w:rsidRDefault="0099421F" w:rsidP="0099421F">
      <w:pPr>
        <w:pStyle w:val="Heading2"/>
      </w:pPr>
      <w:r>
        <w:t>National Autism Strategy 2025–2031</w:t>
      </w:r>
    </w:p>
    <w:p w14:paraId="4D01FEFF" w14:textId="77777777" w:rsidR="0099421F" w:rsidRDefault="0099421F" w:rsidP="0099421F">
      <w:pPr>
        <w:pStyle w:val="BodyText"/>
        <w:spacing w:after="57"/>
      </w:pPr>
      <w:r>
        <w:t>The National Autism Strategy 2025–2031 sets out a framework to improve life outcomes for all autistic people. The 22 commitments in the strategy address needs identified by the community in 4 key outcome areas:</w:t>
      </w:r>
    </w:p>
    <w:p w14:paraId="60A0660F" w14:textId="77777777" w:rsidR="0099421F" w:rsidRDefault="0099421F" w:rsidP="003D572C">
      <w:pPr>
        <w:pStyle w:val="ListBullet"/>
      </w:pPr>
      <w:r>
        <w:t>social inclusion</w:t>
      </w:r>
    </w:p>
    <w:p w14:paraId="04783D19" w14:textId="77777777" w:rsidR="0099421F" w:rsidRDefault="0099421F" w:rsidP="003D572C">
      <w:pPr>
        <w:pStyle w:val="ListBullet"/>
      </w:pPr>
      <w:r>
        <w:t>economic inclusion</w:t>
      </w:r>
    </w:p>
    <w:p w14:paraId="13CC8DED" w14:textId="77777777" w:rsidR="0099421F" w:rsidRDefault="0099421F" w:rsidP="003D572C">
      <w:pPr>
        <w:pStyle w:val="ListBullet"/>
      </w:pPr>
      <w:r>
        <w:t>diagnosis, services and supports</w:t>
      </w:r>
    </w:p>
    <w:p w14:paraId="296D6629" w14:textId="77777777" w:rsidR="0099421F" w:rsidRDefault="0099421F" w:rsidP="003D572C">
      <w:pPr>
        <w:pStyle w:val="ListBullet"/>
      </w:pPr>
      <w:r>
        <w:t>health and mental health.</w:t>
      </w:r>
    </w:p>
    <w:p w14:paraId="64F4FB0C" w14:textId="77777777" w:rsidR="0099421F" w:rsidRDefault="0099421F" w:rsidP="0099421F">
      <w:pPr>
        <w:pStyle w:val="BodyText"/>
        <w:rPr>
          <w:spacing w:val="-2"/>
        </w:rPr>
      </w:pPr>
      <w:r>
        <w:rPr>
          <w:spacing w:val="-2"/>
        </w:rPr>
        <w:t xml:space="preserve">Our contribution to this national effort is through initiatives like the Aurora Neuroinclusion </w:t>
      </w:r>
      <w:r>
        <w:t>Program and our renewed partnerships supporting neurodivergent employment, which directly advance the strategy’s goals of social and economic inclusion. For more information on the strategy and updates on progress, go to the DSS website.</w:t>
      </w:r>
    </w:p>
    <w:p w14:paraId="254FF87E" w14:textId="77777777" w:rsidR="0099421F" w:rsidRDefault="0099421F" w:rsidP="0099421F">
      <w:pPr>
        <w:pStyle w:val="Heading2"/>
      </w:pPr>
      <w:r>
        <w:lastRenderedPageBreak/>
        <w:t xml:space="preserve">Australia’s Disability Strategy 2021–2031 </w:t>
      </w:r>
    </w:p>
    <w:p w14:paraId="07FCBA4A" w14:textId="77777777" w:rsidR="0099421F" w:rsidRDefault="0099421F" w:rsidP="0099421F">
      <w:pPr>
        <w:pStyle w:val="BodyText"/>
      </w:pPr>
      <w:r>
        <w:t>The agency is committed to supporting the successful implementation of Australia’s Disability Strategy 2021–2031. The strategy was developed by all levels of government, people with disability, their families, carers and representatives. It recognises the responsibility of all levels of government in supporting people with disability to reach their full potential as equal members of the community, and drives change to uphold the rights, inclusion and participation of people with disability in all areas of Australian life. For more information on the strategy and updates on progress made on the actions and key outcome areas, go to Australia’s Disability Strategy Hub on the Disability Gateway website. Disability reporting is included in the APSC’s State of the Service reports and the APS Statistical Bulletin. These reports are available on the APSC’s website.</w:t>
      </w:r>
    </w:p>
    <w:p w14:paraId="05836B6C" w14:textId="77777777" w:rsidR="0099421F" w:rsidRDefault="0099421F" w:rsidP="0099421F">
      <w:pPr>
        <w:pStyle w:val="Heading2"/>
      </w:pPr>
      <w:r>
        <w:t xml:space="preserve">Employment of people who are neurodivergent </w:t>
      </w:r>
    </w:p>
    <w:p w14:paraId="1DBCCD1A" w14:textId="77777777" w:rsidR="0099421F" w:rsidRDefault="0099421F" w:rsidP="0099421F">
      <w:pPr>
        <w:pStyle w:val="BodyText"/>
      </w:pPr>
      <w:r>
        <w:t>The agency partners with Employ for Ability to deliver the Aurora Neuroinclusion Program. This partnership gives neurodivergent individuals with autism or attention deficit hyperactivity disorder (ADHD) a career pathway into Services Australia. The program is an entry-level employment pathway with an inclusive recruitment and onboarding process, professional career support and development and ongoing employment. It uses the ‘affirmative measures – specific type of disability (autism or ADHD)’ provisions of the APS Commissioner’s Directions 2022. In 2024–25 the program engaged 54 neurodivergent people with autism and ADHD into ongoing specialist roles.</w:t>
      </w:r>
    </w:p>
    <w:p w14:paraId="18A4E228" w14:textId="77777777" w:rsidR="0099421F" w:rsidRDefault="0099421F" w:rsidP="0099421F">
      <w:pPr>
        <w:pStyle w:val="Heading2"/>
      </w:pPr>
      <w:r>
        <w:t>Other diversity initiatives</w:t>
      </w:r>
    </w:p>
    <w:p w14:paraId="0884D30E" w14:textId="77777777" w:rsidR="0099421F" w:rsidRDefault="0099421F" w:rsidP="0099421F">
      <w:pPr>
        <w:pStyle w:val="BodyText"/>
        <w:spacing w:after="57"/>
      </w:pPr>
      <w:r>
        <w:t xml:space="preserve">We promote workplace diversity in ways including: </w:t>
      </w:r>
    </w:p>
    <w:p w14:paraId="6AA16E3D" w14:textId="77777777" w:rsidR="0099421F" w:rsidRDefault="0099421F" w:rsidP="003D572C">
      <w:pPr>
        <w:pStyle w:val="ListBullet"/>
      </w:pPr>
      <w:r>
        <w:t xml:space="preserve">the 2025 Australian Workplace Equality Index Survey, a national benchmark on LGBTQIA+ workplace inclusion, in which we achieved Platinum tier employer in recognition of our sustained effort over time in LGBTQIA+ inclusion </w:t>
      </w:r>
    </w:p>
    <w:p w14:paraId="4E0F162A" w14:textId="77777777" w:rsidR="0099421F" w:rsidRDefault="0099421F" w:rsidP="003D572C">
      <w:pPr>
        <w:pStyle w:val="ListBullet"/>
        <w:rPr>
          <w:spacing w:val="-5"/>
        </w:rPr>
      </w:pPr>
      <w:r>
        <w:rPr>
          <w:spacing w:val="-5"/>
        </w:rPr>
        <w:t xml:space="preserve">diversity networks to share information and support Aboriginal and Torres Strait Islander </w:t>
      </w:r>
      <w:r>
        <w:t xml:space="preserve">staff, staff with disability, mature age staff, staff with CALD backgrounds and LGBTQIA+ staff </w:t>
      </w:r>
    </w:p>
    <w:p w14:paraId="33D23AB3" w14:textId="77777777" w:rsidR="0099421F" w:rsidRDefault="0099421F" w:rsidP="003D572C">
      <w:pPr>
        <w:pStyle w:val="ListBullet"/>
      </w:pPr>
      <w:r>
        <w:t xml:space="preserve">continued membership with Diversity Council Australia, Pride in Diversity, and the Australian Disability Network </w:t>
      </w:r>
    </w:p>
    <w:p w14:paraId="2322BF05" w14:textId="77777777" w:rsidR="0099421F" w:rsidRDefault="0099421F" w:rsidP="003D572C">
      <w:pPr>
        <w:pStyle w:val="ListBullet"/>
      </w:pPr>
      <w:r>
        <w:t xml:space="preserve">participation in and compliance with the Commonwealth Public Sector Gender Equality Reporting program </w:t>
      </w:r>
    </w:p>
    <w:p w14:paraId="0706DC11" w14:textId="77777777" w:rsidR="0099421F" w:rsidRDefault="0099421F" w:rsidP="003D572C">
      <w:pPr>
        <w:pStyle w:val="ListBullet"/>
      </w:pPr>
      <w:r>
        <w:t xml:space="preserve">celebration of diversity events of significance such as Refugee Week, Wear it Purple Day, International Women’s Day and International Day of People with Disability </w:t>
      </w:r>
    </w:p>
    <w:p w14:paraId="2D3522F6" w14:textId="77777777" w:rsidR="0099421F" w:rsidRDefault="0099421F" w:rsidP="003D572C">
      <w:pPr>
        <w:pStyle w:val="ListBullet"/>
      </w:pPr>
      <w:r>
        <w:t>participation in the 2025 Sydney Gay and Lesbian Mardi Gras Parade</w:t>
      </w:r>
    </w:p>
    <w:p w14:paraId="6A8B0657" w14:textId="77777777" w:rsidR="0099421F" w:rsidRDefault="0099421F" w:rsidP="003D572C">
      <w:pPr>
        <w:pStyle w:val="ListBullet"/>
      </w:pPr>
      <w:r>
        <w:t>through SES diversity champions, who advocate and promote diversity initiatives, drive workplace inclusion and foster cultural change, ensuring that diversity and inclusion are at the forefront of our agency efforts</w:t>
      </w:r>
    </w:p>
    <w:p w14:paraId="727F22AD" w14:textId="77777777" w:rsidR="0099421F" w:rsidRDefault="0099421F" w:rsidP="003D572C">
      <w:pPr>
        <w:pStyle w:val="ListBullet"/>
      </w:pPr>
      <w:r>
        <w:t>providing a breastfeeding friendly workplace, awarded Best Practice with the Australian Breastfeeding Association.</w:t>
      </w:r>
    </w:p>
    <w:p w14:paraId="12623658" w14:textId="77777777" w:rsidR="0099421F" w:rsidRDefault="0099421F" w:rsidP="0099421F">
      <w:pPr>
        <w:pStyle w:val="Heading2"/>
      </w:pPr>
      <w:r>
        <w:t>Workplace accessibility</w:t>
      </w:r>
    </w:p>
    <w:p w14:paraId="5CCB8C3C" w14:textId="77777777" w:rsidR="0099421F" w:rsidRDefault="0099421F" w:rsidP="0099421F">
      <w:pPr>
        <w:pStyle w:val="BodyText"/>
        <w:spacing w:after="57"/>
      </w:pPr>
      <w:r>
        <w:t xml:space="preserve">In 2024–25 the agency provided support, training and advice to approximately 2,000 staff who had an accessibility requirement, including those who: </w:t>
      </w:r>
    </w:p>
    <w:p w14:paraId="07CFB177" w14:textId="77777777" w:rsidR="0099421F" w:rsidRDefault="0099421F" w:rsidP="003D572C">
      <w:pPr>
        <w:pStyle w:val="ListBullet"/>
      </w:pPr>
      <w:r>
        <w:t>use assistive technology software</w:t>
      </w:r>
    </w:p>
    <w:p w14:paraId="45D7E9A3" w14:textId="77777777" w:rsidR="0099421F" w:rsidRDefault="0099421F" w:rsidP="003D572C">
      <w:pPr>
        <w:pStyle w:val="ListBullet"/>
      </w:pPr>
      <w:r>
        <w:lastRenderedPageBreak/>
        <w:t xml:space="preserve">need accessible telecommunication equipment </w:t>
      </w:r>
    </w:p>
    <w:p w14:paraId="072AF007" w14:textId="77777777" w:rsidR="0099421F" w:rsidRDefault="0099421F" w:rsidP="003D572C">
      <w:pPr>
        <w:pStyle w:val="ListBullet"/>
      </w:pPr>
      <w:r>
        <w:t xml:space="preserve">use hearing aids or implanted hearing devices. </w:t>
      </w:r>
    </w:p>
    <w:p w14:paraId="1546FFE8" w14:textId="77777777" w:rsidR="0099421F" w:rsidRDefault="0099421F" w:rsidP="0099421F">
      <w:pPr>
        <w:pStyle w:val="BodyText"/>
      </w:pPr>
      <w:r>
        <w:t xml:space="preserve">We continue to offer a dedicated service desk to support staff with accessibility needs </w:t>
      </w:r>
      <w:r>
        <w:rPr>
          <w:spacing w:val="-1"/>
        </w:rPr>
        <w:t xml:space="preserve">to ensure workplace inclusion, and deliver accessibility support shared services to DVA. </w:t>
      </w:r>
    </w:p>
    <w:p w14:paraId="68C5629E" w14:textId="77777777" w:rsidR="0099421F" w:rsidRDefault="0099421F" w:rsidP="0099421F">
      <w:pPr>
        <w:pStyle w:val="Heading2"/>
      </w:pPr>
      <w:r>
        <w:rPr>
          <w:rStyle w:val="Italic"/>
          <w:rFonts w:ascii="Roboto-BoldItalic" w:hAnsi="Roboto-BoldItalic" w:cs="Roboto-BoldItalic"/>
        </w:rPr>
        <w:t>Carer Recognition Act 2010</w:t>
      </w:r>
      <w:r>
        <w:t xml:space="preserve"> report</w:t>
      </w:r>
    </w:p>
    <w:p w14:paraId="77653EAE" w14:textId="77777777" w:rsidR="0099421F" w:rsidRDefault="0099421F" w:rsidP="0099421F">
      <w:pPr>
        <w:pStyle w:val="BodyText"/>
        <w:spacing w:after="57"/>
      </w:pPr>
      <w:r>
        <w:t xml:space="preserve">The agency fulfils its responsibilities under the </w:t>
      </w:r>
      <w:r>
        <w:rPr>
          <w:rStyle w:val="Italic"/>
        </w:rPr>
        <w:t>Carer Recognition Act 2010</w:t>
      </w:r>
      <w:r>
        <w:t xml:space="preserve"> and follows the principles outlined in the Statement for Australia’s Carers. Our internal policies consider the statement in contexts that may significantly impact an employee’s caregiving role. We provide support to staff with caring responsibilities through: </w:t>
      </w:r>
    </w:p>
    <w:p w14:paraId="0222A003" w14:textId="77777777" w:rsidR="0099421F" w:rsidRDefault="0099421F" w:rsidP="003D572C">
      <w:pPr>
        <w:pStyle w:val="ListBullet"/>
      </w:pPr>
      <w:r>
        <w:t xml:space="preserve">flexible working arrangements </w:t>
      </w:r>
    </w:p>
    <w:p w14:paraId="05613DE1" w14:textId="77777777" w:rsidR="0099421F" w:rsidRDefault="0099421F" w:rsidP="003D572C">
      <w:pPr>
        <w:pStyle w:val="ListBullet"/>
      </w:pPr>
      <w:r>
        <w:t xml:space="preserve">part-time work </w:t>
      </w:r>
    </w:p>
    <w:p w14:paraId="7E8F8959" w14:textId="77777777" w:rsidR="0099421F" w:rsidRDefault="0099421F" w:rsidP="003D572C">
      <w:pPr>
        <w:pStyle w:val="ListBullet"/>
      </w:pPr>
      <w:r>
        <w:t xml:space="preserve">home-based work </w:t>
      </w:r>
    </w:p>
    <w:p w14:paraId="63951D65" w14:textId="77777777" w:rsidR="0099421F" w:rsidRDefault="0099421F" w:rsidP="003D572C">
      <w:pPr>
        <w:pStyle w:val="ListBullet"/>
      </w:pPr>
      <w:r>
        <w:t xml:space="preserve">an elder care advisory service </w:t>
      </w:r>
    </w:p>
    <w:p w14:paraId="6A95A958" w14:textId="77777777" w:rsidR="0099421F" w:rsidRDefault="0099421F" w:rsidP="003D572C">
      <w:pPr>
        <w:pStyle w:val="ListBullet"/>
      </w:pPr>
      <w:r>
        <w:t xml:space="preserve">our employee assistance program. </w:t>
      </w:r>
    </w:p>
    <w:p w14:paraId="0A8E8644" w14:textId="77777777" w:rsidR="0099421F" w:rsidRDefault="0099421F" w:rsidP="0099421F">
      <w:pPr>
        <w:pStyle w:val="Heading2"/>
      </w:pPr>
      <w:r>
        <w:t xml:space="preserve">Employment of Aboriginal and Torres Strait Islander staff </w:t>
      </w:r>
    </w:p>
    <w:p w14:paraId="18C18465" w14:textId="77777777" w:rsidR="0099421F" w:rsidRDefault="0099421F" w:rsidP="0099421F">
      <w:pPr>
        <w:pStyle w:val="BodyText"/>
      </w:pPr>
      <w:r>
        <w:t xml:space="preserve">As at 30 June 2025, 1,898 agency staff self-identified as Aboriginal and/or Torres Strait Islander. This equates to 5% representation across the agency. </w:t>
      </w:r>
    </w:p>
    <w:p w14:paraId="5300D82E" w14:textId="77777777" w:rsidR="0099421F" w:rsidRDefault="0099421F" w:rsidP="0099421F">
      <w:pPr>
        <w:pStyle w:val="Heading2"/>
      </w:pPr>
      <w:r>
        <w:t xml:space="preserve">Indigenous Apprenticeships programs </w:t>
      </w:r>
    </w:p>
    <w:p w14:paraId="62722D1B" w14:textId="77777777" w:rsidR="0099421F" w:rsidRDefault="0099421F" w:rsidP="0099421F">
      <w:pPr>
        <w:pStyle w:val="BodyText"/>
      </w:pPr>
      <w:r>
        <w:t xml:space="preserve">The Australian Government Indigenous Apprenticeships Program is designed to attract Aboriginal and Torres Strait Islander peoples into entry-level positions in the APS. The program simplifies and improves the process for both candidates and partnering agencies and represents an opportunity for agencies to work together to increase the representation of Aboriginal and Torres Strait Islander peoples across the APS. It also builds cultural capability and strengthens the delivery of programs and services to Aboriginal and Torres Strait Islander peoples and communities. </w:t>
      </w:r>
    </w:p>
    <w:p w14:paraId="51396130" w14:textId="77777777" w:rsidR="0099421F" w:rsidRDefault="0099421F" w:rsidP="0099421F">
      <w:pPr>
        <w:pStyle w:val="BodyText"/>
        <w:spacing w:after="57"/>
      </w:pPr>
      <w:r>
        <w:t xml:space="preserve">Under this program in 2024–25: </w:t>
      </w:r>
    </w:p>
    <w:p w14:paraId="21525C5C" w14:textId="77777777" w:rsidR="0099421F" w:rsidRDefault="0099421F" w:rsidP="003D572C">
      <w:pPr>
        <w:pStyle w:val="ListBullet"/>
      </w:pPr>
      <w:r>
        <w:t xml:space="preserve">137 apprentices were placed within the agency </w:t>
      </w:r>
    </w:p>
    <w:p w14:paraId="6FADFACE" w14:textId="77777777" w:rsidR="0099421F" w:rsidRDefault="0099421F" w:rsidP="003D572C">
      <w:pPr>
        <w:pStyle w:val="ListBullet"/>
      </w:pPr>
      <w:r>
        <w:t xml:space="preserve">we partnered with 37 agencies, placing 109 apprentices. </w:t>
      </w:r>
    </w:p>
    <w:p w14:paraId="1FA91368" w14:textId="77777777" w:rsidR="0099421F" w:rsidRDefault="0099421F" w:rsidP="0099421F">
      <w:pPr>
        <w:pStyle w:val="Heading2"/>
      </w:pPr>
      <w:r>
        <w:t>Supporting Aboriginal and Torres Strait Islander staff</w:t>
      </w:r>
    </w:p>
    <w:p w14:paraId="345A386D" w14:textId="77777777" w:rsidR="0099421F" w:rsidRDefault="0099421F" w:rsidP="0099421F">
      <w:pPr>
        <w:pStyle w:val="BodyText"/>
        <w:spacing w:after="57"/>
      </w:pPr>
      <w:r>
        <w:t xml:space="preserve">The Indigenous Employment Action Plan 2023–24 outlines the agency’s commitment </w:t>
      </w:r>
      <w:r>
        <w:rPr>
          <w:spacing w:val="-1"/>
        </w:rPr>
        <w:t xml:space="preserve">to achieving sustainable employment outcomes for Aboriginal and Torres Strait Islander peoples. In 2024–25 an updated action plan was co-designed with the NIC, the agency’s </w:t>
      </w:r>
      <w:r>
        <w:t xml:space="preserve">peak Aboriginal and Torres Strait Islander voice. Activities under the plan included: </w:t>
      </w:r>
    </w:p>
    <w:p w14:paraId="0433830F" w14:textId="77777777" w:rsidR="0099421F" w:rsidRDefault="0099421F" w:rsidP="003D572C">
      <w:pPr>
        <w:pStyle w:val="ListBullet"/>
      </w:pPr>
      <w:r>
        <w:t>participating in National Indigenous Employee Network meetings and the Indigenous Mentoring Program with 208 registered mentors</w:t>
      </w:r>
    </w:p>
    <w:p w14:paraId="47377CED" w14:textId="77777777" w:rsidR="0099421F" w:rsidRDefault="0099421F" w:rsidP="003D572C">
      <w:pPr>
        <w:pStyle w:val="ListBullet"/>
      </w:pPr>
      <w:r>
        <w:t>10,135 staff completing Indigenous Cultural Awareness eLearning training, taking the total number of staff completing training to 34,624</w:t>
      </w:r>
    </w:p>
    <w:p w14:paraId="36C06135" w14:textId="77777777" w:rsidR="0099421F" w:rsidRDefault="0099421F" w:rsidP="003D572C">
      <w:pPr>
        <w:pStyle w:val="ListBullet"/>
      </w:pPr>
      <w:r>
        <w:t>1,155 staff participating in facilitated and virtual Indigenous Cultural Awareness training, taking the total participation to 9,970 staff</w:t>
      </w:r>
    </w:p>
    <w:p w14:paraId="0D5E0CF7" w14:textId="77777777" w:rsidR="0099421F" w:rsidRDefault="0099421F" w:rsidP="003D572C">
      <w:pPr>
        <w:pStyle w:val="ListBullet"/>
      </w:pPr>
      <w:r>
        <w:lastRenderedPageBreak/>
        <w:t>9 staff participating in the Jawun APS Secondment Program, gaining a unique experience working with Indigenous organisations</w:t>
      </w:r>
    </w:p>
    <w:p w14:paraId="6C2429FB" w14:textId="77777777" w:rsidR="0099421F" w:rsidRDefault="0099421F" w:rsidP="003D572C">
      <w:pPr>
        <w:pStyle w:val="ListBullet"/>
      </w:pPr>
      <w:r>
        <w:t>providing Aboriginal and Torres Strait Islander employment performance measures in business plans</w:t>
      </w:r>
    </w:p>
    <w:p w14:paraId="426B829C" w14:textId="77777777" w:rsidR="0099421F" w:rsidRDefault="0099421F" w:rsidP="003D572C">
      <w:pPr>
        <w:pStyle w:val="ListBullet"/>
      </w:pPr>
      <w:r>
        <w:t>delivering the Aspiring Program – a targeted leadership training program for APS5 to executive level (EL1) Aboriginal and Torres Strait Islander staff</w:t>
      </w:r>
    </w:p>
    <w:p w14:paraId="317E8166" w14:textId="77777777" w:rsidR="0099421F" w:rsidRDefault="0099421F" w:rsidP="003D572C">
      <w:pPr>
        <w:pStyle w:val="ListBullet"/>
      </w:pPr>
      <w:r>
        <w:t>5 staff graduating from the Australian Graduate School of Management Executive Indigenous Leaders Program</w:t>
      </w:r>
    </w:p>
    <w:p w14:paraId="5D370104" w14:textId="77777777" w:rsidR="0099421F" w:rsidRDefault="0099421F" w:rsidP="003D572C">
      <w:pPr>
        <w:pStyle w:val="ListBullet"/>
      </w:pPr>
      <w:r>
        <w:t>partnering with the Department of Defence to source graduates through its affirmative measure, Indigenous provisions. We recruited one Indigenous candidate into the National Graduate Program through this partnership (see National Graduate Program on page 145).</w:t>
      </w:r>
    </w:p>
    <w:p w14:paraId="222EE3ED" w14:textId="77777777" w:rsidR="0099421F" w:rsidRDefault="0099421F" w:rsidP="0099421F">
      <w:pPr>
        <w:pStyle w:val="BodyText"/>
      </w:pPr>
      <w:r>
        <w:t xml:space="preserve">The Sir Roland Wilson Foundation Pat Turner Scholarship supported 3 students to complete their postgraduate studies. </w:t>
      </w:r>
    </w:p>
    <w:p w14:paraId="7BEABD08" w14:textId="77777777" w:rsidR="0099421F" w:rsidRDefault="0099421F" w:rsidP="0099421F">
      <w:pPr>
        <w:pStyle w:val="BodyText"/>
      </w:pPr>
      <w:r>
        <w:t>We continued to support the Australian Government SES100 initiative, actively reviewing the established merit pool when filling SES vacancies and promoting a second round of SES100 recruitment to our staff. SES100 is a recruitment strategy to increase representation of First Nations people at senior leadership levels across the APS.</w:t>
      </w:r>
    </w:p>
    <w:p w14:paraId="25BCFA44" w14:textId="77777777" w:rsidR="0099421F" w:rsidRDefault="0099421F" w:rsidP="0099421F">
      <w:pPr>
        <w:pStyle w:val="Heading1"/>
      </w:pPr>
      <w:bookmarkStart w:id="54" w:name="_Toc210815433"/>
      <w:r>
        <w:t>8.6 Reconciliation</w:t>
      </w:r>
      <w:bookmarkEnd w:id="54"/>
      <w:r>
        <w:t xml:space="preserve"> </w:t>
      </w:r>
    </w:p>
    <w:p w14:paraId="5DD9D38D" w14:textId="77777777" w:rsidR="0099421F" w:rsidRDefault="0099421F" w:rsidP="0099421F">
      <w:pPr>
        <w:pStyle w:val="BodyText"/>
      </w:pPr>
      <w:r>
        <w:t xml:space="preserve">The agency is committed to working towards reconciliation. This is reflected in our reconciliation vision ‘Coming together with understanding, respect and trust to move forward in unity with Australia’s First Nations peoples and communities’. Our goal of </w:t>
      </w:r>
      <w:r>
        <w:rPr>
          <w:spacing w:val="-4"/>
        </w:rPr>
        <w:t xml:space="preserve">working towards reconciliation is supported by the Reconciliation Action Plan 2024 to 2026. </w:t>
      </w:r>
    </w:p>
    <w:p w14:paraId="0895A1B1" w14:textId="77777777" w:rsidR="0099421F" w:rsidRDefault="0099421F" w:rsidP="0099421F">
      <w:pPr>
        <w:pStyle w:val="BodyText"/>
        <w:spacing w:after="57"/>
      </w:pPr>
      <w:r>
        <w:t>Throughout 2024–25 we made progress towards our reconciliation goals, including by:</w:t>
      </w:r>
    </w:p>
    <w:p w14:paraId="6F68B221" w14:textId="77777777" w:rsidR="0099421F" w:rsidRDefault="0099421F" w:rsidP="003D572C">
      <w:pPr>
        <w:pStyle w:val="ListBullet"/>
      </w:pPr>
      <w:r>
        <w:t>developing the Workplace belonging strategy 2025 to 2028, in consultation with our agency’s National Indigenous Employees Network, reflecting our vision to foster a workplace culture where all our people feel respected, included, supported, valued and empowered</w:t>
      </w:r>
    </w:p>
    <w:p w14:paraId="1E8689FC" w14:textId="77777777" w:rsidR="0099421F" w:rsidRDefault="0099421F" w:rsidP="003D572C">
      <w:pPr>
        <w:pStyle w:val="ListBullet"/>
      </w:pPr>
      <w:r>
        <w:t>co-chairing the cross-APS Reconciliation Sharing Network forum with the ATO, exchanging ideas to implement reconciliation practices, with the number of participating APS agencies increasing to 46</w:t>
      </w:r>
    </w:p>
    <w:p w14:paraId="2A6854E7" w14:textId="77777777" w:rsidR="0099421F" w:rsidRDefault="0099421F" w:rsidP="003D572C">
      <w:pPr>
        <w:pStyle w:val="ListBullet"/>
      </w:pPr>
      <w:r>
        <w:t>developing an Aboriginal and Torres Strait Islander Cultural Safety Toolkit to support cultural safety in the workplace</w:t>
      </w:r>
    </w:p>
    <w:p w14:paraId="7F8DD8E9" w14:textId="77777777" w:rsidR="0099421F" w:rsidRDefault="0099421F" w:rsidP="003D572C">
      <w:pPr>
        <w:pStyle w:val="ListBullet"/>
      </w:pPr>
      <w:r>
        <w:t>launching the Aboriginal and Torres Strait Islander Community Engagement Principles and opening an additional bespoke service centre (see Aboriginal and Torres Strait Islander Australians on page 91 for further information).</w:t>
      </w:r>
    </w:p>
    <w:p w14:paraId="7FC76F48" w14:textId="77777777" w:rsidR="0099421F" w:rsidRDefault="0099421F" w:rsidP="0099421F">
      <w:pPr>
        <w:pStyle w:val="Heading1"/>
      </w:pPr>
      <w:bookmarkStart w:id="55" w:name="_Toc210815434"/>
      <w:r>
        <w:t>8.7 Learning and development</w:t>
      </w:r>
      <w:bookmarkEnd w:id="55"/>
    </w:p>
    <w:p w14:paraId="21051B1D" w14:textId="77777777" w:rsidR="0099421F" w:rsidRDefault="0099421F" w:rsidP="0099421F">
      <w:pPr>
        <w:pStyle w:val="BodyText"/>
        <w:spacing w:after="57"/>
      </w:pPr>
      <w:r>
        <w:t xml:space="preserve">Services Australia offers a range of learning and development opportunities to support staff to achieve their personal and professional career goals through our Learning Academy. The academy consists of learning faculties, enterprise learning teams and a central enabling team, who work in partnership to drive connected and consistent learning practice across the agency. Our priorities are guided by the 4 pillars of the APS Learning and Development Action Plan: </w:t>
      </w:r>
    </w:p>
    <w:p w14:paraId="5BEDE80C" w14:textId="77777777" w:rsidR="0099421F" w:rsidRDefault="0099421F" w:rsidP="003D572C">
      <w:pPr>
        <w:pStyle w:val="ListBullet"/>
      </w:pPr>
      <w:r>
        <w:t xml:space="preserve">culture </w:t>
      </w:r>
    </w:p>
    <w:p w14:paraId="50EBFD42" w14:textId="77777777" w:rsidR="0099421F" w:rsidRDefault="0099421F" w:rsidP="003D572C">
      <w:pPr>
        <w:pStyle w:val="ListBullet"/>
      </w:pPr>
      <w:r>
        <w:t>governance</w:t>
      </w:r>
    </w:p>
    <w:p w14:paraId="085FB235" w14:textId="77777777" w:rsidR="0099421F" w:rsidRDefault="0099421F" w:rsidP="003D572C">
      <w:pPr>
        <w:pStyle w:val="ListBullet"/>
      </w:pPr>
      <w:r>
        <w:t xml:space="preserve">capabilities </w:t>
      </w:r>
    </w:p>
    <w:p w14:paraId="5A445DF0" w14:textId="77777777" w:rsidR="0099421F" w:rsidRDefault="0099421F" w:rsidP="003D572C">
      <w:pPr>
        <w:pStyle w:val="ListBullet"/>
      </w:pPr>
      <w:r>
        <w:lastRenderedPageBreak/>
        <w:t xml:space="preserve">technology. </w:t>
      </w:r>
    </w:p>
    <w:p w14:paraId="0BD4B35B" w14:textId="77777777" w:rsidR="0099421F" w:rsidRDefault="0099421F" w:rsidP="0099421F">
      <w:pPr>
        <w:pStyle w:val="BodyText"/>
      </w:pPr>
      <w:r>
        <w:t>We inspire a culture of continuous learning, with the objective of developing a highly capable and future-ready APS workforce.</w:t>
      </w:r>
    </w:p>
    <w:p w14:paraId="3CA9766A" w14:textId="77777777" w:rsidR="0099421F" w:rsidRDefault="0099421F" w:rsidP="0099421F">
      <w:pPr>
        <w:pStyle w:val="Heading2"/>
      </w:pPr>
      <w:r>
        <w:t>Leadership programs and talent management</w:t>
      </w:r>
    </w:p>
    <w:p w14:paraId="4C309A59" w14:textId="77777777" w:rsidR="0099421F" w:rsidRDefault="0099421F" w:rsidP="0099421F">
      <w:pPr>
        <w:pStyle w:val="BodyText"/>
      </w:pPr>
      <w:r>
        <w:t>Leadership Unlimited is a talent and leadership development program for high-performing and high</w:t>
      </w:r>
      <w:r>
        <w:noBreakHyphen/>
        <w:t xml:space="preserve">potential EL2 and SES Band 1 staff. As at 30 June 2025, 153 staff had completed the program across 8 cohorts. The 2025 Leadership Unlimited cohort included 21 participants. </w:t>
      </w:r>
    </w:p>
    <w:p w14:paraId="7F9E1A00" w14:textId="77777777" w:rsidR="0099421F" w:rsidRDefault="0099421F" w:rsidP="0099421F">
      <w:pPr>
        <w:pStyle w:val="BodyText"/>
      </w:pPr>
      <w:r>
        <w:t>The Aspiring Program is a talent and leadership development program for high-performing and high</w:t>
      </w:r>
      <w:r>
        <w:noBreakHyphen/>
        <w:t xml:space="preserve">potential Aboriginal and Torres Strait Islander staff at the APS5 to EL1 levels. As at 30 June 2025, 109 participants had completed the program. </w:t>
      </w:r>
    </w:p>
    <w:p w14:paraId="6F5871C0" w14:textId="77777777" w:rsidR="0099421F" w:rsidRDefault="0099421F" w:rsidP="0099421F">
      <w:pPr>
        <w:pStyle w:val="BodyText"/>
      </w:pPr>
      <w:r>
        <w:t xml:space="preserve">The Exceed Program is the agency’s leadership development program for substantive EL2s. Leaders build on their leadership capabilities, develop connections and share experiences in a 3-day face to face workshop. As at 30 June 2025, 131 participants had completed the program across 8 cohorts. </w:t>
      </w:r>
    </w:p>
    <w:p w14:paraId="2F10C76A" w14:textId="77777777" w:rsidR="0099421F" w:rsidRDefault="0099421F" w:rsidP="0099421F">
      <w:pPr>
        <w:pStyle w:val="BodyText"/>
        <w:rPr>
          <w:spacing w:val="-2"/>
        </w:rPr>
      </w:pPr>
      <w:r>
        <w:rPr>
          <w:spacing w:val="-2"/>
        </w:rPr>
        <w:t xml:space="preserve">Enterprise Leadership programs aim to strengthen the resilience and leadership qualities </w:t>
      </w:r>
      <w:r>
        <w:rPr>
          <w:spacing w:val="-4"/>
        </w:rPr>
        <w:t xml:space="preserve">of managers and supervisors across the agency. Learn2Lead builds capability of APS5 and </w:t>
      </w:r>
      <w:r>
        <w:rPr>
          <w:spacing w:val="-1"/>
        </w:rPr>
        <w:t xml:space="preserve">APS6 staff, and Lead2Inspire our EL1 staff. The programs deliver individualised learning </w:t>
      </w:r>
      <w:r>
        <w:rPr>
          <w:spacing w:val="-4"/>
        </w:rPr>
        <w:t xml:space="preserve">experiences in a group setting with peers and SES. As at 30 June 2025, 1,694 staff </w:t>
      </w:r>
      <w:r>
        <w:t xml:space="preserve">had participated in Learn2Lead or Lead2Inspire, compared with 1,537 staff in 2023–24. Additional placements were offered to support a growing service delivery workforce. </w:t>
      </w:r>
    </w:p>
    <w:p w14:paraId="31BF004E" w14:textId="77777777" w:rsidR="0099421F" w:rsidRDefault="0099421F" w:rsidP="0099421F">
      <w:pPr>
        <w:pStyle w:val="BodyText"/>
      </w:pPr>
      <w:r>
        <w:t>The Service Delivery Immersion Program gives SES a deeper understanding of service delivery within the agency. Over the two-day program, SES have the opportunity to observe and hear from a variety of frontline staff and community partnerships, gaining firsthand knowledge about the important role they have in delivering our services to the Australian public. Uptake of the program is positive. As at 30 June 2025, 106 Services Australia SES have participated since starting in May 2024. We also have SES from key policy partner agencies across the APS now attending each program.</w:t>
      </w:r>
    </w:p>
    <w:p w14:paraId="077B7F2A" w14:textId="77777777" w:rsidR="0099421F" w:rsidRDefault="0099421F" w:rsidP="0099421F">
      <w:pPr>
        <w:pStyle w:val="Heading2"/>
      </w:pPr>
      <w:r>
        <w:t>Digital learning</w:t>
      </w:r>
    </w:p>
    <w:p w14:paraId="27CA2508" w14:textId="77777777" w:rsidR="0099421F" w:rsidRDefault="0099421F" w:rsidP="0099421F">
      <w:pPr>
        <w:pStyle w:val="BodyText"/>
      </w:pPr>
      <w:r>
        <w:t xml:space="preserve">The agency continues to embrace and uplift the digital learning experience for its staff, who are increasingly expecting and engaging with learning opportunities that leverage technology. During 2024–25 we provided access to a new online platform for on-demand learning to complement the mandatory and core training provided by our learning teams. </w:t>
      </w:r>
    </w:p>
    <w:p w14:paraId="19CF08AD" w14:textId="77777777" w:rsidR="0099421F" w:rsidRDefault="0099421F" w:rsidP="0099421F">
      <w:pPr>
        <w:pStyle w:val="Heading1"/>
      </w:pPr>
      <w:bookmarkStart w:id="56" w:name="_Toc210815435"/>
      <w:r>
        <w:t>8.8 Performance management</w:t>
      </w:r>
      <w:bookmarkEnd w:id="56"/>
    </w:p>
    <w:p w14:paraId="368C8D32" w14:textId="77777777" w:rsidR="0099421F" w:rsidRDefault="0099421F" w:rsidP="0099421F">
      <w:pPr>
        <w:pStyle w:val="BodyText"/>
      </w:pPr>
      <w:r>
        <w:t>The agency’s performance management process is designed and embedded to foster a culture of high performance by giving staff a clear link between their work effort and agency priorities. In 2024–25, 96.8% of staff negotiated individual performance agreements with their managers. Most of the staff who did not do this were on long-term leave or had not yet completed more than 8 weeks of duties during the performance cycle.</w:t>
      </w:r>
    </w:p>
    <w:p w14:paraId="4911816B" w14:textId="77777777" w:rsidR="0099421F" w:rsidRDefault="0099421F" w:rsidP="0099421F">
      <w:pPr>
        <w:pStyle w:val="Heading2"/>
      </w:pPr>
      <w:r>
        <w:t>Staff engagement and recognition</w:t>
      </w:r>
    </w:p>
    <w:p w14:paraId="3F9EBFEF" w14:textId="77777777" w:rsidR="0099421F" w:rsidRDefault="0099421F" w:rsidP="0099421F">
      <w:pPr>
        <w:pStyle w:val="BodyText"/>
      </w:pPr>
      <w:r>
        <w:t xml:space="preserve">The agency’s peak staff consultative forum, the National Consultative Committee, met 4 times during 2024–25 to discuss matters of strategic significance, including on topics such as the APS Capability Review, the 2030 Vision, workplace health and safety, and implementation of the Services Australia </w:t>
      </w:r>
      <w:r>
        <w:lastRenderedPageBreak/>
        <w:t xml:space="preserve">Enterprise Agreement 2024–2027. Consultation with staff also happens regularly within business areas and locally across the agency. Staff engagement scores in the annual APS employee census have remained consistently high. </w:t>
      </w:r>
    </w:p>
    <w:p w14:paraId="48361A67" w14:textId="77777777" w:rsidR="0099421F" w:rsidRDefault="0099421F" w:rsidP="0099421F">
      <w:pPr>
        <w:pStyle w:val="Heading2"/>
      </w:pPr>
      <w:r>
        <w:t>Internal awards</w:t>
      </w:r>
    </w:p>
    <w:p w14:paraId="5E9FAE71" w14:textId="77777777" w:rsidR="0099421F" w:rsidRDefault="0099421F" w:rsidP="0099421F">
      <w:pPr>
        <w:pStyle w:val="BodyText"/>
      </w:pPr>
      <w:r>
        <w:t>The agency’s awards and honours programs recognise excellent performance and identify individuals and teams achieving exceptional service delivery, successful innovation, inspiring leadership and business excellence.</w:t>
      </w:r>
    </w:p>
    <w:p w14:paraId="2EF41AC4" w14:textId="77777777" w:rsidR="0099421F" w:rsidRDefault="0099421F" w:rsidP="0099421F">
      <w:pPr>
        <w:pStyle w:val="BodyText"/>
        <w:spacing w:after="57"/>
      </w:pPr>
      <w:r>
        <w:t>In 2024–25:</w:t>
      </w:r>
    </w:p>
    <w:p w14:paraId="65B39264" w14:textId="77777777" w:rsidR="0099421F" w:rsidRDefault="0099421F" w:rsidP="003D572C">
      <w:pPr>
        <w:pStyle w:val="ListBullet"/>
      </w:pPr>
      <w:r>
        <w:t>5 individuals and 7 teams won Pinnacle Achievement Awards for their exceptional contribution and performance</w:t>
      </w:r>
    </w:p>
    <w:p w14:paraId="3503E138" w14:textId="77777777" w:rsidR="0099421F" w:rsidRDefault="0099421F" w:rsidP="003D572C">
      <w:pPr>
        <w:pStyle w:val="ListBullet"/>
      </w:pPr>
      <w:r>
        <w:t>49 staff were recognised in the Australia Day Achievement Awards for their commitment and dedication to their work</w:t>
      </w:r>
    </w:p>
    <w:p w14:paraId="70E3E17B" w14:textId="77777777" w:rsidR="0099421F" w:rsidRDefault="0099421F" w:rsidP="003D572C">
      <w:pPr>
        <w:pStyle w:val="ListBullet"/>
      </w:pPr>
      <w:r>
        <w:t>3 individuals and 5 teams won achievement awards for Indigenous servicing.</w:t>
      </w:r>
    </w:p>
    <w:p w14:paraId="5BFF975A" w14:textId="77777777" w:rsidR="0099421F" w:rsidRDefault="0099421F" w:rsidP="0099421F">
      <w:pPr>
        <w:pStyle w:val="Heading2"/>
      </w:pPr>
      <w:r>
        <w:t xml:space="preserve">External awards </w:t>
      </w:r>
    </w:p>
    <w:p w14:paraId="775E45E9" w14:textId="77777777" w:rsidR="0099421F" w:rsidRDefault="0099421F" w:rsidP="0099421F">
      <w:pPr>
        <w:pStyle w:val="BodyText"/>
        <w:spacing w:after="57"/>
      </w:pPr>
      <w:r>
        <w:t xml:space="preserve">In 2024–25 several public and private sector industry association awards programs recognised individuals and teams from the agency: </w:t>
      </w:r>
    </w:p>
    <w:p w14:paraId="76AD0343" w14:textId="77777777" w:rsidR="0099421F" w:rsidRDefault="0099421F" w:rsidP="003D572C">
      <w:pPr>
        <w:pStyle w:val="ListBullet"/>
      </w:pPr>
      <w:r>
        <w:t>2024 Australian HR Institute Awards: Winner – Best Diversity, Equity, and Inclusion Strategy – Multiculturalism: Our Stories</w:t>
      </w:r>
    </w:p>
    <w:p w14:paraId="666318D9" w14:textId="77777777" w:rsidR="0099421F" w:rsidRDefault="0099421F" w:rsidP="003D572C">
      <w:pPr>
        <w:pStyle w:val="ListBullet"/>
      </w:pPr>
      <w:r>
        <w:t>2024 Institute of Public Administration Australia ACT Spirit of Service Awards: Winner – Collaboration Award – Bringing Statutory Declarations into the 21st Century</w:t>
      </w:r>
    </w:p>
    <w:p w14:paraId="02BD3240" w14:textId="77777777" w:rsidR="0099421F" w:rsidRDefault="0099421F" w:rsidP="003D572C">
      <w:pPr>
        <w:pStyle w:val="ListBullet"/>
      </w:pPr>
      <w:r>
        <w:t xml:space="preserve">2024 Australian Business Awards: ABA100 Winner – Change Management Award </w:t>
      </w:r>
    </w:p>
    <w:p w14:paraId="2F3D6691" w14:textId="77777777" w:rsidR="0099421F" w:rsidRDefault="0099421F" w:rsidP="003D572C">
      <w:pPr>
        <w:pStyle w:val="ListBullet"/>
      </w:pPr>
      <w:r>
        <w:t>2024 Australian Institute of Project Management Achievement Awards: Chapter Winner – Government Project – Enhanced myGov Program</w:t>
      </w:r>
    </w:p>
    <w:p w14:paraId="61948DAF" w14:textId="77777777" w:rsidR="0099421F" w:rsidRDefault="0099421F" w:rsidP="003D572C">
      <w:pPr>
        <w:pStyle w:val="ListBullet"/>
      </w:pPr>
      <w:r>
        <w:t>2025 Customer Experience Awards: Winner – Best Inclusive Customer Experience – Services Australia’s Customer Experience Standard</w:t>
      </w:r>
    </w:p>
    <w:p w14:paraId="1B0C6E95" w14:textId="77777777" w:rsidR="0099421F" w:rsidRDefault="0099421F" w:rsidP="003D572C">
      <w:pPr>
        <w:pStyle w:val="ListBullet"/>
      </w:pPr>
      <w:r>
        <w:t>2025 Australian LGBTQ+ Inclusion Awards – Platinum employer.</w:t>
      </w:r>
    </w:p>
    <w:p w14:paraId="46FB1535" w14:textId="77777777" w:rsidR="0099421F" w:rsidRDefault="0099421F" w:rsidP="0099421F">
      <w:pPr>
        <w:pStyle w:val="Heading2"/>
      </w:pPr>
      <w:r>
        <w:t>Performance pay</w:t>
      </w:r>
    </w:p>
    <w:p w14:paraId="29696C3F" w14:textId="77777777" w:rsidR="0099421F" w:rsidRDefault="0099421F" w:rsidP="0099421F">
      <w:pPr>
        <w:pStyle w:val="BodyText"/>
        <w:spacing w:after="283"/>
      </w:pPr>
      <w:r>
        <w:t>The agency made no performance or bonus payments in 2024–25 as these payments are not part of the remuneration framework for staff or executives in the agency. Eligible staff who met or exceeded agreed performance goals were advanced through the salary range for their classification in accordance with their enterprise agreements.</w:t>
      </w:r>
    </w:p>
    <w:p w14:paraId="4C6A6622" w14:textId="77777777" w:rsidR="0099421F" w:rsidRDefault="0099421F" w:rsidP="0099421F">
      <w:pPr>
        <w:pStyle w:val="Heading1"/>
      </w:pPr>
      <w:bookmarkStart w:id="57" w:name="_Toc210815436"/>
      <w:r>
        <w:t>8.9 Employment arrangements</w:t>
      </w:r>
      <w:bookmarkEnd w:id="57"/>
    </w:p>
    <w:p w14:paraId="28DCF780" w14:textId="77777777" w:rsidR="0099421F" w:rsidRDefault="0099421F" w:rsidP="0099421F">
      <w:pPr>
        <w:pStyle w:val="Heading2"/>
      </w:pPr>
      <w:r>
        <w:t>Workplace agreements</w:t>
      </w:r>
    </w:p>
    <w:p w14:paraId="400FB87A" w14:textId="77777777" w:rsidR="0099421F" w:rsidRDefault="0099421F" w:rsidP="0099421F">
      <w:pPr>
        <w:pStyle w:val="BodyText"/>
      </w:pPr>
      <w:r>
        <w:t>All staff other than SES and medical officers are employed under the Services Australia Enterprise Agreement 2024–2027, which sets out their terms and conditions of employment. A separate agreement applies to medical officers.</w:t>
      </w:r>
    </w:p>
    <w:p w14:paraId="3624E508" w14:textId="77777777" w:rsidR="0099421F" w:rsidRDefault="0099421F" w:rsidP="0099421F">
      <w:pPr>
        <w:pStyle w:val="Heading2"/>
      </w:pPr>
      <w:r>
        <w:lastRenderedPageBreak/>
        <w:t>Individual flexibility arrangements</w:t>
      </w:r>
    </w:p>
    <w:p w14:paraId="40732D09" w14:textId="77777777" w:rsidR="0099421F" w:rsidRDefault="0099421F" w:rsidP="0099421F">
      <w:pPr>
        <w:pStyle w:val="BodyText"/>
      </w:pPr>
      <w:r>
        <w:t>In exceptional circumstances, the agency makes individual flexibility arrangements with staff. For example, we use these arrangements to attract and retain staff in remote and isolated work locations, or those with specialised skills in critical roles.</w:t>
      </w:r>
    </w:p>
    <w:p w14:paraId="1D9396E7" w14:textId="77777777" w:rsidR="0099421F" w:rsidRDefault="0099421F" w:rsidP="0099421F">
      <w:pPr>
        <w:pStyle w:val="BodyText"/>
      </w:pPr>
      <w:r>
        <w:t>As at 30 June 2025, the agency had 140 individual flexibility arrangements in operation.</w:t>
      </w:r>
    </w:p>
    <w:tbl>
      <w:tblPr>
        <w:tblStyle w:val="TableGrid"/>
        <w:tblW w:w="5000" w:type="pct"/>
        <w:tblLook w:val="04A0" w:firstRow="1" w:lastRow="0" w:firstColumn="1" w:lastColumn="0" w:noHBand="0" w:noVBand="1"/>
        <w:tblCaption w:val="Case study – Agency takes pride in being inclusive"/>
      </w:tblPr>
      <w:tblGrid>
        <w:gridCol w:w="11096"/>
      </w:tblGrid>
      <w:tr w:rsidR="003D572C" w14:paraId="7BFEBCD3" w14:textId="77777777" w:rsidTr="006A0585">
        <w:tc>
          <w:tcPr>
            <w:tcW w:w="5000" w:type="pct"/>
          </w:tcPr>
          <w:p w14:paraId="20AEBF65" w14:textId="3110F68B" w:rsidR="003D572C" w:rsidRPr="003D572C" w:rsidRDefault="003D572C" w:rsidP="003D572C">
            <w:pPr>
              <w:pStyle w:val="Heading2"/>
              <w:rPr>
                <w:lang w:val="en-GB"/>
              </w:rPr>
            </w:pPr>
            <w:r>
              <w:rPr>
                <w:lang w:val="en-GB"/>
              </w:rPr>
              <w:t xml:space="preserve">Case study – </w:t>
            </w:r>
            <w:r w:rsidRPr="003D572C">
              <w:rPr>
                <w:lang w:val="en-GB"/>
              </w:rPr>
              <w:t>Agency takes pride in being inclusive</w:t>
            </w:r>
          </w:p>
          <w:p w14:paraId="6AF14454" w14:textId="77777777" w:rsidR="003D572C" w:rsidRPr="003D572C" w:rsidRDefault="003D572C" w:rsidP="003D572C">
            <w:pPr>
              <w:pStyle w:val="BodyText"/>
              <w:rPr>
                <w:lang w:val="en-GB"/>
              </w:rPr>
            </w:pPr>
            <w:r w:rsidRPr="003D572C">
              <w:rPr>
                <w:lang w:val="en-GB"/>
              </w:rPr>
              <w:t>For Kristy-Lee Cook, joining her Services Australia colleagues in the 2025 Sydney Gay and Lesbian Mardi Gras Parade was a career highlight.</w:t>
            </w:r>
          </w:p>
          <w:p w14:paraId="44D74506" w14:textId="77777777" w:rsidR="003D572C" w:rsidRPr="003D572C" w:rsidRDefault="003D572C" w:rsidP="003D572C">
            <w:pPr>
              <w:pStyle w:val="BodyText"/>
              <w:rPr>
                <w:lang w:val="en-GB"/>
              </w:rPr>
            </w:pPr>
            <w:r w:rsidRPr="003D572C">
              <w:rPr>
                <w:lang w:val="en-GB"/>
              </w:rPr>
              <w:t>The proud Wiradjuri woman, who is part of the Indigenous Employment Strategies Team, was one of 60 staff from across the country who represented the agency in the parade.</w:t>
            </w:r>
          </w:p>
          <w:p w14:paraId="117FD06C" w14:textId="77777777" w:rsidR="003D572C" w:rsidRPr="003D572C" w:rsidRDefault="003D572C" w:rsidP="003D572C">
            <w:pPr>
              <w:pStyle w:val="BodyText"/>
              <w:rPr>
                <w:lang w:val="en-GB"/>
              </w:rPr>
            </w:pPr>
            <w:r w:rsidRPr="003D572C">
              <w:rPr>
                <w:lang w:val="en-GB"/>
              </w:rPr>
              <w:t>It was the first time Services Australia has participated in the event.</w:t>
            </w:r>
          </w:p>
          <w:p w14:paraId="6F6B7F85" w14:textId="77777777" w:rsidR="003D572C" w:rsidRPr="003D572C" w:rsidRDefault="003D572C" w:rsidP="003D572C">
            <w:pPr>
              <w:pStyle w:val="BodyText"/>
              <w:rPr>
                <w:lang w:val="en-GB"/>
              </w:rPr>
            </w:pPr>
            <w:r w:rsidRPr="003D572C">
              <w:rPr>
                <w:lang w:val="en-GB"/>
              </w:rPr>
              <w:t>As an ally of the LGBTQIA+ community, Kristy-Lee said being part of the parade was a personal honour.</w:t>
            </w:r>
          </w:p>
          <w:p w14:paraId="0A080BAE" w14:textId="77777777" w:rsidR="003D572C" w:rsidRPr="003D572C" w:rsidRDefault="003D572C" w:rsidP="003D572C">
            <w:pPr>
              <w:pStyle w:val="BodyText"/>
              <w:rPr>
                <w:lang w:val="en-GB"/>
              </w:rPr>
            </w:pPr>
            <w:r w:rsidRPr="003D572C">
              <w:rPr>
                <w:lang w:val="en-GB"/>
              </w:rPr>
              <w:t>‘It was also a significant step in promoting the values and diversity that our agency stands for,’ Kristy-Lee said.</w:t>
            </w:r>
          </w:p>
          <w:p w14:paraId="71B4B726" w14:textId="77777777" w:rsidR="003D572C" w:rsidRPr="003D572C" w:rsidRDefault="003D572C" w:rsidP="003D572C">
            <w:pPr>
              <w:pStyle w:val="BodyText"/>
              <w:rPr>
                <w:lang w:val="en-GB"/>
              </w:rPr>
            </w:pPr>
            <w:r w:rsidRPr="003D572C">
              <w:rPr>
                <w:lang w:val="en-GB"/>
              </w:rPr>
              <w:t>‘Being part of something so meaningful and inspiring was truly a highlight of my career. Witnessing the pride in everyone’s eyes was a joy I will always cherish.’</w:t>
            </w:r>
          </w:p>
          <w:p w14:paraId="3CE31BB3" w14:textId="77777777" w:rsidR="003D572C" w:rsidRPr="003D572C" w:rsidRDefault="003D572C" w:rsidP="003D572C">
            <w:pPr>
              <w:pStyle w:val="BodyText"/>
              <w:rPr>
                <w:lang w:val="en-GB"/>
              </w:rPr>
            </w:pPr>
            <w:r w:rsidRPr="003D572C">
              <w:rPr>
                <w:lang w:val="en-GB"/>
              </w:rPr>
              <w:t>Services Australia aspires to be a workplace where diversity is celebrated and all people are valued and respected, and feel they belong.</w:t>
            </w:r>
          </w:p>
          <w:p w14:paraId="6FAA7545" w14:textId="77777777" w:rsidR="003D572C" w:rsidRPr="003D572C" w:rsidRDefault="003D572C" w:rsidP="003D572C">
            <w:pPr>
              <w:pStyle w:val="BodyText"/>
              <w:rPr>
                <w:lang w:val="en-GB"/>
              </w:rPr>
            </w:pPr>
            <w:r w:rsidRPr="003D572C">
              <w:rPr>
                <w:lang w:val="en-GB"/>
              </w:rPr>
              <w:t>As one of the largest employers in the APS, we believe diversity is our greatest strength. The more diverse our workforce is, the more reflective we are of the community we serve, and the more empathetic, responsive and effective we are in delivering services to meet their unique needs.</w:t>
            </w:r>
          </w:p>
          <w:p w14:paraId="38904DF3" w14:textId="77777777" w:rsidR="003D572C" w:rsidRPr="003D572C" w:rsidRDefault="003D572C" w:rsidP="003D572C">
            <w:pPr>
              <w:pStyle w:val="BodyText"/>
              <w:rPr>
                <w:lang w:val="en-GB"/>
              </w:rPr>
            </w:pPr>
            <w:r w:rsidRPr="003D572C">
              <w:rPr>
                <w:lang w:val="en-GB"/>
              </w:rPr>
              <w:t>Representation also builds trust. It shows our customers we see them, we value them, and we’re committed to meeting the needs of the LGBTQIA+ community with dignity and respect. Participating in events like Mardi Gras is one way we demonstrate that commitment publicly.</w:t>
            </w:r>
          </w:p>
          <w:p w14:paraId="4E2EFF23" w14:textId="130B44E9" w:rsidR="003D572C" w:rsidRDefault="003D572C" w:rsidP="003D572C">
            <w:pPr>
              <w:pStyle w:val="BodyText"/>
            </w:pPr>
            <w:r w:rsidRPr="003D572C">
              <w:rPr>
                <w:lang w:val="en-GB"/>
              </w:rPr>
              <w:t>Services Australia has also been recognised by the Australian Workplace Equality Index as a Platinum Tier employer at the 2025 LGBTQ+ Inclusion Awards. The awards measure the overall impact of inclusion initiatives on workplace culture. The Platinum Tier is the highest recognition an organisation can receive in Australia, and it’s something we’re incredibly proud of.</w:t>
            </w:r>
          </w:p>
        </w:tc>
      </w:tr>
    </w:tbl>
    <w:p w14:paraId="2D157FDB" w14:textId="0837A79F" w:rsidR="0099421F" w:rsidRDefault="0048616D" w:rsidP="003D572C">
      <w:pPr>
        <w:pStyle w:val="Heading1"/>
      </w:pPr>
      <w:bookmarkStart w:id="58" w:name="_Toc210815437"/>
      <w:r>
        <w:t>Part 9 –</w:t>
      </w:r>
      <w:r w:rsidR="003D572C">
        <w:t xml:space="preserve"> Financial reporting</w:t>
      </w:r>
      <w:bookmarkEnd w:id="58"/>
    </w:p>
    <w:p w14:paraId="09C0BC52" w14:textId="77777777" w:rsidR="003D572C" w:rsidRDefault="003D572C" w:rsidP="003D572C">
      <w:pPr>
        <w:pStyle w:val="Heading1"/>
      </w:pPr>
      <w:bookmarkStart w:id="59" w:name="_Toc210815438"/>
      <w:r>
        <w:t>9.1 Report on financial performance</w:t>
      </w:r>
      <w:bookmarkEnd w:id="59"/>
      <w:r>
        <w:t xml:space="preserve"> </w:t>
      </w:r>
    </w:p>
    <w:p w14:paraId="42054D3C" w14:textId="77777777" w:rsidR="003D572C" w:rsidRDefault="003D572C" w:rsidP="003D572C">
      <w:pPr>
        <w:pStyle w:val="BodyText"/>
      </w:pPr>
      <w:r>
        <w:t xml:space="preserve">In 2024–25 Services Australia made social services and health payments totalling $261.0 billion. </w:t>
      </w:r>
    </w:p>
    <w:p w14:paraId="6070E085" w14:textId="77777777" w:rsidR="003D572C" w:rsidRDefault="003D572C" w:rsidP="003D572C">
      <w:pPr>
        <w:pStyle w:val="BodyText"/>
      </w:pPr>
      <w:r>
        <w:t>The government supplemented the agency’s budget with around $5.8 billion in operating and capital funding so that we could make these payments and provide other customer services. We also received around $0.3 billion in own-source revenue for the provision of shared services and delivery of ICT projects.</w:t>
      </w:r>
    </w:p>
    <w:p w14:paraId="65623378" w14:textId="77777777" w:rsidR="003D572C" w:rsidRDefault="003D572C" w:rsidP="003D572C">
      <w:pPr>
        <w:pStyle w:val="BodyText"/>
      </w:pPr>
      <w:r>
        <w:lastRenderedPageBreak/>
        <w:t>The agency acts as the intermediary in the transfer of child support payments by collecting from the paying parent and paying to the receiving parent. During 2024–25 the child support revenue and expenses totalled $2.0 billion.</w:t>
      </w:r>
    </w:p>
    <w:p w14:paraId="035D64AE" w14:textId="77777777" w:rsidR="003D572C" w:rsidRDefault="003D572C" w:rsidP="003D572C">
      <w:pPr>
        <w:pStyle w:val="BodyText"/>
      </w:pPr>
      <w:r>
        <w:t xml:space="preserve">The agency’s total funding of $6.1 billion was used as detailed in Figure 2. </w:t>
      </w:r>
    </w:p>
    <w:p w14:paraId="30EC11C5" w14:textId="77777777" w:rsidR="003D572C" w:rsidRDefault="003D572C" w:rsidP="003D572C">
      <w:pPr>
        <w:pStyle w:val="BodyText"/>
        <w:rPr>
          <w:b/>
          <w:bCs/>
        </w:rPr>
      </w:pPr>
      <w:r w:rsidRPr="003D572C">
        <w:rPr>
          <w:b/>
          <w:bCs/>
        </w:rPr>
        <w:t xml:space="preserve">Figure 2: Agency funding 2024–25 </w:t>
      </w:r>
    </w:p>
    <w:tbl>
      <w:tblPr>
        <w:tblStyle w:val="TableGrid"/>
        <w:tblW w:w="5000" w:type="pct"/>
        <w:tblLook w:val="04A0" w:firstRow="1" w:lastRow="0" w:firstColumn="1" w:lastColumn="0" w:noHBand="0" w:noVBand="1"/>
        <w:tblCaption w:val="Figure 2: Agency funding 2024–25 "/>
      </w:tblPr>
      <w:tblGrid>
        <w:gridCol w:w="9194"/>
        <w:gridCol w:w="1902"/>
      </w:tblGrid>
      <w:tr w:rsidR="003D572C" w:rsidRPr="003D572C" w14:paraId="5F99A687" w14:textId="77777777" w:rsidTr="006A0585">
        <w:trPr>
          <w:trHeight w:val="284"/>
        </w:trPr>
        <w:tc>
          <w:tcPr>
            <w:tcW w:w="4143" w:type="pct"/>
          </w:tcPr>
          <w:p w14:paraId="28E03727" w14:textId="77777777" w:rsidR="003D572C" w:rsidRPr="003D572C" w:rsidRDefault="003D572C" w:rsidP="003D572C">
            <w:pPr>
              <w:pStyle w:val="BodyText"/>
            </w:pPr>
            <w:r w:rsidRPr="003D572C">
              <w:t xml:space="preserve">Staff </w:t>
            </w:r>
          </w:p>
        </w:tc>
        <w:tc>
          <w:tcPr>
            <w:tcW w:w="857" w:type="pct"/>
          </w:tcPr>
          <w:p w14:paraId="3CB0A43E" w14:textId="77777777" w:rsidR="003D572C" w:rsidRPr="003D572C" w:rsidRDefault="003D572C" w:rsidP="003D572C">
            <w:pPr>
              <w:pStyle w:val="BodyText"/>
            </w:pPr>
            <w:r w:rsidRPr="003D572C">
              <w:t>58.4%</w:t>
            </w:r>
          </w:p>
        </w:tc>
      </w:tr>
      <w:tr w:rsidR="003D572C" w:rsidRPr="003D572C" w14:paraId="0BEAED29" w14:textId="77777777" w:rsidTr="006A0585">
        <w:trPr>
          <w:trHeight w:val="60"/>
        </w:trPr>
        <w:tc>
          <w:tcPr>
            <w:tcW w:w="4143" w:type="pct"/>
          </w:tcPr>
          <w:p w14:paraId="2496783D" w14:textId="77777777" w:rsidR="003D572C" w:rsidRPr="003D572C" w:rsidRDefault="003D572C" w:rsidP="003D572C">
            <w:pPr>
              <w:pStyle w:val="BodyText"/>
            </w:pPr>
            <w:r w:rsidRPr="003D572C">
              <w:t>Software capital</w:t>
            </w:r>
          </w:p>
        </w:tc>
        <w:tc>
          <w:tcPr>
            <w:tcW w:w="857" w:type="pct"/>
          </w:tcPr>
          <w:p w14:paraId="3B8F84EB" w14:textId="77777777" w:rsidR="003D572C" w:rsidRPr="003D572C" w:rsidRDefault="003D572C" w:rsidP="003D572C">
            <w:pPr>
              <w:pStyle w:val="BodyText"/>
            </w:pPr>
            <w:r w:rsidRPr="003D572C">
              <w:t>5.5%</w:t>
            </w:r>
          </w:p>
        </w:tc>
      </w:tr>
      <w:tr w:rsidR="003D572C" w:rsidRPr="003D572C" w14:paraId="5EA7F491" w14:textId="77777777" w:rsidTr="006A0585">
        <w:trPr>
          <w:trHeight w:val="60"/>
        </w:trPr>
        <w:tc>
          <w:tcPr>
            <w:tcW w:w="4143" w:type="pct"/>
          </w:tcPr>
          <w:p w14:paraId="4E9903CD" w14:textId="77777777" w:rsidR="003D572C" w:rsidRPr="003D572C" w:rsidRDefault="003D572C" w:rsidP="003D572C">
            <w:pPr>
              <w:pStyle w:val="BodyText"/>
            </w:pPr>
            <w:r w:rsidRPr="003D572C">
              <w:t>Property and equipment capital</w:t>
            </w:r>
          </w:p>
        </w:tc>
        <w:tc>
          <w:tcPr>
            <w:tcW w:w="857" w:type="pct"/>
          </w:tcPr>
          <w:p w14:paraId="5F33BB5E" w14:textId="77777777" w:rsidR="003D572C" w:rsidRPr="003D572C" w:rsidRDefault="003D572C" w:rsidP="003D572C">
            <w:pPr>
              <w:pStyle w:val="BodyText"/>
            </w:pPr>
            <w:r w:rsidRPr="003D572C">
              <w:t>5.0%</w:t>
            </w:r>
          </w:p>
        </w:tc>
      </w:tr>
      <w:tr w:rsidR="003D572C" w:rsidRPr="003D572C" w14:paraId="320B7904" w14:textId="77777777" w:rsidTr="006A0585">
        <w:trPr>
          <w:trHeight w:val="60"/>
        </w:trPr>
        <w:tc>
          <w:tcPr>
            <w:tcW w:w="4143" w:type="pct"/>
          </w:tcPr>
          <w:p w14:paraId="6C5E3C55" w14:textId="77777777" w:rsidR="003D572C" w:rsidRPr="003D572C" w:rsidRDefault="003D572C" w:rsidP="003D572C">
            <w:pPr>
              <w:pStyle w:val="BodyText"/>
            </w:pPr>
            <w:r w:rsidRPr="003D572C">
              <w:t>Other</w:t>
            </w:r>
          </w:p>
        </w:tc>
        <w:tc>
          <w:tcPr>
            <w:tcW w:w="857" w:type="pct"/>
          </w:tcPr>
          <w:p w14:paraId="763D8B07" w14:textId="77777777" w:rsidR="003D572C" w:rsidRPr="003D572C" w:rsidRDefault="003D572C" w:rsidP="003D572C">
            <w:pPr>
              <w:pStyle w:val="BodyText"/>
            </w:pPr>
            <w:r w:rsidRPr="003D572C">
              <w:t>6.1%</w:t>
            </w:r>
          </w:p>
        </w:tc>
      </w:tr>
      <w:tr w:rsidR="003D572C" w:rsidRPr="003D572C" w14:paraId="2DC14588" w14:textId="77777777" w:rsidTr="006A0585">
        <w:trPr>
          <w:trHeight w:val="60"/>
        </w:trPr>
        <w:tc>
          <w:tcPr>
            <w:tcW w:w="4143" w:type="pct"/>
          </w:tcPr>
          <w:p w14:paraId="7D2E5076" w14:textId="77777777" w:rsidR="003D572C" w:rsidRPr="003D572C" w:rsidRDefault="003D572C" w:rsidP="003D572C">
            <w:pPr>
              <w:pStyle w:val="BodyText"/>
            </w:pPr>
            <w:r w:rsidRPr="003D572C">
              <w:t xml:space="preserve">Property and leases </w:t>
            </w:r>
          </w:p>
        </w:tc>
        <w:tc>
          <w:tcPr>
            <w:tcW w:w="857" w:type="pct"/>
          </w:tcPr>
          <w:p w14:paraId="74D1C00A" w14:textId="77777777" w:rsidR="003D572C" w:rsidRPr="003D572C" w:rsidRDefault="003D572C" w:rsidP="003D572C">
            <w:pPr>
              <w:pStyle w:val="BodyText"/>
            </w:pPr>
            <w:r w:rsidRPr="003D572C">
              <w:t>6.9%</w:t>
            </w:r>
          </w:p>
        </w:tc>
      </w:tr>
      <w:tr w:rsidR="003D572C" w:rsidRPr="003D572C" w14:paraId="4322E415" w14:textId="77777777" w:rsidTr="006A0585">
        <w:trPr>
          <w:trHeight w:val="60"/>
        </w:trPr>
        <w:tc>
          <w:tcPr>
            <w:tcW w:w="4143" w:type="pct"/>
          </w:tcPr>
          <w:p w14:paraId="6A953CA8" w14:textId="77777777" w:rsidR="003D572C" w:rsidRPr="003D572C" w:rsidRDefault="003D572C" w:rsidP="003D572C">
            <w:pPr>
              <w:pStyle w:val="BodyText"/>
            </w:pPr>
            <w:r w:rsidRPr="003D572C">
              <w:t>Communications</w:t>
            </w:r>
          </w:p>
        </w:tc>
        <w:tc>
          <w:tcPr>
            <w:tcW w:w="857" w:type="pct"/>
          </w:tcPr>
          <w:p w14:paraId="7A44F975" w14:textId="77777777" w:rsidR="003D572C" w:rsidRPr="003D572C" w:rsidRDefault="003D572C" w:rsidP="003D572C">
            <w:pPr>
              <w:pStyle w:val="BodyText"/>
            </w:pPr>
            <w:r w:rsidRPr="003D572C">
              <w:t>4.1%</w:t>
            </w:r>
          </w:p>
        </w:tc>
      </w:tr>
      <w:tr w:rsidR="003D572C" w:rsidRPr="003D572C" w14:paraId="1A93DCAF" w14:textId="77777777" w:rsidTr="006A0585">
        <w:trPr>
          <w:trHeight w:val="60"/>
        </w:trPr>
        <w:tc>
          <w:tcPr>
            <w:tcW w:w="4143" w:type="pct"/>
          </w:tcPr>
          <w:p w14:paraId="2C94C6BB" w14:textId="77777777" w:rsidR="003D572C" w:rsidRPr="003D572C" w:rsidRDefault="003D572C" w:rsidP="003D572C">
            <w:pPr>
              <w:pStyle w:val="BodyText"/>
            </w:pPr>
            <w:r w:rsidRPr="003D572C">
              <w:t>IT maintenance</w:t>
            </w:r>
          </w:p>
        </w:tc>
        <w:tc>
          <w:tcPr>
            <w:tcW w:w="857" w:type="pct"/>
          </w:tcPr>
          <w:p w14:paraId="6298CA40" w14:textId="77777777" w:rsidR="003D572C" w:rsidRPr="003D572C" w:rsidRDefault="003D572C" w:rsidP="003D572C">
            <w:pPr>
              <w:pStyle w:val="BodyText"/>
            </w:pPr>
            <w:r w:rsidRPr="003D572C">
              <w:t>7.2%</w:t>
            </w:r>
          </w:p>
        </w:tc>
      </w:tr>
      <w:tr w:rsidR="003D572C" w:rsidRPr="003D572C" w14:paraId="0E176D02" w14:textId="77777777" w:rsidTr="006A0585">
        <w:trPr>
          <w:trHeight w:val="60"/>
        </w:trPr>
        <w:tc>
          <w:tcPr>
            <w:tcW w:w="4143" w:type="pct"/>
          </w:tcPr>
          <w:p w14:paraId="3585DA79" w14:textId="77777777" w:rsidR="003D572C" w:rsidRPr="003D572C" w:rsidRDefault="003D572C" w:rsidP="003D572C">
            <w:pPr>
              <w:pStyle w:val="BodyText"/>
            </w:pPr>
            <w:r w:rsidRPr="003D572C">
              <w:t xml:space="preserve">Consultants and contractors </w:t>
            </w:r>
          </w:p>
        </w:tc>
        <w:tc>
          <w:tcPr>
            <w:tcW w:w="857" w:type="pct"/>
          </w:tcPr>
          <w:p w14:paraId="6B1B36EF" w14:textId="77777777" w:rsidR="003D572C" w:rsidRPr="003D572C" w:rsidRDefault="003D572C" w:rsidP="003D572C">
            <w:pPr>
              <w:pStyle w:val="BodyText"/>
            </w:pPr>
            <w:r w:rsidRPr="003D572C">
              <w:t>6.8%</w:t>
            </w:r>
          </w:p>
        </w:tc>
      </w:tr>
    </w:tbl>
    <w:p w14:paraId="257E3813" w14:textId="77777777" w:rsidR="003D572C" w:rsidRDefault="003D572C" w:rsidP="003D572C">
      <w:pPr>
        <w:pStyle w:val="BodyText"/>
      </w:pPr>
      <w:r>
        <w:t xml:space="preserve">The agency’s financial result was an operating surplus of $134.6 million. This result includes principal lease payments under the Australian Accounting Standards Board (AASB) accounting standard 16 and excludes non-cash items relating to depreciation and amortisation. </w:t>
      </w:r>
    </w:p>
    <w:p w14:paraId="7639F90E" w14:textId="77777777" w:rsidR="003D572C" w:rsidRDefault="003D572C" w:rsidP="003D572C">
      <w:pPr>
        <w:pStyle w:val="BodyText"/>
      </w:pPr>
      <w:r>
        <w:t xml:space="preserve">Our 2024–25 financial statements, starting on page 164, include details of the significant drivers of change from budget and the previous year actuals. </w:t>
      </w:r>
    </w:p>
    <w:p w14:paraId="29148B38" w14:textId="77777777" w:rsidR="003D572C" w:rsidRDefault="003D572C" w:rsidP="003D572C">
      <w:pPr>
        <w:pStyle w:val="BodyText"/>
      </w:pPr>
      <w:r>
        <w:t xml:space="preserve">For more information about the agency’s resourcing and expenses by outcomes, see Entity resource statement and expenses by outcome on page 208. </w:t>
      </w:r>
    </w:p>
    <w:p w14:paraId="35F9B133" w14:textId="77777777" w:rsidR="003D572C" w:rsidRDefault="003D572C" w:rsidP="003D572C">
      <w:pPr>
        <w:pStyle w:val="Heading2"/>
      </w:pPr>
      <w:r>
        <w:t>Significant non-compliance</w:t>
      </w:r>
    </w:p>
    <w:p w14:paraId="470FCE83" w14:textId="77777777" w:rsidR="003D572C" w:rsidRDefault="003D572C" w:rsidP="003D572C">
      <w:pPr>
        <w:pStyle w:val="BodyText"/>
      </w:pPr>
      <w:r>
        <w:t>The agency has reported 3 matters of significant non-compliance with the finance law to the responsible Minister under section 19(1)(e) of the PGPA Act. This includes 1 new matter identified in 2024–25 relating to child support pre-payments and the 2 non-compliance matters reported in 2023–24 relating to Medicare Compensation Recovery and Child Support programs.</w:t>
      </w:r>
    </w:p>
    <w:p w14:paraId="44726163" w14:textId="77777777" w:rsidR="003D572C" w:rsidRDefault="003D572C" w:rsidP="003D572C">
      <w:pPr>
        <w:pStyle w:val="BodyText"/>
      </w:pPr>
      <w:r>
        <w:t>The agency has identified significant non-compliance in relation to crediting of the child support special account (special account) when a pre-payment for a future child support liability has been received. In practice, all child support receipts are credited to the special account consistent with the policy intent that customers can make pre-payments and that the government acts as an intermediary in facilitating child support payments. The agency is working with the DSS to resolve this issue.</w:t>
      </w:r>
    </w:p>
    <w:p w14:paraId="730EFF15" w14:textId="77777777" w:rsidR="003D572C" w:rsidRDefault="003D572C" w:rsidP="003D572C">
      <w:pPr>
        <w:pStyle w:val="BodyText"/>
      </w:pPr>
      <w:r>
        <w:t xml:space="preserve">In 2023–24 the agency reported significant non-compliance in relation to debiting and crediting of the special account where overpayments were funded by and subsequently repaid to a third party before being repaid by a child support customer. The agency continues to work with the DSS to resolve this issue. </w:t>
      </w:r>
    </w:p>
    <w:p w14:paraId="215CCCF4" w14:textId="77777777" w:rsidR="003D572C" w:rsidRDefault="003D572C" w:rsidP="003D572C">
      <w:pPr>
        <w:pStyle w:val="BodyText"/>
        <w:rPr>
          <w:spacing w:val="-2"/>
        </w:rPr>
      </w:pPr>
      <w:r>
        <w:rPr>
          <w:spacing w:val="-2"/>
        </w:rPr>
        <w:lastRenderedPageBreak/>
        <w:t xml:space="preserve">The agency also reported significant non-compliance relating to Medicare Compensation </w:t>
      </w:r>
      <w:r>
        <w:t>Recovery cases being closed with a nil notice of charge, where a potential debt to the Commonwealth still exists at law. In 2024–25 the agency has improved recovery practices, achieving a significant increase in claims processed and continues to work with the DHDA to consider legislative amendments and system changes.</w:t>
      </w:r>
    </w:p>
    <w:p w14:paraId="002F7E18" w14:textId="77777777" w:rsidR="003D572C" w:rsidRDefault="003D572C" w:rsidP="003D572C">
      <w:pPr>
        <w:pStyle w:val="Heading2"/>
      </w:pPr>
      <w:r>
        <w:t>Asset management</w:t>
      </w:r>
    </w:p>
    <w:p w14:paraId="3904FCD7" w14:textId="77777777" w:rsidR="003D572C" w:rsidRDefault="003D572C" w:rsidP="003D572C">
      <w:pPr>
        <w:pStyle w:val="BodyText"/>
        <w:rPr>
          <w:spacing w:val="-2"/>
        </w:rPr>
      </w:pPr>
      <w:r>
        <w:rPr>
          <w:spacing w:val="-2"/>
        </w:rPr>
        <w:t xml:space="preserve">The agency manages its assets according to relevant accounting standards and DoF requirements. This is complemented by policies and procedures covering whole-of-life asset management. Our asset base comprises of software, data centre and ICT equipment, leasehold improvements, and right-of-use assets associated with accounting standard AASB 16, relating mainly to property leases. </w:t>
      </w:r>
    </w:p>
    <w:p w14:paraId="0F649EB3" w14:textId="77777777" w:rsidR="003D572C" w:rsidRDefault="003D572C" w:rsidP="003D572C">
      <w:pPr>
        <w:pStyle w:val="BodyText"/>
        <w:rPr>
          <w:spacing w:val="-2"/>
        </w:rPr>
      </w:pPr>
      <w:r>
        <w:rPr>
          <w:spacing w:val="-2"/>
        </w:rPr>
        <w:t xml:space="preserve">We manage investment in the agency’s property portfolio through our property facilities maintenance and upgrade capital plan to ensure our workplaces, service centres and customer engagement areas are maintained at a suitable standard. </w:t>
      </w:r>
    </w:p>
    <w:p w14:paraId="2228EBAE" w14:textId="77777777" w:rsidR="003D572C" w:rsidRDefault="003D572C" w:rsidP="003D572C">
      <w:pPr>
        <w:pStyle w:val="BodyText"/>
      </w:pPr>
      <w:r>
        <w:rPr>
          <w:spacing w:val="-2"/>
        </w:rPr>
        <w:t>We manage investment in ICT software and hardware according to our ICT technology plan and roadmap, which ensures our ICT is sustained and capable of delivering for the agency and our customer.</w:t>
      </w:r>
      <w:r>
        <w:t xml:space="preserve"> </w:t>
      </w:r>
    </w:p>
    <w:p w14:paraId="1AC9EE5D" w14:textId="77777777" w:rsidR="003D572C" w:rsidRDefault="003D572C" w:rsidP="003D572C">
      <w:pPr>
        <w:pStyle w:val="Heading1"/>
      </w:pPr>
      <w:bookmarkStart w:id="60" w:name="_Toc210815439"/>
      <w:r>
        <w:t>9.2 Independent auditor’s report</w:t>
      </w:r>
      <w:bookmarkEnd w:id="60"/>
    </w:p>
    <w:p w14:paraId="4FCA2FE3" w14:textId="77777777" w:rsidR="003D572C" w:rsidRDefault="003D572C" w:rsidP="003D572C">
      <w:pPr>
        <w:pStyle w:val="Heading1"/>
      </w:pPr>
      <w:bookmarkStart w:id="61" w:name="_Toc210815440"/>
      <w:r>
        <w:t>9.3 Financial statements</w:t>
      </w:r>
      <w:bookmarkEnd w:id="61"/>
    </w:p>
    <w:p w14:paraId="1A9C09F5" w14:textId="77777777" w:rsidR="003D572C" w:rsidRDefault="003D572C" w:rsidP="003D572C">
      <w:pPr>
        <w:pStyle w:val="Heading2"/>
      </w:pPr>
      <w:r>
        <w:t>Entity resource statement and expenses by outcome</w:t>
      </w:r>
    </w:p>
    <w:p w14:paraId="6F36C475" w14:textId="77777777" w:rsidR="003D572C" w:rsidRDefault="003D572C" w:rsidP="003D572C">
      <w:pPr>
        <w:pStyle w:val="Heading3"/>
      </w:pPr>
      <w:r>
        <w:t>Resource statement</w:t>
      </w:r>
    </w:p>
    <w:p w14:paraId="231BAF25" w14:textId="77777777" w:rsidR="003D572C" w:rsidRDefault="003D572C" w:rsidP="003D572C">
      <w:pPr>
        <w:pStyle w:val="BodyText"/>
      </w:pPr>
      <w:r>
        <w:t xml:space="preserve">Table 49 is the agency’s resource statement providing information about the funding sources available to the agency for its operations and for delivering programs and services on behalf of the government. </w:t>
      </w:r>
    </w:p>
    <w:p w14:paraId="781AF4FB" w14:textId="54682407" w:rsidR="003D572C" w:rsidRPr="00287DB3" w:rsidRDefault="00287DB3" w:rsidP="00287DB3">
      <w:pPr>
        <w:pStyle w:val="BodyText"/>
        <w:rPr>
          <w:b/>
          <w:bCs/>
        </w:rPr>
      </w:pPr>
      <w:r w:rsidRPr="00287DB3">
        <w:rPr>
          <w:b/>
          <w:bCs/>
        </w:rPr>
        <w:t>Table 49:</w:t>
      </w:r>
      <w:r w:rsidR="003D572C" w:rsidRPr="00287DB3">
        <w:rPr>
          <w:b/>
          <w:bCs/>
        </w:rPr>
        <w:t xml:space="preserve"> Agency resource statement 2024–25</w:t>
      </w:r>
    </w:p>
    <w:tbl>
      <w:tblPr>
        <w:tblStyle w:val="TableGrid"/>
        <w:tblW w:w="5000" w:type="pct"/>
        <w:tblLook w:val="04A0" w:firstRow="1" w:lastRow="0" w:firstColumn="1" w:lastColumn="0" w:noHBand="0" w:noVBand="1"/>
        <w:tblCaption w:val="Agency resource statement 2024–25"/>
      </w:tblPr>
      <w:tblGrid>
        <w:gridCol w:w="4997"/>
        <w:gridCol w:w="2033"/>
        <w:gridCol w:w="2033"/>
        <w:gridCol w:w="2033"/>
      </w:tblGrid>
      <w:tr w:rsidR="003D572C" w:rsidRPr="00BC283A" w14:paraId="7A9DD02E" w14:textId="77777777" w:rsidTr="00BC283A">
        <w:trPr>
          <w:trHeight w:val="396"/>
          <w:tblHeader/>
        </w:trPr>
        <w:tc>
          <w:tcPr>
            <w:tcW w:w="2252" w:type="pct"/>
          </w:tcPr>
          <w:p w14:paraId="3D353985" w14:textId="77777777" w:rsidR="003D572C" w:rsidRPr="00BC283A" w:rsidRDefault="003D572C" w:rsidP="00BC283A">
            <w:pPr>
              <w:pStyle w:val="BodyText"/>
            </w:pPr>
          </w:p>
        </w:tc>
        <w:tc>
          <w:tcPr>
            <w:tcW w:w="916" w:type="pct"/>
          </w:tcPr>
          <w:p w14:paraId="3DEC725E" w14:textId="77777777" w:rsidR="003D572C" w:rsidRPr="00BC283A" w:rsidRDefault="003D572C" w:rsidP="00BC283A">
            <w:pPr>
              <w:pStyle w:val="BodyText"/>
            </w:pPr>
            <w:r w:rsidRPr="00BC283A">
              <w:rPr>
                <w:rStyle w:val="Bold"/>
                <w:rFonts w:cs="Arial"/>
                <w:spacing w:val="-2"/>
              </w:rPr>
              <w:t xml:space="preserve">Actual available appropriation </w:t>
            </w:r>
          </w:p>
        </w:tc>
        <w:tc>
          <w:tcPr>
            <w:tcW w:w="916" w:type="pct"/>
          </w:tcPr>
          <w:p w14:paraId="32EC4BD4" w14:textId="77777777" w:rsidR="003D572C" w:rsidRPr="00BC283A" w:rsidRDefault="003D572C" w:rsidP="00BC283A">
            <w:pPr>
              <w:pStyle w:val="BodyText"/>
            </w:pPr>
            <w:r w:rsidRPr="00BC283A">
              <w:rPr>
                <w:rStyle w:val="Bold"/>
                <w:rFonts w:cs="Arial"/>
              </w:rPr>
              <w:t>Payments made</w:t>
            </w:r>
          </w:p>
        </w:tc>
        <w:tc>
          <w:tcPr>
            <w:tcW w:w="916" w:type="pct"/>
          </w:tcPr>
          <w:p w14:paraId="2E25C907" w14:textId="77777777" w:rsidR="003D572C" w:rsidRPr="00BC283A" w:rsidRDefault="003D572C" w:rsidP="00BC283A">
            <w:pPr>
              <w:pStyle w:val="BodyText"/>
            </w:pPr>
            <w:r w:rsidRPr="00BC283A">
              <w:rPr>
                <w:rStyle w:val="Bold"/>
                <w:rFonts w:cs="Arial"/>
              </w:rPr>
              <w:t>Balance remaining</w:t>
            </w:r>
          </w:p>
        </w:tc>
      </w:tr>
      <w:tr w:rsidR="003D572C" w:rsidRPr="00BC283A" w14:paraId="135247E6" w14:textId="77777777" w:rsidTr="00BC283A">
        <w:trPr>
          <w:trHeight w:val="226"/>
          <w:tblHeader/>
        </w:trPr>
        <w:tc>
          <w:tcPr>
            <w:tcW w:w="2252" w:type="pct"/>
          </w:tcPr>
          <w:p w14:paraId="13486F39" w14:textId="77777777" w:rsidR="003D572C" w:rsidRPr="00BC283A" w:rsidRDefault="003D572C" w:rsidP="00BC283A">
            <w:pPr>
              <w:pStyle w:val="BodyText"/>
            </w:pPr>
          </w:p>
        </w:tc>
        <w:tc>
          <w:tcPr>
            <w:tcW w:w="916" w:type="pct"/>
          </w:tcPr>
          <w:p w14:paraId="5CDF9095" w14:textId="77777777" w:rsidR="003D572C" w:rsidRPr="00BC283A" w:rsidRDefault="003D572C" w:rsidP="00BC283A">
            <w:pPr>
              <w:pStyle w:val="BodyText"/>
            </w:pPr>
            <w:r w:rsidRPr="00BC283A">
              <w:rPr>
                <w:rStyle w:val="Bold"/>
                <w:rFonts w:cs="Arial"/>
              </w:rPr>
              <w:t>(x)</w:t>
            </w:r>
          </w:p>
        </w:tc>
        <w:tc>
          <w:tcPr>
            <w:tcW w:w="916" w:type="pct"/>
          </w:tcPr>
          <w:p w14:paraId="07BA8AC9" w14:textId="77777777" w:rsidR="003D572C" w:rsidRPr="00BC283A" w:rsidRDefault="003D572C" w:rsidP="00BC283A">
            <w:pPr>
              <w:pStyle w:val="BodyText"/>
            </w:pPr>
            <w:r w:rsidRPr="00BC283A">
              <w:rPr>
                <w:rStyle w:val="Bold"/>
                <w:rFonts w:cs="Arial"/>
              </w:rPr>
              <w:t>(y)</w:t>
            </w:r>
          </w:p>
        </w:tc>
        <w:tc>
          <w:tcPr>
            <w:tcW w:w="916" w:type="pct"/>
          </w:tcPr>
          <w:p w14:paraId="1A6AEEA7" w14:textId="77777777" w:rsidR="003D572C" w:rsidRPr="00BC283A" w:rsidRDefault="003D572C" w:rsidP="00BC283A">
            <w:pPr>
              <w:pStyle w:val="BodyText"/>
            </w:pPr>
            <w:r w:rsidRPr="00BC283A">
              <w:rPr>
                <w:rStyle w:val="Bold"/>
                <w:rFonts w:cs="Arial"/>
              </w:rPr>
              <w:t>(x)–(y)</w:t>
            </w:r>
          </w:p>
        </w:tc>
      </w:tr>
      <w:tr w:rsidR="003D572C" w:rsidRPr="00BC283A" w14:paraId="60948C99" w14:textId="77777777" w:rsidTr="00BC283A">
        <w:trPr>
          <w:trHeight w:val="396"/>
          <w:tblHeader/>
        </w:trPr>
        <w:tc>
          <w:tcPr>
            <w:tcW w:w="2252" w:type="pct"/>
          </w:tcPr>
          <w:p w14:paraId="569D041E" w14:textId="77777777" w:rsidR="003D572C" w:rsidRPr="00BC283A" w:rsidRDefault="003D572C" w:rsidP="00BC283A">
            <w:pPr>
              <w:pStyle w:val="BodyText"/>
            </w:pPr>
          </w:p>
        </w:tc>
        <w:tc>
          <w:tcPr>
            <w:tcW w:w="916" w:type="pct"/>
          </w:tcPr>
          <w:p w14:paraId="60B3CA43" w14:textId="77777777" w:rsidR="003D572C" w:rsidRPr="00BC283A" w:rsidRDefault="003D572C" w:rsidP="00BC283A">
            <w:pPr>
              <w:pStyle w:val="BodyText"/>
            </w:pPr>
            <w:r w:rsidRPr="00BC283A">
              <w:rPr>
                <w:rStyle w:val="Bold"/>
                <w:rFonts w:cs="Arial"/>
              </w:rPr>
              <w:t>$'000</w:t>
            </w:r>
          </w:p>
        </w:tc>
        <w:tc>
          <w:tcPr>
            <w:tcW w:w="916" w:type="pct"/>
          </w:tcPr>
          <w:p w14:paraId="6C636499" w14:textId="77777777" w:rsidR="003D572C" w:rsidRPr="00BC283A" w:rsidRDefault="003D572C" w:rsidP="00BC283A">
            <w:pPr>
              <w:pStyle w:val="BodyText"/>
            </w:pPr>
            <w:r w:rsidRPr="00BC283A">
              <w:rPr>
                <w:rStyle w:val="Bold"/>
                <w:rFonts w:cs="Arial"/>
              </w:rPr>
              <w:t>$'000</w:t>
            </w:r>
          </w:p>
        </w:tc>
        <w:tc>
          <w:tcPr>
            <w:tcW w:w="916" w:type="pct"/>
          </w:tcPr>
          <w:p w14:paraId="3C172FE1" w14:textId="77777777" w:rsidR="003D572C" w:rsidRPr="00BC283A" w:rsidRDefault="003D572C" w:rsidP="00BC283A">
            <w:pPr>
              <w:pStyle w:val="BodyText"/>
            </w:pPr>
            <w:r w:rsidRPr="00BC283A">
              <w:rPr>
                <w:rStyle w:val="Bold"/>
                <w:rFonts w:cs="Arial"/>
              </w:rPr>
              <w:t>$'000</w:t>
            </w:r>
          </w:p>
        </w:tc>
      </w:tr>
      <w:tr w:rsidR="003D572C" w:rsidRPr="00BC283A" w14:paraId="3E72AC11" w14:textId="77777777" w:rsidTr="00BC283A">
        <w:trPr>
          <w:trHeight w:val="396"/>
        </w:trPr>
        <w:tc>
          <w:tcPr>
            <w:tcW w:w="5000" w:type="pct"/>
            <w:gridSpan w:val="4"/>
          </w:tcPr>
          <w:p w14:paraId="3DE2BCD2" w14:textId="77777777" w:rsidR="003D572C" w:rsidRPr="00BC283A" w:rsidRDefault="003D572C" w:rsidP="00BC283A">
            <w:pPr>
              <w:pStyle w:val="BodyText"/>
            </w:pPr>
            <w:r w:rsidRPr="00BC283A">
              <w:rPr>
                <w:rStyle w:val="Bold"/>
                <w:rFonts w:cs="Arial"/>
              </w:rPr>
              <w:t>Departmental</w:t>
            </w:r>
          </w:p>
        </w:tc>
      </w:tr>
      <w:tr w:rsidR="003D572C" w:rsidRPr="00BC283A" w14:paraId="3B590173" w14:textId="77777777" w:rsidTr="00BC283A">
        <w:trPr>
          <w:trHeight w:val="396"/>
        </w:trPr>
        <w:tc>
          <w:tcPr>
            <w:tcW w:w="5000" w:type="pct"/>
            <w:gridSpan w:val="4"/>
          </w:tcPr>
          <w:p w14:paraId="503FD19B" w14:textId="77777777" w:rsidR="003D572C" w:rsidRPr="00BC283A" w:rsidRDefault="003D572C" w:rsidP="00BC283A">
            <w:pPr>
              <w:pStyle w:val="BodyText"/>
            </w:pPr>
            <w:r w:rsidRPr="00BC283A">
              <w:t>Annual appropriations – ordinary annual services</w:t>
            </w:r>
          </w:p>
        </w:tc>
      </w:tr>
      <w:tr w:rsidR="003D572C" w:rsidRPr="00BC283A" w14:paraId="3B06F8D0" w14:textId="77777777" w:rsidTr="00BC283A">
        <w:trPr>
          <w:trHeight w:val="396"/>
        </w:trPr>
        <w:tc>
          <w:tcPr>
            <w:tcW w:w="2252" w:type="pct"/>
          </w:tcPr>
          <w:p w14:paraId="60995FF5" w14:textId="77777777" w:rsidR="003D572C" w:rsidRPr="00BC283A" w:rsidRDefault="003D572C" w:rsidP="00BC283A">
            <w:pPr>
              <w:pStyle w:val="BodyText"/>
            </w:pPr>
            <w:r w:rsidRPr="00BC283A">
              <w:t>Current year</w:t>
            </w:r>
            <w:r w:rsidRPr="00BC283A">
              <w:rPr>
                <w:vertAlign w:val="superscript"/>
              </w:rPr>
              <w:t>(a)</w:t>
            </w:r>
          </w:p>
        </w:tc>
        <w:tc>
          <w:tcPr>
            <w:tcW w:w="916" w:type="pct"/>
          </w:tcPr>
          <w:p w14:paraId="77032945" w14:textId="77777777" w:rsidR="003D572C" w:rsidRPr="00BC283A" w:rsidRDefault="003D572C" w:rsidP="00BC283A">
            <w:pPr>
              <w:pStyle w:val="BodyText"/>
            </w:pPr>
            <w:r w:rsidRPr="00BC283A">
              <w:t>5,612,903</w:t>
            </w:r>
          </w:p>
        </w:tc>
        <w:tc>
          <w:tcPr>
            <w:tcW w:w="916" w:type="pct"/>
          </w:tcPr>
          <w:p w14:paraId="4F533227" w14:textId="77777777" w:rsidR="003D572C" w:rsidRPr="00BC283A" w:rsidRDefault="003D572C" w:rsidP="00BC283A">
            <w:pPr>
              <w:pStyle w:val="BodyText"/>
            </w:pPr>
            <w:r w:rsidRPr="00BC283A">
              <w:t>4,557,332</w:t>
            </w:r>
          </w:p>
        </w:tc>
        <w:tc>
          <w:tcPr>
            <w:tcW w:w="916" w:type="pct"/>
          </w:tcPr>
          <w:p w14:paraId="45B7E632" w14:textId="77777777" w:rsidR="003D572C" w:rsidRPr="00BC283A" w:rsidRDefault="003D572C" w:rsidP="00BC283A">
            <w:pPr>
              <w:pStyle w:val="BodyText"/>
            </w:pPr>
            <w:r w:rsidRPr="00BC283A">
              <w:t>1,055,571</w:t>
            </w:r>
          </w:p>
        </w:tc>
      </w:tr>
      <w:tr w:rsidR="003D572C" w:rsidRPr="00BC283A" w14:paraId="25993973" w14:textId="77777777" w:rsidTr="00BC283A">
        <w:trPr>
          <w:trHeight w:val="396"/>
        </w:trPr>
        <w:tc>
          <w:tcPr>
            <w:tcW w:w="2252" w:type="pct"/>
          </w:tcPr>
          <w:p w14:paraId="15840594" w14:textId="77777777" w:rsidR="003D572C" w:rsidRPr="00BC283A" w:rsidRDefault="003D572C" w:rsidP="00BC283A">
            <w:pPr>
              <w:pStyle w:val="BodyText"/>
            </w:pPr>
            <w:r w:rsidRPr="00BC283A">
              <w:t>Prior year</w:t>
            </w:r>
            <w:r w:rsidRPr="00BC283A">
              <w:rPr>
                <w:vertAlign w:val="superscript"/>
              </w:rPr>
              <w:t>(b)</w:t>
            </w:r>
          </w:p>
        </w:tc>
        <w:tc>
          <w:tcPr>
            <w:tcW w:w="916" w:type="pct"/>
          </w:tcPr>
          <w:p w14:paraId="04D6B338" w14:textId="77777777" w:rsidR="003D572C" w:rsidRPr="00BC283A" w:rsidRDefault="003D572C" w:rsidP="00BC283A">
            <w:pPr>
              <w:pStyle w:val="BodyText"/>
            </w:pPr>
            <w:r w:rsidRPr="00BC283A">
              <w:t>1,055,571</w:t>
            </w:r>
          </w:p>
        </w:tc>
        <w:tc>
          <w:tcPr>
            <w:tcW w:w="916" w:type="pct"/>
          </w:tcPr>
          <w:p w14:paraId="3BA62484" w14:textId="77777777" w:rsidR="003D572C" w:rsidRPr="00BC283A" w:rsidRDefault="003D572C" w:rsidP="00BC283A">
            <w:pPr>
              <w:pStyle w:val="BodyText"/>
            </w:pPr>
            <w:r w:rsidRPr="00BC283A">
              <w:t>1,055,571</w:t>
            </w:r>
          </w:p>
        </w:tc>
        <w:tc>
          <w:tcPr>
            <w:tcW w:w="916" w:type="pct"/>
          </w:tcPr>
          <w:p w14:paraId="6FD3A621" w14:textId="77777777" w:rsidR="003D572C" w:rsidRPr="00BC283A" w:rsidRDefault="003D572C" w:rsidP="00BC283A">
            <w:pPr>
              <w:pStyle w:val="BodyText"/>
            </w:pPr>
            <w:r w:rsidRPr="00BC283A">
              <w:t>–</w:t>
            </w:r>
          </w:p>
        </w:tc>
      </w:tr>
      <w:tr w:rsidR="003D572C" w:rsidRPr="00BC283A" w14:paraId="145CC60F" w14:textId="77777777" w:rsidTr="00BC283A">
        <w:trPr>
          <w:trHeight w:val="396"/>
        </w:trPr>
        <w:tc>
          <w:tcPr>
            <w:tcW w:w="5000" w:type="pct"/>
            <w:gridSpan w:val="4"/>
          </w:tcPr>
          <w:p w14:paraId="023DB531" w14:textId="77777777" w:rsidR="003D572C" w:rsidRPr="00BC283A" w:rsidRDefault="003D572C" w:rsidP="00BC283A">
            <w:pPr>
              <w:pStyle w:val="BodyText"/>
            </w:pPr>
            <w:r w:rsidRPr="00BC283A">
              <w:t>Annual appropriations – capital budget</w:t>
            </w:r>
            <w:r w:rsidRPr="00BC283A">
              <w:rPr>
                <w:vertAlign w:val="superscript"/>
              </w:rPr>
              <w:t>(c)</w:t>
            </w:r>
          </w:p>
        </w:tc>
      </w:tr>
      <w:tr w:rsidR="003D572C" w:rsidRPr="00BC283A" w14:paraId="37E7B3C0" w14:textId="77777777" w:rsidTr="00BC283A">
        <w:trPr>
          <w:trHeight w:val="396"/>
        </w:trPr>
        <w:tc>
          <w:tcPr>
            <w:tcW w:w="2252" w:type="pct"/>
          </w:tcPr>
          <w:p w14:paraId="4626FC33" w14:textId="77777777" w:rsidR="003D572C" w:rsidRPr="00BC283A" w:rsidRDefault="003D572C" w:rsidP="00BC283A">
            <w:pPr>
              <w:pStyle w:val="BodyText"/>
            </w:pPr>
            <w:r w:rsidRPr="00BC283A">
              <w:lastRenderedPageBreak/>
              <w:t>Current year</w:t>
            </w:r>
            <w:r w:rsidRPr="00BC283A">
              <w:rPr>
                <w:vertAlign w:val="superscript"/>
              </w:rPr>
              <w:t>(d)</w:t>
            </w:r>
          </w:p>
        </w:tc>
        <w:tc>
          <w:tcPr>
            <w:tcW w:w="916" w:type="pct"/>
          </w:tcPr>
          <w:p w14:paraId="60A61DB2" w14:textId="77777777" w:rsidR="003D572C" w:rsidRPr="00BC283A" w:rsidRDefault="003D572C" w:rsidP="00BC283A">
            <w:pPr>
              <w:pStyle w:val="BodyText"/>
            </w:pPr>
            <w:r w:rsidRPr="00BC283A">
              <w:t>159,277</w:t>
            </w:r>
          </w:p>
        </w:tc>
        <w:tc>
          <w:tcPr>
            <w:tcW w:w="916" w:type="pct"/>
          </w:tcPr>
          <w:p w14:paraId="5FCE2874" w14:textId="77777777" w:rsidR="003D572C" w:rsidRPr="00BC283A" w:rsidRDefault="003D572C" w:rsidP="00BC283A">
            <w:pPr>
              <w:pStyle w:val="BodyText"/>
            </w:pPr>
            <w:r w:rsidRPr="00BC283A">
              <w:t>159,277</w:t>
            </w:r>
          </w:p>
        </w:tc>
        <w:tc>
          <w:tcPr>
            <w:tcW w:w="916" w:type="pct"/>
          </w:tcPr>
          <w:p w14:paraId="02F2CE79" w14:textId="77777777" w:rsidR="003D572C" w:rsidRPr="00BC283A" w:rsidRDefault="003D572C" w:rsidP="00BC283A">
            <w:pPr>
              <w:pStyle w:val="BodyText"/>
            </w:pPr>
            <w:r w:rsidRPr="00BC283A">
              <w:t>–</w:t>
            </w:r>
          </w:p>
        </w:tc>
      </w:tr>
      <w:tr w:rsidR="003D572C" w:rsidRPr="00BC283A" w14:paraId="4E085FA1" w14:textId="77777777" w:rsidTr="00BC283A">
        <w:trPr>
          <w:trHeight w:val="396"/>
        </w:trPr>
        <w:tc>
          <w:tcPr>
            <w:tcW w:w="2252" w:type="pct"/>
          </w:tcPr>
          <w:p w14:paraId="4EE7A4A5" w14:textId="77777777" w:rsidR="003D572C" w:rsidRPr="00BC283A" w:rsidRDefault="003D572C" w:rsidP="00BC283A">
            <w:pPr>
              <w:pStyle w:val="BodyText"/>
            </w:pPr>
            <w:r w:rsidRPr="00BC283A">
              <w:t>Prior year</w:t>
            </w:r>
          </w:p>
        </w:tc>
        <w:tc>
          <w:tcPr>
            <w:tcW w:w="916" w:type="pct"/>
          </w:tcPr>
          <w:p w14:paraId="27A41AE5" w14:textId="77777777" w:rsidR="003D572C" w:rsidRPr="00BC283A" w:rsidRDefault="003D572C" w:rsidP="00BC283A">
            <w:pPr>
              <w:pStyle w:val="BodyText"/>
            </w:pPr>
            <w:r w:rsidRPr="00BC283A">
              <w:t>–</w:t>
            </w:r>
          </w:p>
        </w:tc>
        <w:tc>
          <w:tcPr>
            <w:tcW w:w="916" w:type="pct"/>
          </w:tcPr>
          <w:p w14:paraId="5DA88B92" w14:textId="77777777" w:rsidR="003D572C" w:rsidRPr="00BC283A" w:rsidRDefault="003D572C" w:rsidP="00BC283A">
            <w:pPr>
              <w:pStyle w:val="BodyText"/>
            </w:pPr>
            <w:r w:rsidRPr="00BC283A">
              <w:t>–</w:t>
            </w:r>
          </w:p>
        </w:tc>
        <w:tc>
          <w:tcPr>
            <w:tcW w:w="916" w:type="pct"/>
          </w:tcPr>
          <w:p w14:paraId="25FF4BB7" w14:textId="77777777" w:rsidR="003D572C" w:rsidRPr="00BC283A" w:rsidRDefault="003D572C" w:rsidP="00BC283A">
            <w:pPr>
              <w:pStyle w:val="BodyText"/>
            </w:pPr>
            <w:r w:rsidRPr="00BC283A">
              <w:t>–</w:t>
            </w:r>
          </w:p>
        </w:tc>
      </w:tr>
      <w:tr w:rsidR="003D572C" w:rsidRPr="00BC283A" w14:paraId="0BF623FC" w14:textId="77777777" w:rsidTr="00BC283A">
        <w:trPr>
          <w:trHeight w:val="396"/>
        </w:trPr>
        <w:tc>
          <w:tcPr>
            <w:tcW w:w="2252" w:type="pct"/>
          </w:tcPr>
          <w:p w14:paraId="32498D83" w14:textId="77777777" w:rsidR="003D572C" w:rsidRPr="00BC283A" w:rsidRDefault="003D572C" w:rsidP="00BC283A">
            <w:pPr>
              <w:pStyle w:val="BodyText"/>
            </w:pPr>
            <w:r w:rsidRPr="00BC283A">
              <w:rPr>
                <w:rStyle w:val="Bold"/>
                <w:rFonts w:cs="Arial"/>
              </w:rPr>
              <w:t>Total annual appropriations – ordinary annual services</w:t>
            </w:r>
          </w:p>
        </w:tc>
        <w:tc>
          <w:tcPr>
            <w:tcW w:w="916" w:type="pct"/>
          </w:tcPr>
          <w:p w14:paraId="4AC6B541" w14:textId="77777777" w:rsidR="003D572C" w:rsidRPr="00BC283A" w:rsidRDefault="003D572C" w:rsidP="00BC283A">
            <w:pPr>
              <w:pStyle w:val="BodyText"/>
            </w:pPr>
            <w:r w:rsidRPr="00BC283A">
              <w:rPr>
                <w:rStyle w:val="Bold"/>
                <w:rFonts w:cs="Arial"/>
              </w:rPr>
              <w:t>6,827,751</w:t>
            </w:r>
          </w:p>
        </w:tc>
        <w:tc>
          <w:tcPr>
            <w:tcW w:w="916" w:type="pct"/>
          </w:tcPr>
          <w:p w14:paraId="44245036" w14:textId="77777777" w:rsidR="003D572C" w:rsidRPr="00BC283A" w:rsidRDefault="003D572C" w:rsidP="00BC283A">
            <w:pPr>
              <w:pStyle w:val="BodyText"/>
            </w:pPr>
            <w:r w:rsidRPr="00BC283A">
              <w:rPr>
                <w:rStyle w:val="Bold"/>
                <w:rFonts w:cs="Arial"/>
              </w:rPr>
              <w:t>5,772,180</w:t>
            </w:r>
          </w:p>
        </w:tc>
        <w:tc>
          <w:tcPr>
            <w:tcW w:w="916" w:type="pct"/>
          </w:tcPr>
          <w:p w14:paraId="4025FA0A" w14:textId="77777777" w:rsidR="003D572C" w:rsidRPr="00BC283A" w:rsidRDefault="003D572C" w:rsidP="00BC283A">
            <w:pPr>
              <w:pStyle w:val="BodyText"/>
            </w:pPr>
            <w:r w:rsidRPr="00BC283A">
              <w:rPr>
                <w:rStyle w:val="Bold"/>
                <w:rFonts w:cs="Arial"/>
              </w:rPr>
              <w:t>1,055,571</w:t>
            </w:r>
          </w:p>
        </w:tc>
      </w:tr>
      <w:tr w:rsidR="003D572C" w:rsidRPr="00BC283A" w14:paraId="30FAA6D0" w14:textId="77777777" w:rsidTr="00BC283A">
        <w:trPr>
          <w:trHeight w:val="396"/>
        </w:trPr>
        <w:tc>
          <w:tcPr>
            <w:tcW w:w="5000" w:type="pct"/>
            <w:gridSpan w:val="4"/>
          </w:tcPr>
          <w:p w14:paraId="7CCF1F8F" w14:textId="77777777" w:rsidR="003D572C" w:rsidRPr="00BC283A" w:rsidRDefault="003D572C" w:rsidP="00BC283A">
            <w:pPr>
              <w:pStyle w:val="BodyText"/>
            </w:pPr>
            <w:r w:rsidRPr="00BC283A">
              <w:t>Annual appropriations – other services – non-operating</w:t>
            </w:r>
          </w:p>
        </w:tc>
      </w:tr>
      <w:tr w:rsidR="003D572C" w:rsidRPr="00BC283A" w14:paraId="1E8D6065" w14:textId="77777777" w:rsidTr="00BC283A">
        <w:trPr>
          <w:trHeight w:val="396"/>
        </w:trPr>
        <w:tc>
          <w:tcPr>
            <w:tcW w:w="2252" w:type="pct"/>
          </w:tcPr>
          <w:p w14:paraId="1ADE48C4" w14:textId="77777777" w:rsidR="003D572C" w:rsidRPr="00BC283A" w:rsidRDefault="003D572C" w:rsidP="00BC283A">
            <w:pPr>
              <w:pStyle w:val="BodyText"/>
            </w:pPr>
            <w:r w:rsidRPr="00BC283A">
              <w:t>Current year</w:t>
            </w:r>
            <w:r w:rsidRPr="00BC283A">
              <w:rPr>
                <w:vertAlign w:val="superscript"/>
              </w:rPr>
              <w:t>(e)</w:t>
            </w:r>
          </w:p>
        </w:tc>
        <w:tc>
          <w:tcPr>
            <w:tcW w:w="916" w:type="pct"/>
          </w:tcPr>
          <w:p w14:paraId="5C9A3A74" w14:textId="77777777" w:rsidR="003D572C" w:rsidRPr="00BC283A" w:rsidRDefault="003D572C" w:rsidP="00BC283A">
            <w:pPr>
              <w:pStyle w:val="BodyText"/>
            </w:pPr>
            <w:r w:rsidRPr="00BC283A">
              <w:t>231,056</w:t>
            </w:r>
          </w:p>
        </w:tc>
        <w:tc>
          <w:tcPr>
            <w:tcW w:w="916" w:type="pct"/>
          </w:tcPr>
          <w:p w14:paraId="23C15746" w14:textId="77777777" w:rsidR="003D572C" w:rsidRPr="00BC283A" w:rsidRDefault="003D572C" w:rsidP="00BC283A">
            <w:pPr>
              <w:pStyle w:val="BodyText"/>
            </w:pPr>
            <w:r w:rsidRPr="00BC283A">
              <w:t>231,056</w:t>
            </w:r>
          </w:p>
        </w:tc>
        <w:tc>
          <w:tcPr>
            <w:tcW w:w="916" w:type="pct"/>
          </w:tcPr>
          <w:p w14:paraId="4B3DD7D2" w14:textId="77777777" w:rsidR="003D572C" w:rsidRPr="00BC283A" w:rsidRDefault="003D572C" w:rsidP="00BC283A">
            <w:pPr>
              <w:pStyle w:val="BodyText"/>
            </w:pPr>
            <w:r w:rsidRPr="00BC283A">
              <w:t>–</w:t>
            </w:r>
          </w:p>
        </w:tc>
      </w:tr>
      <w:tr w:rsidR="003D572C" w:rsidRPr="00BC283A" w14:paraId="7BF3CA75" w14:textId="77777777" w:rsidTr="00BC283A">
        <w:trPr>
          <w:trHeight w:val="396"/>
        </w:trPr>
        <w:tc>
          <w:tcPr>
            <w:tcW w:w="2252" w:type="pct"/>
          </w:tcPr>
          <w:p w14:paraId="30B7B2A6" w14:textId="77777777" w:rsidR="003D572C" w:rsidRPr="00BC283A" w:rsidRDefault="003D572C" w:rsidP="00BC283A">
            <w:pPr>
              <w:pStyle w:val="BodyText"/>
            </w:pPr>
            <w:r w:rsidRPr="00BC283A">
              <w:t>Prior year</w:t>
            </w:r>
            <w:r w:rsidRPr="00BC283A">
              <w:rPr>
                <w:vertAlign w:val="superscript"/>
              </w:rPr>
              <w:t>(f)</w:t>
            </w:r>
          </w:p>
        </w:tc>
        <w:tc>
          <w:tcPr>
            <w:tcW w:w="916" w:type="pct"/>
          </w:tcPr>
          <w:p w14:paraId="124D4760" w14:textId="77777777" w:rsidR="003D572C" w:rsidRPr="00BC283A" w:rsidRDefault="003D572C" w:rsidP="00BC283A">
            <w:pPr>
              <w:pStyle w:val="BodyText"/>
            </w:pPr>
            <w:r w:rsidRPr="00BC283A">
              <w:t>–</w:t>
            </w:r>
          </w:p>
        </w:tc>
        <w:tc>
          <w:tcPr>
            <w:tcW w:w="916" w:type="pct"/>
          </w:tcPr>
          <w:p w14:paraId="39B7E2C6" w14:textId="77777777" w:rsidR="003D572C" w:rsidRPr="00BC283A" w:rsidRDefault="003D572C" w:rsidP="00BC283A">
            <w:pPr>
              <w:pStyle w:val="BodyText"/>
            </w:pPr>
            <w:r w:rsidRPr="00BC283A">
              <w:t>–</w:t>
            </w:r>
          </w:p>
        </w:tc>
        <w:tc>
          <w:tcPr>
            <w:tcW w:w="916" w:type="pct"/>
          </w:tcPr>
          <w:p w14:paraId="5E83A8E9" w14:textId="77777777" w:rsidR="003D572C" w:rsidRPr="00BC283A" w:rsidRDefault="003D572C" w:rsidP="00BC283A">
            <w:pPr>
              <w:pStyle w:val="BodyText"/>
            </w:pPr>
            <w:r w:rsidRPr="00BC283A">
              <w:t>–</w:t>
            </w:r>
          </w:p>
        </w:tc>
      </w:tr>
      <w:tr w:rsidR="003D572C" w:rsidRPr="00BC283A" w14:paraId="0106A100" w14:textId="77777777" w:rsidTr="00BC283A">
        <w:trPr>
          <w:trHeight w:val="396"/>
        </w:trPr>
        <w:tc>
          <w:tcPr>
            <w:tcW w:w="2252" w:type="pct"/>
          </w:tcPr>
          <w:p w14:paraId="52AAE636" w14:textId="77777777" w:rsidR="003D572C" w:rsidRPr="00BC283A" w:rsidRDefault="003D572C" w:rsidP="00BC283A">
            <w:pPr>
              <w:pStyle w:val="BodyText"/>
            </w:pPr>
            <w:r w:rsidRPr="00BC283A">
              <w:rPr>
                <w:rStyle w:val="Bold"/>
                <w:rFonts w:cs="Arial"/>
              </w:rPr>
              <w:t>Total departmental resourcing</w:t>
            </w:r>
            <w:r w:rsidRPr="00BC283A">
              <w:rPr>
                <w:rStyle w:val="Bold"/>
                <w:rFonts w:cs="Arial"/>
                <w:vertAlign w:val="superscript"/>
              </w:rPr>
              <w:t>(g)</w:t>
            </w:r>
          </w:p>
        </w:tc>
        <w:tc>
          <w:tcPr>
            <w:tcW w:w="916" w:type="pct"/>
          </w:tcPr>
          <w:p w14:paraId="014E7B44" w14:textId="77777777" w:rsidR="003D572C" w:rsidRPr="00BC283A" w:rsidRDefault="003D572C" w:rsidP="00BC283A">
            <w:pPr>
              <w:pStyle w:val="BodyText"/>
            </w:pPr>
            <w:r w:rsidRPr="00BC283A">
              <w:rPr>
                <w:rStyle w:val="Bold"/>
                <w:rFonts w:cs="Arial"/>
              </w:rPr>
              <w:t>7,058,807</w:t>
            </w:r>
          </w:p>
        </w:tc>
        <w:tc>
          <w:tcPr>
            <w:tcW w:w="916" w:type="pct"/>
          </w:tcPr>
          <w:p w14:paraId="3ADB846B" w14:textId="77777777" w:rsidR="003D572C" w:rsidRPr="00BC283A" w:rsidRDefault="003D572C" w:rsidP="00BC283A">
            <w:pPr>
              <w:pStyle w:val="BodyText"/>
            </w:pPr>
            <w:r w:rsidRPr="00BC283A">
              <w:rPr>
                <w:rStyle w:val="Bold"/>
                <w:rFonts w:cs="Arial"/>
              </w:rPr>
              <w:t>6,003,236</w:t>
            </w:r>
          </w:p>
        </w:tc>
        <w:tc>
          <w:tcPr>
            <w:tcW w:w="916" w:type="pct"/>
          </w:tcPr>
          <w:p w14:paraId="1273D6DD" w14:textId="77777777" w:rsidR="003D572C" w:rsidRPr="00BC283A" w:rsidRDefault="003D572C" w:rsidP="00BC283A">
            <w:pPr>
              <w:pStyle w:val="BodyText"/>
            </w:pPr>
            <w:r w:rsidRPr="00BC283A">
              <w:rPr>
                <w:rStyle w:val="Bold"/>
                <w:rFonts w:cs="Arial"/>
              </w:rPr>
              <w:t>1,055,571</w:t>
            </w:r>
          </w:p>
        </w:tc>
      </w:tr>
      <w:tr w:rsidR="003D572C" w:rsidRPr="00BC283A" w14:paraId="20DE86D6" w14:textId="77777777" w:rsidTr="00BC283A">
        <w:trPr>
          <w:trHeight w:val="396"/>
        </w:trPr>
        <w:tc>
          <w:tcPr>
            <w:tcW w:w="5000" w:type="pct"/>
            <w:gridSpan w:val="4"/>
          </w:tcPr>
          <w:p w14:paraId="765B1FC4" w14:textId="77777777" w:rsidR="003D572C" w:rsidRPr="00BC283A" w:rsidRDefault="003D572C" w:rsidP="00BC283A">
            <w:pPr>
              <w:pStyle w:val="BodyText"/>
            </w:pPr>
            <w:r w:rsidRPr="00BC283A">
              <w:rPr>
                <w:rStyle w:val="Bold"/>
                <w:rFonts w:cs="Arial"/>
              </w:rPr>
              <w:t>Administered</w:t>
            </w:r>
          </w:p>
        </w:tc>
      </w:tr>
      <w:tr w:rsidR="003D572C" w:rsidRPr="00BC283A" w14:paraId="32A62CB9" w14:textId="77777777" w:rsidTr="00BC283A">
        <w:trPr>
          <w:trHeight w:val="396"/>
        </w:trPr>
        <w:tc>
          <w:tcPr>
            <w:tcW w:w="5000" w:type="pct"/>
            <w:gridSpan w:val="4"/>
          </w:tcPr>
          <w:p w14:paraId="13E77CA9" w14:textId="77777777" w:rsidR="003D572C" w:rsidRPr="00BC283A" w:rsidRDefault="003D572C" w:rsidP="00BC283A">
            <w:pPr>
              <w:pStyle w:val="BodyText"/>
            </w:pPr>
            <w:r w:rsidRPr="00BC283A">
              <w:t>Annual appropriations – ordinary annual services</w:t>
            </w:r>
          </w:p>
        </w:tc>
      </w:tr>
      <w:tr w:rsidR="003D572C" w:rsidRPr="00BC283A" w14:paraId="3B595C2D" w14:textId="77777777" w:rsidTr="00BC283A">
        <w:trPr>
          <w:trHeight w:val="396"/>
        </w:trPr>
        <w:tc>
          <w:tcPr>
            <w:tcW w:w="2252" w:type="pct"/>
          </w:tcPr>
          <w:p w14:paraId="2C0E7A11" w14:textId="77777777" w:rsidR="003D572C" w:rsidRPr="00BC283A" w:rsidRDefault="003D572C" w:rsidP="00BC283A">
            <w:pPr>
              <w:pStyle w:val="BodyText"/>
            </w:pPr>
            <w:r w:rsidRPr="00BC283A">
              <w:t>Current year</w:t>
            </w:r>
            <w:r w:rsidRPr="00BC283A">
              <w:rPr>
                <w:vertAlign w:val="superscript"/>
              </w:rPr>
              <w:t>(a)</w:t>
            </w:r>
          </w:p>
        </w:tc>
        <w:tc>
          <w:tcPr>
            <w:tcW w:w="916" w:type="pct"/>
          </w:tcPr>
          <w:p w14:paraId="426DB53E" w14:textId="77777777" w:rsidR="003D572C" w:rsidRPr="00BC283A" w:rsidRDefault="003D572C" w:rsidP="00BC283A">
            <w:pPr>
              <w:pStyle w:val="BodyText"/>
            </w:pPr>
            <w:r w:rsidRPr="00BC283A">
              <w:t>2,026</w:t>
            </w:r>
          </w:p>
        </w:tc>
        <w:tc>
          <w:tcPr>
            <w:tcW w:w="916" w:type="pct"/>
          </w:tcPr>
          <w:p w14:paraId="05CEE7EA" w14:textId="77777777" w:rsidR="003D572C" w:rsidRPr="00BC283A" w:rsidRDefault="003D572C" w:rsidP="00BC283A">
            <w:pPr>
              <w:pStyle w:val="BodyText"/>
            </w:pPr>
            <w:r w:rsidRPr="00BC283A">
              <w:t>948</w:t>
            </w:r>
          </w:p>
        </w:tc>
        <w:tc>
          <w:tcPr>
            <w:tcW w:w="916" w:type="pct"/>
          </w:tcPr>
          <w:p w14:paraId="6DA3AE0F" w14:textId="77777777" w:rsidR="003D572C" w:rsidRPr="00BC283A" w:rsidRDefault="003D572C" w:rsidP="00BC283A">
            <w:pPr>
              <w:pStyle w:val="BodyText"/>
            </w:pPr>
            <w:r w:rsidRPr="00BC283A">
              <w:t>1,078</w:t>
            </w:r>
          </w:p>
        </w:tc>
      </w:tr>
      <w:tr w:rsidR="003D572C" w:rsidRPr="00BC283A" w14:paraId="1B735393" w14:textId="77777777" w:rsidTr="00BC283A">
        <w:trPr>
          <w:trHeight w:val="396"/>
        </w:trPr>
        <w:tc>
          <w:tcPr>
            <w:tcW w:w="2252" w:type="pct"/>
          </w:tcPr>
          <w:p w14:paraId="6E320562" w14:textId="77777777" w:rsidR="003D572C" w:rsidRPr="00BC283A" w:rsidRDefault="003D572C" w:rsidP="00BC283A">
            <w:pPr>
              <w:pStyle w:val="BodyText"/>
            </w:pPr>
            <w:r w:rsidRPr="00BC283A">
              <w:t>Prior year</w:t>
            </w:r>
            <w:r w:rsidRPr="00BC283A">
              <w:rPr>
                <w:vertAlign w:val="superscript"/>
              </w:rPr>
              <w:t>(b)</w:t>
            </w:r>
          </w:p>
        </w:tc>
        <w:tc>
          <w:tcPr>
            <w:tcW w:w="916" w:type="pct"/>
          </w:tcPr>
          <w:p w14:paraId="1005750B" w14:textId="77777777" w:rsidR="003D572C" w:rsidRPr="00BC283A" w:rsidRDefault="003D572C" w:rsidP="00BC283A">
            <w:pPr>
              <w:pStyle w:val="BodyText"/>
            </w:pPr>
            <w:r w:rsidRPr="00BC283A">
              <w:t>2,240</w:t>
            </w:r>
          </w:p>
        </w:tc>
        <w:tc>
          <w:tcPr>
            <w:tcW w:w="916" w:type="pct"/>
          </w:tcPr>
          <w:p w14:paraId="3C67E4F6" w14:textId="77777777" w:rsidR="003D572C" w:rsidRPr="00BC283A" w:rsidRDefault="003D572C" w:rsidP="00BC283A">
            <w:pPr>
              <w:pStyle w:val="BodyText"/>
            </w:pPr>
            <w:r w:rsidRPr="00BC283A">
              <w:t>–</w:t>
            </w:r>
          </w:p>
        </w:tc>
        <w:tc>
          <w:tcPr>
            <w:tcW w:w="916" w:type="pct"/>
          </w:tcPr>
          <w:p w14:paraId="78C79385" w14:textId="77777777" w:rsidR="003D572C" w:rsidRPr="00BC283A" w:rsidRDefault="003D572C" w:rsidP="00BC283A">
            <w:pPr>
              <w:pStyle w:val="BodyText"/>
            </w:pPr>
            <w:r w:rsidRPr="00BC283A">
              <w:t>2,240</w:t>
            </w:r>
          </w:p>
        </w:tc>
      </w:tr>
      <w:tr w:rsidR="003D572C" w:rsidRPr="00BC283A" w14:paraId="0B93D8F0" w14:textId="77777777" w:rsidTr="00BC283A">
        <w:trPr>
          <w:trHeight w:val="396"/>
        </w:trPr>
        <w:tc>
          <w:tcPr>
            <w:tcW w:w="2252" w:type="pct"/>
          </w:tcPr>
          <w:p w14:paraId="3259E46D" w14:textId="77777777" w:rsidR="003D572C" w:rsidRPr="00BC283A" w:rsidRDefault="003D572C" w:rsidP="00BC283A">
            <w:pPr>
              <w:pStyle w:val="BodyText"/>
            </w:pPr>
            <w:r w:rsidRPr="00BC283A">
              <w:rPr>
                <w:rStyle w:val="Bold"/>
                <w:rFonts w:cs="Arial"/>
              </w:rPr>
              <w:t>Total administered annual appropriations</w:t>
            </w:r>
          </w:p>
        </w:tc>
        <w:tc>
          <w:tcPr>
            <w:tcW w:w="916" w:type="pct"/>
          </w:tcPr>
          <w:p w14:paraId="3D9D0203" w14:textId="77777777" w:rsidR="003D572C" w:rsidRPr="00BC283A" w:rsidRDefault="003D572C" w:rsidP="00BC283A">
            <w:pPr>
              <w:pStyle w:val="BodyText"/>
            </w:pPr>
            <w:r w:rsidRPr="00BC283A">
              <w:rPr>
                <w:rStyle w:val="Bold"/>
                <w:rFonts w:cs="Arial"/>
              </w:rPr>
              <w:t>4,266</w:t>
            </w:r>
          </w:p>
        </w:tc>
        <w:tc>
          <w:tcPr>
            <w:tcW w:w="916" w:type="pct"/>
          </w:tcPr>
          <w:p w14:paraId="4B6313D1" w14:textId="77777777" w:rsidR="003D572C" w:rsidRPr="00BC283A" w:rsidRDefault="003D572C" w:rsidP="00BC283A">
            <w:pPr>
              <w:pStyle w:val="BodyText"/>
            </w:pPr>
            <w:r w:rsidRPr="00BC283A">
              <w:rPr>
                <w:rStyle w:val="Bold"/>
                <w:rFonts w:cs="Arial"/>
              </w:rPr>
              <w:t>948</w:t>
            </w:r>
          </w:p>
        </w:tc>
        <w:tc>
          <w:tcPr>
            <w:tcW w:w="916" w:type="pct"/>
          </w:tcPr>
          <w:p w14:paraId="32FC13E4" w14:textId="77777777" w:rsidR="003D572C" w:rsidRPr="00BC283A" w:rsidRDefault="003D572C" w:rsidP="00BC283A">
            <w:pPr>
              <w:pStyle w:val="BodyText"/>
            </w:pPr>
            <w:r w:rsidRPr="00BC283A">
              <w:rPr>
                <w:rStyle w:val="Bold"/>
                <w:rFonts w:cs="Arial"/>
              </w:rPr>
              <w:t>3,318</w:t>
            </w:r>
          </w:p>
        </w:tc>
      </w:tr>
      <w:tr w:rsidR="003D572C" w:rsidRPr="00BC283A" w14:paraId="1BBB5FB5" w14:textId="77777777" w:rsidTr="00BC283A">
        <w:trPr>
          <w:trHeight w:val="396"/>
        </w:trPr>
        <w:tc>
          <w:tcPr>
            <w:tcW w:w="2252" w:type="pct"/>
          </w:tcPr>
          <w:p w14:paraId="41F63120" w14:textId="77777777" w:rsidR="003D572C" w:rsidRPr="00BC283A" w:rsidRDefault="003D572C" w:rsidP="00BC283A">
            <w:pPr>
              <w:pStyle w:val="BodyText"/>
            </w:pPr>
            <w:r w:rsidRPr="00BC283A">
              <w:rPr>
                <w:rStyle w:val="Bold"/>
                <w:rFonts w:cs="Arial"/>
              </w:rPr>
              <w:t>Total administered special appropriations</w:t>
            </w:r>
          </w:p>
        </w:tc>
        <w:tc>
          <w:tcPr>
            <w:tcW w:w="916" w:type="pct"/>
          </w:tcPr>
          <w:p w14:paraId="1CC76C79" w14:textId="77777777" w:rsidR="003D572C" w:rsidRPr="00BC283A" w:rsidRDefault="003D572C" w:rsidP="00BC283A">
            <w:pPr>
              <w:pStyle w:val="BodyText"/>
            </w:pPr>
            <w:r w:rsidRPr="00BC283A">
              <w:rPr>
                <w:rStyle w:val="Bold"/>
                <w:rFonts w:cs="Arial"/>
              </w:rPr>
              <w:t>unlimited</w:t>
            </w:r>
          </w:p>
        </w:tc>
        <w:tc>
          <w:tcPr>
            <w:tcW w:w="916" w:type="pct"/>
          </w:tcPr>
          <w:p w14:paraId="29991B40" w14:textId="77777777" w:rsidR="003D572C" w:rsidRPr="00BC283A" w:rsidRDefault="003D572C" w:rsidP="00BC283A">
            <w:pPr>
              <w:pStyle w:val="BodyText"/>
            </w:pPr>
            <w:r w:rsidRPr="00BC283A">
              <w:rPr>
                <w:rStyle w:val="Bold"/>
                <w:rFonts w:cs="Arial"/>
              </w:rPr>
              <w:t>871</w:t>
            </w:r>
          </w:p>
        </w:tc>
        <w:tc>
          <w:tcPr>
            <w:tcW w:w="916" w:type="pct"/>
          </w:tcPr>
          <w:p w14:paraId="71B7300D" w14:textId="77777777" w:rsidR="003D572C" w:rsidRPr="00BC283A" w:rsidRDefault="003D572C" w:rsidP="00BC283A">
            <w:pPr>
              <w:pStyle w:val="BodyText"/>
            </w:pPr>
          </w:p>
        </w:tc>
      </w:tr>
      <w:tr w:rsidR="003D572C" w:rsidRPr="00BC283A" w14:paraId="43F22D38" w14:textId="77777777" w:rsidTr="00BC283A">
        <w:trPr>
          <w:trHeight w:val="396"/>
        </w:trPr>
        <w:tc>
          <w:tcPr>
            <w:tcW w:w="2252" w:type="pct"/>
          </w:tcPr>
          <w:p w14:paraId="7E535554" w14:textId="77777777" w:rsidR="003D572C" w:rsidRPr="00BC283A" w:rsidRDefault="003D572C" w:rsidP="00BC283A">
            <w:pPr>
              <w:pStyle w:val="BodyText"/>
            </w:pPr>
            <w:r w:rsidRPr="00BC283A">
              <w:t>Special accounts – administered</w:t>
            </w:r>
          </w:p>
        </w:tc>
        <w:tc>
          <w:tcPr>
            <w:tcW w:w="916" w:type="pct"/>
          </w:tcPr>
          <w:p w14:paraId="5DFD68A8" w14:textId="77777777" w:rsidR="003D572C" w:rsidRPr="00BC283A" w:rsidRDefault="003D572C" w:rsidP="00BC283A">
            <w:pPr>
              <w:pStyle w:val="BodyText"/>
            </w:pPr>
          </w:p>
        </w:tc>
        <w:tc>
          <w:tcPr>
            <w:tcW w:w="916" w:type="pct"/>
          </w:tcPr>
          <w:p w14:paraId="5DA4D9A9" w14:textId="77777777" w:rsidR="003D572C" w:rsidRPr="00BC283A" w:rsidRDefault="003D572C" w:rsidP="00BC283A">
            <w:pPr>
              <w:pStyle w:val="BodyText"/>
            </w:pPr>
          </w:p>
        </w:tc>
        <w:tc>
          <w:tcPr>
            <w:tcW w:w="916" w:type="pct"/>
          </w:tcPr>
          <w:p w14:paraId="183F0010" w14:textId="77777777" w:rsidR="003D572C" w:rsidRPr="00BC283A" w:rsidRDefault="003D572C" w:rsidP="00BC283A">
            <w:pPr>
              <w:pStyle w:val="BodyText"/>
            </w:pPr>
          </w:p>
        </w:tc>
      </w:tr>
      <w:tr w:rsidR="003D572C" w:rsidRPr="00BC283A" w14:paraId="439D3BA0" w14:textId="77777777" w:rsidTr="00BC283A">
        <w:trPr>
          <w:trHeight w:val="396"/>
        </w:trPr>
        <w:tc>
          <w:tcPr>
            <w:tcW w:w="2252" w:type="pct"/>
          </w:tcPr>
          <w:p w14:paraId="3CBD9B28" w14:textId="77777777" w:rsidR="003D572C" w:rsidRPr="00BC283A" w:rsidRDefault="003D572C" w:rsidP="00BC283A">
            <w:pPr>
              <w:pStyle w:val="BodyText"/>
            </w:pPr>
            <w:r w:rsidRPr="00BC283A">
              <w:t>Opening balance</w:t>
            </w:r>
          </w:p>
        </w:tc>
        <w:tc>
          <w:tcPr>
            <w:tcW w:w="916" w:type="pct"/>
          </w:tcPr>
          <w:p w14:paraId="50F610E4" w14:textId="77777777" w:rsidR="003D572C" w:rsidRPr="00BC283A" w:rsidRDefault="003D572C" w:rsidP="00BC283A">
            <w:pPr>
              <w:pStyle w:val="BodyText"/>
            </w:pPr>
            <w:r w:rsidRPr="00BC283A">
              <w:t>280,668</w:t>
            </w:r>
          </w:p>
        </w:tc>
        <w:tc>
          <w:tcPr>
            <w:tcW w:w="916" w:type="pct"/>
          </w:tcPr>
          <w:p w14:paraId="0AF2DFFC" w14:textId="77777777" w:rsidR="003D572C" w:rsidRPr="00BC283A" w:rsidRDefault="003D572C" w:rsidP="00BC283A">
            <w:pPr>
              <w:pStyle w:val="BodyText"/>
            </w:pPr>
          </w:p>
        </w:tc>
        <w:tc>
          <w:tcPr>
            <w:tcW w:w="916" w:type="pct"/>
          </w:tcPr>
          <w:p w14:paraId="22878244" w14:textId="77777777" w:rsidR="003D572C" w:rsidRPr="00BC283A" w:rsidRDefault="003D572C" w:rsidP="00BC283A">
            <w:pPr>
              <w:pStyle w:val="BodyText"/>
            </w:pPr>
          </w:p>
        </w:tc>
      </w:tr>
      <w:tr w:rsidR="003D572C" w:rsidRPr="00BC283A" w14:paraId="31ADDC32" w14:textId="77777777" w:rsidTr="00BC283A">
        <w:trPr>
          <w:trHeight w:val="396"/>
        </w:trPr>
        <w:tc>
          <w:tcPr>
            <w:tcW w:w="2252" w:type="pct"/>
          </w:tcPr>
          <w:p w14:paraId="02054990" w14:textId="77777777" w:rsidR="003D572C" w:rsidRPr="00BC283A" w:rsidRDefault="003D572C" w:rsidP="00BC283A">
            <w:pPr>
              <w:pStyle w:val="BodyText"/>
            </w:pPr>
            <w:r w:rsidRPr="00BC283A">
              <w:t>Special account receipts</w:t>
            </w:r>
          </w:p>
        </w:tc>
        <w:tc>
          <w:tcPr>
            <w:tcW w:w="916" w:type="pct"/>
          </w:tcPr>
          <w:p w14:paraId="1FE3C406" w14:textId="77777777" w:rsidR="003D572C" w:rsidRPr="00BC283A" w:rsidRDefault="003D572C" w:rsidP="00BC283A">
            <w:pPr>
              <w:pStyle w:val="BodyText"/>
            </w:pPr>
            <w:r w:rsidRPr="00BC283A">
              <w:t>2,587,323</w:t>
            </w:r>
          </w:p>
        </w:tc>
        <w:tc>
          <w:tcPr>
            <w:tcW w:w="916" w:type="pct"/>
          </w:tcPr>
          <w:p w14:paraId="7FE3E22F" w14:textId="77777777" w:rsidR="003D572C" w:rsidRPr="00BC283A" w:rsidRDefault="003D572C" w:rsidP="00BC283A">
            <w:pPr>
              <w:pStyle w:val="BodyText"/>
            </w:pPr>
          </w:p>
        </w:tc>
        <w:tc>
          <w:tcPr>
            <w:tcW w:w="916" w:type="pct"/>
          </w:tcPr>
          <w:p w14:paraId="64692B45" w14:textId="77777777" w:rsidR="003D572C" w:rsidRPr="00BC283A" w:rsidRDefault="003D572C" w:rsidP="00BC283A">
            <w:pPr>
              <w:pStyle w:val="BodyText"/>
            </w:pPr>
          </w:p>
        </w:tc>
      </w:tr>
      <w:tr w:rsidR="003D572C" w:rsidRPr="00BC283A" w14:paraId="076FF548" w14:textId="77777777" w:rsidTr="00BC283A">
        <w:trPr>
          <w:trHeight w:val="396"/>
        </w:trPr>
        <w:tc>
          <w:tcPr>
            <w:tcW w:w="2252" w:type="pct"/>
          </w:tcPr>
          <w:p w14:paraId="75E533BE" w14:textId="77777777" w:rsidR="003D572C" w:rsidRPr="00BC283A" w:rsidRDefault="003D572C" w:rsidP="00BC283A">
            <w:pPr>
              <w:pStyle w:val="BodyText"/>
            </w:pPr>
            <w:r w:rsidRPr="00BC283A">
              <w:t>Special account payments</w:t>
            </w:r>
          </w:p>
        </w:tc>
        <w:tc>
          <w:tcPr>
            <w:tcW w:w="916" w:type="pct"/>
          </w:tcPr>
          <w:p w14:paraId="74FEE819" w14:textId="77777777" w:rsidR="003D572C" w:rsidRPr="00BC283A" w:rsidRDefault="003D572C" w:rsidP="00BC283A">
            <w:pPr>
              <w:pStyle w:val="BodyText"/>
            </w:pPr>
          </w:p>
        </w:tc>
        <w:tc>
          <w:tcPr>
            <w:tcW w:w="916" w:type="pct"/>
          </w:tcPr>
          <w:p w14:paraId="721AEC75" w14:textId="77777777" w:rsidR="003D572C" w:rsidRPr="00BC283A" w:rsidRDefault="003D572C" w:rsidP="00BC283A">
            <w:pPr>
              <w:pStyle w:val="BodyText"/>
            </w:pPr>
            <w:r w:rsidRPr="00BC283A">
              <w:t>2,655,115</w:t>
            </w:r>
          </w:p>
        </w:tc>
        <w:tc>
          <w:tcPr>
            <w:tcW w:w="916" w:type="pct"/>
          </w:tcPr>
          <w:p w14:paraId="0DEE3B91" w14:textId="77777777" w:rsidR="003D572C" w:rsidRPr="00BC283A" w:rsidRDefault="003D572C" w:rsidP="00BC283A">
            <w:pPr>
              <w:pStyle w:val="BodyText"/>
            </w:pPr>
          </w:p>
        </w:tc>
      </w:tr>
      <w:tr w:rsidR="003D572C" w:rsidRPr="00BC283A" w14:paraId="1CBCE7E1" w14:textId="77777777" w:rsidTr="00BC283A">
        <w:trPr>
          <w:trHeight w:val="396"/>
        </w:trPr>
        <w:tc>
          <w:tcPr>
            <w:tcW w:w="2252" w:type="pct"/>
          </w:tcPr>
          <w:p w14:paraId="6D218932" w14:textId="77777777" w:rsidR="003D572C" w:rsidRPr="00BC283A" w:rsidRDefault="003D572C" w:rsidP="00BC283A">
            <w:pPr>
              <w:pStyle w:val="BodyText"/>
            </w:pPr>
            <w:r w:rsidRPr="00BC283A">
              <w:rPr>
                <w:rStyle w:val="Bold"/>
                <w:rFonts w:cs="Arial"/>
              </w:rPr>
              <w:t>Total special accounts</w:t>
            </w:r>
          </w:p>
        </w:tc>
        <w:tc>
          <w:tcPr>
            <w:tcW w:w="916" w:type="pct"/>
          </w:tcPr>
          <w:p w14:paraId="3A992C4A" w14:textId="77777777" w:rsidR="003D572C" w:rsidRPr="00BC283A" w:rsidRDefault="003D572C" w:rsidP="00BC283A">
            <w:pPr>
              <w:pStyle w:val="BodyText"/>
            </w:pPr>
            <w:r w:rsidRPr="00BC283A">
              <w:rPr>
                <w:rStyle w:val="Bold"/>
                <w:rFonts w:cs="Arial"/>
              </w:rPr>
              <w:t>2,867,991</w:t>
            </w:r>
          </w:p>
        </w:tc>
        <w:tc>
          <w:tcPr>
            <w:tcW w:w="916" w:type="pct"/>
          </w:tcPr>
          <w:p w14:paraId="2144E6BB" w14:textId="77777777" w:rsidR="003D572C" w:rsidRPr="00BC283A" w:rsidRDefault="003D572C" w:rsidP="00BC283A">
            <w:pPr>
              <w:pStyle w:val="BodyText"/>
            </w:pPr>
            <w:r w:rsidRPr="00BC283A">
              <w:rPr>
                <w:rStyle w:val="Bold"/>
                <w:rFonts w:cs="Arial"/>
              </w:rPr>
              <w:t>2,655,115</w:t>
            </w:r>
          </w:p>
        </w:tc>
        <w:tc>
          <w:tcPr>
            <w:tcW w:w="916" w:type="pct"/>
          </w:tcPr>
          <w:p w14:paraId="6B545139" w14:textId="77777777" w:rsidR="003D572C" w:rsidRPr="00BC283A" w:rsidRDefault="003D572C" w:rsidP="00BC283A">
            <w:pPr>
              <w:pStyle w:val="BodyText"/>
            </w:pPr>
            <w:r w:rsidRPr="00BC283A">
              <w:rPr>
                <w:rStyle w:val="Bold"/>
                <w:rFonts w:cs="Arial"/>
              </w:rPr>
              <w:t>212,876</w:t>
            </w:r>
          </w:p>
        </w:tc>
      </w:tr>
      <w:tr w:rsidR="003D572C" w:rsidRPr="00BC283A" w14:paraId="68DF7D40" w14:textId="77777777" w:rsidTr="00BC283A">
        <w:trPr>
          <w:trHeight w:val="396"/>
        </w:trPr>
        <w:tc>
          <w:tcPr>
            <w:tcW w:w="2252" w:type="pct"/>
          </w:tcPr>
          <w:p w14:paraId="16185312" w14:textId="77777777" w:rsidR="003D572C" w:rsidRPr="00BC283A" w:rsidRDefault="003D572C" w:rsidP="00BC283A">
            <w:pPr>
              <w:pStyle w:val="BodyText"/>
            </w:pPr>
            <w:r w:rsidRPr="00BC283A">
              <w:rPr>
                <w:rStyle w:val="Bold"/>
                <w:rFonts w:cs="Arial"/>
              </w:rPr>
              <w:t>Total administered resourcing</w:t>
            </w:r>
          </w:p>
        </w:tc>
        <w:tc>
          <w:tcPr>
            <w:tcW w:w="916" w:type="pct"/>
          </w:tcPr>
          <w:p w14:paraId="3E379316" w14:textId="77777777" w:rsidR="003D572C" w:rsidRPr="00BC283A" w:rsidRDefault="003D572C" w:rsidP="00BC283A">
            <w:pPr>
              <w:pStyle w:val="BodyText"/>
            </w:pPr>
            <w:r w:rsidRPr="00BC283A">
              <w:rPr>
                <w:rStyle w:val="Bold"/>
                <w:rFonts w:cs="Arial"/>
              </w:rPr>
              <w:t>2,872,257</w:t>
            </w:r>
          </w:p>
        </w:tc>
        <w:tc>
          <w:tcPr>
            <w:tcW w:w="916" w:type="pct"/>
          </w:tcPr>
          <w:p w14:paraId="751279A6" w14:textId="77777777" w:rsidR="003D572C" w:rsidRPr="00BC283A" w:rsidRDefault="003D572C" w:rsidP="00BC283A">
            <w:pPr>
              <w:pStyle w:val="BodyText"/>
            </w:pPr>
            <w:r w:rsidRPr="00BC283A">
              <w:rPr>
                <w:rStyle w:val="Bold"/>
                <w:rFonts w:cs="Arial"/>
              </w:rPr>
              <w:t>2,656,934</w:t>
            </w:r>
          </w:p>
        </w:tc>
        <w:tc>
          <w:tcPr>
            <w:tcW w:w="916" w:type="pct"/>
          </w:tcPr>
          <w:p w14:paraId="60D1BA28" w14:textId="77777777" w:rsidR="003D572C" w:rsidRPr="00BC283A" w:rsidRDefault="003D572C" w:rsidP="00BC283A">
            <w:pPr>
              <w:pStyle w:val="BodyText"/>
            </w:pPr>
            <w:r w:rsidRPr="00BC283A">
              <w:rPr>
                <w:rStyle w:val="Bold"/>
                <w:rFonts w:cs="Arial"/>
              </w:rPr>
              <w:t>216,194</w:t>
            </w:r>
          </w:p>
        </w:tc>
      </w:tr>
      <w:tr w:rsidR="003D572C" w:rsidRPr="00BC283A" w14:paraId="368B0F61" w14:textId="77777777" w:rsidTr="00BC283A">
        <w:trPr>
          <w:trHeight w:val="396"/>
        </w:trPr>
        <w:tc>
          <w:tcPr>
            <w:tcW w:w="2252" w:type="pct"/>
          </w:tcPr>
          <w:p w14:paraId="60D4EF97" w14:textId="77777777" w:rsidR="003D572C" w:rsidRPr="00BC283A" w:rsidRDefault="003D572C" w:rsidP="00BC283A">
            <w:pPr>
              <w:pStyle w:val="BodyText"/>
            </w:pPr>
            <w:r w:rsidRPr="00BC283A">
              <w:rPr>
                <w:rStyle w:val="Bold"/>
                <w:rFonts w:cs="Arial"/>
              </w:rPr>
              <w:lastRenderedPageBreak/>
              <w:t>Total resourcing and payments for Services Australia</w:t>
            </w:r>
          </w:p>
        </w:tc>
        <w:tc>
          <w:tcPr>
            <w:tcW w:w="916" w:type="pct"/>
          </w:tcPr>
          <w:p w14:paraId="63F870E9" w14:textId="77777777" w:rsidR="003D572C" w:rsidRPr="00BC283A" w:rsidRDefault="003D572C" w:rsidP="00BC283A">
            <w:pPr>
              <w:pStyle w:val="BodyText"/>
            </w:pPr>
            <w:r w:rsidRPr="00BC283A">
              <w:rPr>
                <w:rStyle w:val="Bold"/>
                <w:rFonts w:cs="Arial"/>
              </w:rPr>
              <w:t>9,931,064</w:t>
            </w:r>
          </w:p>
        </w:tc>
        <w:tc>
          <w:tcPr>
            <w:tcW w:w="916" w:type="pct"/>
          </w:tcPr>
          <w:p w14:paraId="4D107A8D" w14:textId="77777777" w:rsidR="003D572C" w:rsidRPr="00BC283A" w:rsidRDefault="003D572C" w:rsidP="00BC283A">
            <w:pPr>
              <w:pStyle w:val="BodyText"/>
            </w:pPr>
            <w:r w:rsidRPr="00BC283A">
              <w:rPr>
                <w:rStyle w:val="Bold"/>
                <w:rFonts w:cs="Arial"/>
              </w:rPr>
              <w:t>8,660,170</w:t>
            </w:r>
          </w:p>
        </w:tc>
        <w:tc>
          <w:tcPr>
            <w:tcW w:w="916" w:type="pct"/>
          </w:tcPr>
          <w:p w14:paraId="0C3A603F" w14:textId="77777777" w:rsidR="003D572C" w:rsidRPr="00BC283A" w:rsidRDefault="003D572C" w:rsidP="00BC283A">
            <w:pPr>
              <w:pStyle w:val="BodyText"/>
            </w:pPr>
            <w:r w:rsidRPr="00BC283A">
              <w:rPr>
                <w:rStyle w:val="Bold"/>
                <w:rFonts w:cs="Arial"/>
              </w:rPr>
              <w:t>1,271,765</w:t>
            </w:r>
          </w:p>
        </w:tc>
      </w:tr>
    </w:tbl>
    <w:p w14:paraId="300570D2" w14:textId="0ADF7517" w:rsidR="003D572C" w:rsidRDefault="003D572C" w:rsidP="00287DB3">
      <w:pPr>
        <w:pStyle w:val="ProductCode"/>
      </w:pPr>
      <w:r>
        <w:t>(a)</w:t>
      </w:r>
      <w:r w:rsidR="00287DB3">
        <w:t xml:space="preserve"> </w:t>
      </w:r>
      <w:r>
        <w:rPr>
          <w:rStyle w:val="Italic"/>
        </w:rPr>
        <w:t>Appropriation Act (No.1)</w:t>
      </w:r>
      <w:r>
        <w:t xml:space="preserve"> 2024–25 and </w:t>
      </w:r>
      <w:r>
        <w:rPr>
          <w:rStyle w:val="Italic"/>
        </w:rPr>
        <w:t xml:space="preserve">Appropriation Act (No.3) </w:t>
      </w:r>
      <w:r>
        <w:t>2024–25. This may also include external revenue under section 74 of the PGPA Act.</w:t>
      </w:r>
    </w:p>
    <w:p w14:paraId="5BC60739" w14:textId="253EF553" w:rsidR="003D572C" w:rsidRDefault="003D572C" w:rsidP="00287DB3">
      <w:pPr>
        <w:pStyle w:val="ProductCode"/>
      </w:pPr>
      <w:r>
        <w:t>(b)</w:t>
      </w:r>
      <w:r w:rsidR="00287DB3">
        <w:t xml:space="preserve"> </w:t>
      </w:r>
      <w:r>
        <w:rPr>
          <w:rStyle w:val="Italic"/>
          <w:spacing w:val="-3"/>
        </w:rPr>
        <w:t xml:space="preserve">Appropriation Act (No.1) </w:t>
      </w:r>
      <w:r>
        <w:rPr>
          <w:spacing w:val="-3"/>
        </w:rPr>
        <w:t xml:space="preserve">2023–24, </w:t>
      </w:r>
      <w:r>
        <w:rPr>
          <w:rStyle w:val="Italic"/>
          <w:spacing w:val="-3"/>
        </w:rPr>
        <w:t>Appropriation Act (No.3)</w:t>
      </w:r>
      <w:r>
        <w:rPr>
          <w:spacing w:val="-3"/>
        </w:rPr>
        <w:t xml:space="preserve"> 2023–24, </w:t>
      </w:r>
      <w:r>
        <w:rPr>
          <w:rStyle w:val="Italic"/>
          <w:spacing w:val="-3"/>
        </w:rPr>
        <w:t xml:space="preserve">Appropriation Act (No.5) </w:t>
      </w:r>
      <w:r>
        <w:rPr>
          <w:spacing w:val="-3"/>
        </w:rPr>
        <w:t>2023–24</w:t>
      </w:r>
      <w:r>
        <w:t xml:space="preserve">, </w:t>
      </w:r>
      <w:r>
        <w:rPr>
          <w:rStyle w:val="Italic"/>
        </w:rPr>
        <w:t>Supply Act (No.1)</w:t>
      </w:r>
      <w:r>
        <w:t xml:space="preserve"> 2022–23 and </w:t>
      </w:r>
      <w:r>
        <w:rPr>
          <w:rStyle w:val="Italic"/>
        </w:rPr>
        <w:t xml:space="preserve">Supply Act (No.2) </w:t>
      </w:r>
      <w:r>
        <w:t>2022–23.</w:t>
      </w:r>
    </w:p>
    <w:p w14:paraId="570FF4DD" w14:textId="383187D3" w:rsidR="003D572C" w:rsidRDefault="003D572C" w:rsidP="00287DB3">
      <w:pPr>
        <w:pStyle w:val="ProductCode"/>
      </w:pPr>
      <w:r>
        <w:t>(c)</w:t>
      </w:r>
      <w:r w:rsidR="00287DB3">
        <w:t xml:space="preserve"> </w:t>
      </w:r>
      <w:r>
        <w:t>Departmental capital budgets are not separately identified in the Appropriation Act (No 1, 3, 5) and form part of ordinary annual services items. For accounting purposes, this amount has been designated as a ‘contribution by owner’.</w:t>
      </w:r>
    </w:p>
    <w:p w14:paraId="1A31B65A" w14:textId="7DDBBC7A" w:rsidR="003D572C" w:rsidRDefault="003D572C" w:rsidP="00287DB3">
      <w:pPr>
        <w:pStyle w:val="ProductCode"/>
      </w:pPr>
      <w:r>
        <w:t>(d)</w:t>
      </w:r>
      <w:r w:rsidR="00287DB3">
        <w:t xml:space="preserve"> </w:t>
      </w:r>
      <w:r>
        <w:rPr>
          <w:rStyle w:val="Italic"/>
        </w:rPr>
        <w:t>Appropriation Act (No.1)</w:t>
      </w:r>
      <w:r>
        <w:t xml:space="preserve"> 2024–25 and </w:t>
      </w:r>
      <w:r>
        <w:rPr>
          <w:rStyle w:val="Italic"/>
        </w:rPr>
        <w:t>Appropriation Act (No.3)</w:t>
      </w:r>
      <w:r>
        <w:t xml:space="preserve"> 2024–25.</w:t>
      </w:r>
    </w:p>
    <w:p w14:paraId="002D5C09" w14:textId="65FA1308" w:rsidR="003D572C" w:rsidRDefault="003D572C" w:rsidP="00287DB3">
      <w:pPr>
        <w:pStyle w:val="ProductCode"/>
      </w:pPr>
      <w:r>
        <w:t>(e)</w:t>
      </w:r>
      <w:r w:rsidR="00287DB3">
        <w:t xml:space="preserve"> </w:t>
      </w:r>
      <w:r>
        <w:rPr>
          <w:rStyle w:val="Italic"/>
        </w:rPr>
        <w:t>Appropriation Act (No.2)</w:t>
      </w:r>
      <w:r>
        <w:t xml:space="preserve"> 2024–25 and </w:t>
      </w:r>
      <w:r>
        <w:rPr>
          <w:rStyle w:val="Italic"/>
        </w:rPr>
        <w:t>Appropriation Act (No.4)</w:t>
      </w:r>
      <w:r>
        <w:t xml:space="preserve"> 2024–25.</w:t>
      </w:r>
    </w:p>
    <w:p w14:paraId="673087BB" w14:textId="689BBC4F" w:rsidR="003D572C" w:rsidRDefault="003D572C" w:rsidP="00287DB3">
      <w:pPr>
        <w:pStyle w:val="ProductCode"/>
      </w:pPr>
      <w:r>
        <w:t>(f)</w:t>
      </w:r>
      <w:r w:rsidR="00287DB3">
        <w:t xml:space="preserve"> </w:t>
      </w:r>
      <w:r>
        <w:rPr>
          <w:rStyle w:val="Italic"/>
        </w:rPr>
        <w:t xml:space="preserve">Appropriation Act (No.2) </w:t>
      </w:r>
      <w:r>
        <w:t xml:space="preserve">2023–24 and </w:t>
      </w:r>
      <w:r>
        <w:rPr>
          <w:rStyle w:val="Italic"/>
        </w:rPr>
        <w:t>Appropriation Act (No.4)</w:t>
      </w:r>
      <w:r>
        <w:t xml:space="preserve"> 2023–24.</w:t>
      </w:r>
    </w:p>
    <w:p w14:paraId="4BD3EF32" w14:textId="7F5CF401" w:rsidR="003D572C" w:rsidRDefault="003D572C" w:rsidP="00287DB3">
      <w:pPr>
        <w:pStyle w:val="ProductCode"/>
      </w:pPr>
      <w:r>
        <w:t>(g)</w:t>
      </w:r>
      <w:r w:rsidR="00287DB3">
        <w:t xml:space="preserve"> </w:t>
      </w:r>
      <w:r>
        <w:t>Reported consistent with Note B1.1 of the 2024–25 financial statements.</w:t>
      </w:r>
    </w:p>
    <w:p w14:paraId="1C8C265C" w14:textId="77777777" w:rsidR="003D572C" w:rsidRDefault="003D572C" w:rsidP="00287DB3">
      <w:pPr>
        <w:pStyle w:val="Heading3"/>
      </w:pPr>
      <w:r>
        <w:t>Expenses by outcome</w:t>
      </w:r>
    </w:p>
    <w:p w14:paraId="47A85F0E" w14:textId="77777777" w:rsidR="003D572C" w:rsidRDefault="003D572C" w:rsidP="003D572C">
      <w:pPr>
        <w:pStyle w:val="BodyText"/>
      </w:pPr>
      <w:r>
        <w:t xml:space="preserve">Government outcomes are the intended results, impacts or consequences of government actions on the Australian community. Commonwealth programs are the main ways in which government entities achieve the intended results of their outcome statements. Entities are required to identify the programs that contribute to government outcomes. </w:t>
      </w:r>
    </w:p>
    <w:p w14:paraId="17DA6E0D" w14:textId="77777777" w:rsidR="003D572C" w:rsidRDefault="003D572C" w:rsidP="003D572C">
      <w:pPr>
        <w:pStyle w:val="BodyText"/>
      </w:pPr>
      <w:r>
        <w:t xml:space="preserve">Table 50 provides information on the agency’s expenditure in achieving its outcome. Results are reported by program for administered and departmental funding sources. </w:t>
      </w:r>
    </w:p>
    <w:p w14:paraId="31BCA8A3" w14:textId="1BE45275" w:rsidR="003D572C" w:rsidRPr="00287DB3" w:rsidRDefault="00287DB3" w:rsidP="00287DB3">
      <w:pPr>
        <w:pStyle w:val="BodyText"/>
        <w:rPr>
          <w:b/>
          <w:bCs/>
        </w:rPr>
      </w:pPr>
      <w:r w:rsidRPr="00287DB3">
        <w:rPr>
          <w:b/>
          <w:bCs/>
        </w:rPr>
        <w:t>Table 50:</w:t>
      </w:r>
      <w:r w:rsidR="003D572C" w:rsidRPr="00287DB3">
        <w:rPr>
          <w:b/>
          <w:bCs/>
        </w:rPr>
        <w:t xml:space="preserve"> Agency expenses by outcome 2024–25</w:t>
      </w:r>
    </w:p>
    <w:tbl>
      <w:tblPr>
        <w:tblStyle w:val="TableGrid"/>
        <w:tblW w:w="5000" w:type="pct"/>
        <w:tblLook w:val="04A0" w:firstRow="1" w:lastRow="0" w:firstColumn="1" w:lastColumn="0" w:noHBand="0" w:noVBand="1"/>
        <w:tblCaption w:val="Agency expenses by outcome 2024–25"/>
      </w:tblPr>
      <w:tblGrid>
        <w:gridCol w:w="4997"/>
        <w:gridCol w:w="2033"/>
        <w:gridCol w:w="2033"/>
        <w:gridCol w:w="2033"/>
      </w:tblGrid>
      <w:tr w:rsidR="003D572C" w14:paraId="7BA766C3" w14:textId="77777777" w:rsidTr="00BC283A">
        <w:trPr>
          <w:trHeight w:val="825"/>
          <w:tblHeader/>
        </w:trPr>
        <w:tc>
          <w:tcPr>
            <w:tcW w:w="2252" w:type="pct"/>
          </w:tcPr>
          <w:p w14:paraId="2D9E4CBC" w14:textId="77777777" w:rsidR="003D572C" w:rsidRDefault="003D572C" w:rsidP="00BC283A">
            <w:pPr>
              <w:pStyle w:val="BodyText"/>
            </w:pPr>
          </w:p>
        </w:tc>
        <w:tc>
          <w:tcPr>
            <w:tcW w:w="916" w:type="pct"/>
          </w:tcPr>
          <w:p w14:paraId="2CF281C5" w14:textId="77777777" w:rsidR="003D572C" w:rsidRDefault="003D572C" w:rsidP="00BC283A">
            <w:pPr>
              <w:pStyle w:val="BodyText"/>
            </w:pPr>
            <w:r>
              <w:rPr>
                <w:rStyle w:val="Bold"/>
              </w:rPr>
              <w:t>Budget</w:t>
            </w:r>
            <w:r>
              <w:rPr>
                <w:rStyle w:val="Bold"/>
                <w:vertAlign w:val="superscript"/>
              </w:rPr>
              <w:t>(a)</w:t>
            </w:r>
            <w:r>
              <w:rPr>
                <w:rStyle w:val="Bold"/>
              </w:rPr>
              <w:t xml:space="preserve"> 2024–25</w:t>
            </w:r>
          </w:p>
        </w:tc>
        <w:tc>
          <w:tcPr>
            <w:tcW w:w="916" w:type="pct"/>
          </w:tcPr>
          <w:p w14:paraId="6E692241" w14:textId="77777777" w:rsidR="003D572C" w:rsidRDefault="003D572C" w:rsidP="00BC283A">
            <w:pPr>
              <w:pStyle w:val="BodyText"/>
            </w:pPr>
            <w:r>
              <w:rPr>
                <w:rStyle w:val="Bold"/>
              </w:rPr>
              <w:t>Actual</w:t>
            </w:r>
            <w:r>
              <w:rPr>
                <w:rStyle w:val="Bold"/>
                <w:vertAlign w:val="superscript"/>
              </w:rPr>
              <w:t>(b)</w:t>
            </w:r>
            <w:r>
              <w:rPr>
                <w:rStyle w:val="Bold"/>
              </w:rPr>
              <w:t xml:space="preserve"> expenses 2024–25</w:t>
            </w:r>
          </w:p>
        </w:tc>
        <w:tc>
          <w:tcPr>
            <w:tcW w:w="916" w:type="pct"/>
          </w:tcPr>
          <w:p w14:paraId="52540096" w14:textId="77777777" w:rsidR="003D572C" w:rsidRDefault="003D572C" w:rsidP="00BC283A">
            <w:pPr>
              <w:pStyle w:val="BodyText"/>
            </w:pPr>
            <w:r>
              <w:rPr>
                <w:rStyle w:val="Bold"/>
              </w:rPr>
              <w:t>Variation 2024–25</w:t>
            </w:r>
          </w:p>
        </w:tc>
      </w:tr>
      <w:tr w:rsidR="003D572C" w14:paraId="323DCA2F" w14:textId="77777777" w:rsidTr="00BC283A">
        <w:trPr>
          <w:trHeight w:val="142"/>
          <w:tblHeader/>
        </w:trPr>
        <w:tc>
          <w:tcPr>
            <w:tcW w:w="2252" w:type="pct"/>
          </w:tcPr>
          <w:p w14:paraId="601E32BC" w14:textId="77777777" w:rsidR="003D572C" w:rsidRDefault="003D572C" w:rsidP="00BC283A">
            <w:pPr>
              <w:pStyle w:val="BodyText"/>
            </w:pPr>
          </w:p>
        </w:tc>
        <w:tc>
          <w:tcPr>
            <w:tcW w:w="916" w:type="pct"/>
          </w:tcPr>
          <w:p w14:paraId="018D45B8" w14:textId="77777777" w:rsidR="003D572C" w:rsidRDefault="003D572C" w:rsidP="00BC283A">
            <w:pPr>
              <w:pStyle w:val="BodyText"/>
            </w:pPr>
            <w:r>
              <w:rPr>
                <w:rStyle w:val="Bold"/>
              </w:rPr>
              <w:t>(x)</w:t>
            </w:r>
          </w:p>
        </w:tc>
        <w:tc>
          <w:tcPr>
            <w:tcW w:w="916" w:type="pct"/>
          </w:tcPr>
          <w:p w14:paraId="23B85B25" w14:textId="77777777" w:rsidR="003D572C" w:rsidRDefault="003D572C" w:rsidP="00BC283A">
            <w:pPr>
              <w:pStyle w:val="BodyText"/>
            </w:pPr>
            <w:r>
              <w:rPr>
                <w:rStyle w:val="Bold"/>
              </w:rPr>
              <w:t>(y)</w:t>
            </w:r>
          </w:p>
        </w:tc>
        <w:tc>
          <w:tcPr>
            <w:tcW w:w="916" w:type="pct"/>
          </w:tcPr>
          <w:p w14:paraId="728D4FDD" w14:textId="77777777" w:rsidR="003D572C" w:rsidRDefault="003D572C" w:rsidP="00BC283A">
            <w:pPr>
              <w:pStyle w:val="BodyText"/>
            </w:pPr>
            <w:r>
              <w:rPr>
                <w:rStyle w:val="Bold"/>
              </w:rPr>
              <w:t>(x)–(y)</w:t>
            </w:r>
          </w:p>
        </w:tc>
      </w:tr>
      <w:tr w:rsidR="003D572C" w14:paraId="56C2A208" w14:textId="77777777" w:rsidTr="00BC283A">
        <w:trPr>
          <w:trHeight w:val="396"/>
          <w:tblHeader/>
        </w:trPr>
        <w:tc>
          <w:tcPr>
            <w:tcW w:w="2252" w:type="pct"/>
          </w:tcPr>
          <w:p w14:paraId="078236BC" w14:textId="77777777" w:rsidR="003D572C" w:rsidRDefault="003D572C" w:rsidP="00BC283A">
            <w:pPr>
              <w:pStyle w:val="BodyText"/>
            </w:pPr>
          </w:p>
        </w:tc>
        <w:tc>
          <w:tcPr>
            <w:tcW w:w="916" w:type="pct"/>
          </w:tcPr>
          <w:p w14:paraId="297A6C9E" w14:textId="77777777" w:rsidR="003D572C" w:rsidRDefault="003D572C" w:rsidP="00BC283A">
            <w:pPr>
              <w:pStyle w:val="BodyText"/>
            </w:pPr>
            <w:r>
              <w:rPr>
                <w:rStyle w:val="Bold"/>
              </w:rPr>
              <w:t>$’000</w:t>
            </w:r>
          </w:p>
        </w:tc>
        <w:tc>
          <w:tcPr>
            <w:tcW w:w="916" w:type="pct"/>
          </w:tcPr>
          <w:p w14:paraId="58A5A437" w14:textId="77777777" w:rsidR="003D572C" w:rsidRDefault="003D572C" w:rsidP="00BC283A">
            <w:pPr>
              <w:pStyle w:val="BodyText"/>
            </w:pPr>
            <w:r>
              <w:rPr>
                <w:rStyle w:val="Bold"/>
              </w:rPr>
              <w:t>$’000</w:t>
            </w:r>
          </w:p>
        </w:tc>
        <w:tc>
          <w:tcPr>
            <w:tcW w:w="916" w:type="pct"/>
          </w:tcPr>
          <w:p w14:paraId="6599C25F" w14:textId="77777777" w:rsidR="003D572C" w:rsidRDefault="003D572C" w:rsidP="00BC283A">
            <w:pPr>
              <w:pStyle w:val="BodyText"/>
            </w:pPr>
            <w:r>
              <w:rPr>
                <w:rStyle w:val="Bold"/>
              </w:rPr>
              <w:t>$’000</w:t>
            </w:r>
          </w:p>
        </w:tc>
      </w:tr>
      <w:tr w:rsidR="003D572C" w14:paraId="3739F3BC" w14:textId="77777777" w:rsidTr="006A0585">
        <w:trPr>
          <w:trHeight w:val="396"/>
        </w:trPr>
        <w:tc>
          <w:tcPr>
            <w:tcW w:w="5000" w:type="pct"/>
            <w:gridSpan w:val="4"/>
          </w:tcPr>
          <w:p w14:paraId="03CEFFDA" w14:textId="77777777" w:rsidR="003D572C" w:rsidRDefault="003D572C" w:rsidP="00BC283A">
            <w:pPr>
              <w:pStyle w:val="BodyText"/>
            </w:pPr>
            <w:r>
              <w:rPr>
                <w:rStyle w:val="Bold"/>
              </w:rPr>
              <w:t>Program 1.1: Strategy and Corporate Enabling</w:t>
            </w:r>
          </w:p>
        </w:tc>
      </w:tr>
      <w:tr w:rsidR="003D572C" w14:paraId="01C6E943" w14:textId="77777777" w:rsidTr="006A0585">
        <w:trPr>
          <w:trHeight w:val="396"/>
        </w:trPr>
        <w:tc>
          <w:tcPr>
            <w:tcW w:w="5000" w:type="pct"/>
            <w:gridSpan w:val="4"/>
          </w:tcPr>
          <w:p w14:paraId="45484D36" w14:textId="77777777" w:rsidR="003D572C" w:rsidRDefault="003D572C" w:rsidP="00BC283A">
            <w:pPr>
              <w:pStyle w:val="BodyText"/>
            </w:pPr>
            <w:r>
              <w:t>Departmental expenses</w:t>
            </w:r>
          </w:p>
        </w:tc>
      </w:tr>
      <w:tr w:rsidR="003D572C" w14:paraId="5F43BD40" w14:textId="77777777" w:rsidTr="006A0585">
        <w:trPr>
          <w:trHeight w:val="396"/>
        </w:trPr>
        <w:tc>
          <w:tcPr>
            <w:tcW w:w="2252" w:type="pct"/>
          </w:tcPr>
          <w:p w14:paraId="46EF5E3F" w14:textId="77777777" w:rsidR="003D572C" w:rsidRDefault="003D572C" w:rsidP="00BC283A">
            <w:pPr>
              <w:pStyle w:val="BodyText"/>
            </w:pPr>
            <w:r>
              <w:t>Departmental appropriation</w:t>
            </w:r>
          </w:p>
        </w:tc>
        <w:tc>
          <w:tcPr>
            <w:tcW w:w="916" w:type="pct"/>
          </w:tcPr>
          <w:p w14:paraId="67FF657D" w14:textId="77777777" w:rsidR="003D572C" w:rsidRDefault="003D572C" w:rsidP="00BC283A">
            <w:pPr>
              <w:pStyle w:val="BodyText"/>
            </w:pPr>
            <w:r>
              <w:t>741,686</w:t>
            </w:r>
          </w:p>
        </w:tc>
        <w:tc>
          <w:tcPr>
            <w:tcW w:w="916" w:type="pct"/>
          </w:tcPr>
          <w:p w14:paraId="4BE54BA5" w14:textId="77777777" w:rsidR="003D572C" w:rsidRDefault="003D572C" w:rsidP="00BC283A">
            <w:pPr>
              <w:pStyle w:val="BodyText"/>
            </w:pPr>
            <w:r>
              <w:t>769,013</w:t>
            </w:r>
          </w:p>
        </w:tc>
        <w:tc>
          <w:tcPr>
            <w:tcW w:w="916" w:type="pct"/>
          </w:tcPr>
          <w:p w14:paraId="3693CD9C" w14:textId="77777777" w:rsidR="003D572C" w:rsidRDefault="003D572C" w:rsidP="00BC283A">
            <w:pPr>
              <w:pStyle w:val="BodyText"/>
            </w:pPr>
            <w:r>
              <w:t>(27,327)</w:t>
            </w:r>
          </w:p>
        </w:tc>
      </w:tr>
      <w:tr w:rsidR="003D572C" w14:paraId="50D5531E" w14:textId="77777777" w:rsidTr="006A0585">
        <w:trPr>
          <w:trHeight w:val="396"/>
        </w:trPr>
        <w:tc>
          <w:tcPr>
            <w:tcW w:w="2252" w:type="pct"/>
          </w:tcPr>
          <w:p w14:paraId="44C02973" w14:textId="77777777" w:rsidR="003D572C" w:rsidRDefault="003D572C" w:rsidP="00BC283A">
            <w:pPr>
              <w:pStyle w:val="BodyText"/>
            </w:pPr>
            <w:r>
              <w:lastRenderedPageBreak/>
              <w:t>s74 External Revenue</w:t>
            </w:r>
            <w:r>
              <w:rPr>
                <w:vertAlign w:val="superscript"/>
              </w:rPr>
              <w:t>(c)</w:t>
            </w:r>
          </w:p>
        </w:tc>
        <w:tc>
          <w:tcPr>
            <w:tcW w:w="916" w:type="pct"/>
          </w:tcPr>
          <w:p w14:paraId="1B02FB85" w14:textId="77777777" w:rsidR="003D572C" w:rsidRDefault="003D572C" w:rsidP="00BC283A">
            <w:pPr>
              <w:pStyle w:val="BodyText"/>
            </w:pPr>
            <w:r>
              <w:t xml:space="preserve">22,774 </w:t>
            </w:r>
          </w:p>
        </w:tc>
        <w:tc>
          <w:tcPr>
            <w:tcW w:w="916" w:type="pct"/>
          </w:tcPr>
          <w:p w14:paraId="5C77CF84" w14:textId="77777777" w:rsidR="003D572C" w:rsidRDefault="003D572C" w:rsidP="00BC283A">
            <w:pPr>
              <w:pStyle w:val="BodyText"/>
            </w:pPr>
            <w:r>
              <w:t>36,147</w:t>
            </w:r>
          </w:p>
        </w:tc>
        <w:tc>
          <w:tcPr>
            <w:tcW w:w="916" w:type="pct"/>
          </w:tcPr>
          <w:p w14:paraId="7B60EF9D" w14:textId="77777777" w:rsidR="003D572C" w:rsidRDefault="003D572C" w:rsidP="00BC283A">
            <w:pPr>
              <w:pStyle w:val="BodyText"/>
            </w:pPr>
            <w:r>
              <w:t>(13,373)</w:t>
            </w:r>
          </w:p>
        </w:tc>
      </w:tr>
      <w:tr w:rsidR="003D572C" w14:paraId="55A8775D" w14:textId="77777777" w:rsidTr="006A0585">
        <w:trPr>
          <w:trHeight w:val="396"/>
        </w:trPr>
        <w:tc>
          <w:tcPr>
            <w:tcW w:w="2252" w:type="pct"/>
          </w:tcPr>
          <w:p w14:paraId="22E2941F" w14:textId="77777777" w:rsidR="003D572C" w:rsidRDefault="003D572C" w:rsidP="00BC283A">
            <w:pPr>
              <w:pStyle w:val="BodyText"/>
            </w:pPr>
            <w:r>
              <w:t>Expenses not requiring appropriation in the Budget year</w:t>
            </w:r>
            <w:r>
              <w:rPr>
                <w:vertAlign w:val="superscript"/>
              </w:rPr>
              <w:t>(d)</w:t>
            </w:r>
          </w:p>
        </w:tc>
        <w:tc>
          <w:tcPr>
            <w:tcW w:w="916" w:type="pct"/>
          </w:tcPr>
          <w:p w14:paraId="69592427" w14:textId="77777777" w:rsidR="003D572C" w:rsidRDefault="003D572C" w:rsidP="00BC283A">
            <w:pPr>
              <w:pStyle w:val="BodyText"/>
            </w:pPr>
            <w:r>
              <w:t xml:space="preserve">398,429 </w:t>
            </w:r>
          </w:p>
        </w:tc>
        <w:tc>
          <w:tcPr>
            <w:tcW w:w="916" w:type="pct"/>
          </w:tcPr>
          <w:p w14:paraId="1BCCE388" w14:textId="77777777" w:rsidR="003D572C" w:rsidRDefault="003D572C" w:rsidP="00BC283A">
            <w:pPr>
              <w:pStyle w:val="BodyText"/>
            </w:pPr>
            <w:r>
              <w:t>485,824</w:t>
            </w:r>
          </w:p>
        </w:tc>
        <w:tc>
          <w:tcPr>
            <w:tcW w:w="916" w:type="pct"/>
          </w:tcPr>
          <w:p w14:paraId="1E419972" w14:textId="77777777" w:rsidR="003D572C" w:rsidRDefault="003D572C" w:rsidP="00BC283A">
            <w:pPr>
              <w:pStyle w:val="BodyText"/>
            </w:pPr>
            <w:r>
              <w:t>(87,395)</w:t>
            </w:r>
          </w:p>
        </w:tc>
      </w:tr>
      <w:tr w:rsidR="003D572C" w14:paraId="2BF72D47" w14:textId="77777777" w:rsidTr="006A0585">
        <w:trPr>
          <w:trHeight w:val="396"/>
        </w:trPr>
        <w:tc>
          <w:tcPr>
            <w:tcW w:w="2252" w:type="pct"/>
          </w:tcPr>
          <w:p w14:paraId="3AF81988" w14:textId="77777777" w:rsidR="003D572C" w:rsidRDefault="003D572C" w:rsidP="00BC283A">
            <w:pPr>
              <w:pStyle w:val="BodyText"/>
            </w:pPr>
            <w:r>
              <w:rPr>
                <w:rStyle w:val="Bold"/>
              </w:rPr>
              <w:t>Departmental total</w:t>
            </w:r>
          </w:p>
        </w:tc>
        <w:tc>
          <w:tcPr>
            <w:tcW w:w="916" w:type="pct"/>
          </w:tcPr>
          <w:p w14:paraId="5AF83BB7" w14:textId="77777777" w:rsidR="003D572C" w:rsidRDefault="003D572C" w:rsidP="00BC283A">
            <w:pPr>
              <w:pStyle w:val="BodyText"/>
            </w:pPr>
            <w:r>
              <w:rPr>
                <w:rStyle w:val="Bold"/>
              </w:rPr>
              <w:t xml:space="preserve">1,162,889 </w:t>
            </w:r>
          </w:p>
        </w:tc>
        <w:tc>
          <w:tcPr>
            <w:tcW w:w="916" w:type="pct"/>
          </w:tcPr>
          <w:p w14:paraId="0017B600" w14:textId="77777777" w:rsidR="003D572C" w:rsidRDefault="003D572C" w:rsidP="00BC283A">
            <w:pPr>
              <w:pStyle w:val="BodyText"/>
            </w:pPr>
            <w:r>
              <w:rPr>
                <w:rStyle w:val="Bold"/>
              </w:rPr>
              <w:t>1,290,984</w:t>
            </w:r>
          </w:p>
        </w:tc>
        <w:tc>
          <w:tcPr>
            <w:tcW w:w="916" w:type="pct"/>
          </w:tcPr>
          <w:p w14:paraId="28ADBB4C" w14:textId="77777777" w:rsidR="003D572C" w:rsidRDefault="003D572C" w:rsidP="00BC283A">
            <w:pPr>
              <w:pStyle w:val="BodyText"/>
            </w:pPr>
            <w:r>
              <w:rPr>
                <w:rStyle w:val="Bold"/>
              </w:rPr>
              <w:t>(128,095)</w:t>
            </w:r>
          </w:p>
        </w:tc>
      </w:tr>
      <w:tr w:rsidR="003D572C" w14:paraId="51BF6C78" w14:textId="77777777" w:rsidTr="006A0585">
        <w:trPr>
          <w:trHeight w:val="396"/>
        </w:trPr>
        <w:tc>
          <w:tcPr>
            <w:tcW w:w="2252" w:type="pct"/>
          </w:tcPr>
          <w:p w14:paraId="4490B5AA" w14:textId="77777777" w:rsidR="003D572C" w:rsidRDefault="003D572C" w:rsidP="00BC283A">
            <w:pPr>
              <w:pStyle w:val="BodyText"/>
            </w:pPr>
            <w:r>
              <w:rPr>
                <w:rStyle w:val="Bold"/>
              </w:rPr>
              <w:t>Total expenses for Program 1.1</w:t>
            </w:r>
          </w:p>
        </w:tc>
        <w:tc>
          <w:tcPr>
            <w:tcW w:w="916" w:type="pct"/>
          </w:tcPr>
          <w:p w14:paraId="7E960F6C" w14:textId="77777777" w:rsidR="003D572C" w:rsidRDefault="003D572C" w:rsidP="00BC283A">
            <w:pPr>
              <w:pStyle w:val="BodyText"/>
            </w:pPr>
            <w:r>
              <w:rPr>
                <w:rStyle w:val="Bold"/>
              </w:rPr>
              <w:t xml:space="preserve">1,162,889 </w:t>
            </w:r>
          </w:p>
        </w:tc>
        <w:tc>
          <w:tcPr>
            <w:tcW w:w="916" w:type="pct"/>
          </w:tcPr>
          <w:p w14:paraId="5DDAAC2D" w14:textId="77777777" w:rsidR="003D572C" w:rsidRDefault="003D572C" w:rsidP="00BC283A">
            <w:pPr>
              <w:pStyle w:val="BodyText"/>
            </w:pPr>
            <w:r>
              <w:rPr>
                <w:rStyle w:val="Bold"/>
              </w:rPr>
              <w:t>1,290,984</w:t>
            </w:r>
          </w:p>
        </w:tc>
        <w:tc>
          <w:tcPr>
            <w:tcW w:w="916" w:type="pct"/>
          </w:tcPr>
          <w:p w14:paraId="290C23A0" w14:textId="77777777" w:rsidR="003D572C" w:rsidRDefault="003D572C" w:rsidP="00BC283A">
            <w:pPr>
              <w:pStyle w:val="BodyText"/>
            </w:pPr>
            <w:r>
              <w:rPr>
                <w:rStyle w:val="Bold"/>
              </w:rPr>
              <w:t>(128,095)</w:t>
            </w:r>
          </w:p>
        </w:tc>
      </w:tr>
      <w:tr w:rsidR="003D572C" w14:paraId="1E27AA4F" w14:textId="77777777" w:rsidTr="006A0585">
        <w:trPr>
          <w:trHeight w:val="396"/>
        </w:trPr>
        <w:tc>
          <w:tcPr>
            <w:tcW w:w="5000" w:type="pct"/>
            <w:gridSpan w:val="4"/>
          </w:tcPr>
          <w:p w14:paraId="37B10C0A" w14:textId="77777777" w:rsidR="003D572C" w:rsidRDefault="003D572C" w:rsidP="00BC283A">
            <w:pPr>
              <w:pStyle w:val="BodyText"/>
            </w:pPr>
            <w:r>
              <w:rPr>
                <w:rStyle w:val="Bold"/>
              </w:rPr>
              <w:t>Program 1.2: Customer Service Delivery</w:t>
            </w:r>
          </w:p>
        </w:tc>
      </w:tr>
      <w:tr w:rsidR="003D572C" w14:paraId="6747BC2B" w14:textId="77777777" w:rsidTr="006A0585">
        <w:trPr>
          <w:trHeight w:val="396"/>
        </w:trPr>
        <w:tc>
          <w:tcPr>
            <w:tcW w:w="5000" w:type="pct"/>
            <w:gridSpan w:val="4"/>
          </w:tcPr>
          <w:p w14:paraId="72BD67E5" w14:textId="77777777" w:rsidR="003D572C" w:rsidRDefault="003D572C" w:rsidP="00BC283A">
            <w:pPr>
              <w:pStyle w:val="BodyText"/>
            </w:pPr>
            <w:r>
              <w:t>Administered expenses</w:t>
            </w:r>
          </w:p>
        </w:tc>
      </w:tr>
      <w:tr w:rsidR="003D572C" w14:paraId="0192C1CB" w14:textId="77777777" w:rsidTr="006A0585">
        <w:trPr>
          <w:trHeight w:val="396"/>
        </w:trPr>
        <w:tc>
          <w:tcPr>
            <w:tcW w:w="2252" w:type="pct"/>
          </w:tcPr>
          <w:p w14:paraId="460AA0C0" w14:textId="77777777" w:rsidR="003D572C" w:rsidRDefault="003D572C" w:rsidP="00BC283A">
            <w:pPr>
              <w:pStyle w:val="BodyText"/>
            </w:pPr>
            <w:r>
              <w:t xml:space="preserve">Ordinary annual services </w:t>
            </w:r>
            <w:r>
              <w:rPr>
                <w:rStyle w:val="Italic"/>
              </w:rPr>
              <w:t>(Appropriation Act No. 1 &amp; 3)</w:t>
            </w:r>
          </w:p>
        </w:tc>
        <w:tc>
          <w:tcPr>
            <w:tcW w:w="916" w:type="pct"/>
          </w:tcPr>
          <w:p w14:paraId="20C5CB81" w14:textId="77777777" w:rsidR="003D572C" w:rsidRDefault="003D572C" w:rsidP="00BC283A">
            <w:pPr>
              <w:pStyle w:val="BodyText"/>
            </w:pPr>
            <w:r>
              <w:t>976</w:t>
            </w:r>
          </w:p>
        </w:tc>
        <w:tc>
          <w:tcPr>
            <w:tcW w:w="916" w:type="pct"/>
          </w:tcPr>
          <w:p w14:paraId="5F1CE0F7" w14:textId="77777777" w:rsidR="003D572C" w:rsidRDefault="003D572C" w:rsidP="00BC283A">
            <w:pPr>
              <w:pStyle w:val="BodyText"/>
            </w:pPr>
            <w:r>
              <w:t>949</w:t>
            </w:r>
          </w:p>
        </w:tc>
        <w:tc>
          <w:tcPr>
            <w:tcW w:w="916" w:type="pct"/>
          </w:tcPr>
          <w:p w14:paraId="71EF3A0C" w14:textId="77777777" w:rsidR="003D572C" w:rsidRDefault="003D572C" w:rsidP="00BC283A">
            <w:pPr>
              <w:pStyle w:val="BodyText"/>
            </w:pPr>
            <w:r>
              <w:t>27</w:t>
            </w:r>
          </w:p>
        </w:tc>
      </w:tr>
      <w:tr w:rsidR="003D572C" w14:paraId="4740CEA5" w14:textId="77777777" w:rsidTr="006A0585">
        <w:trPr>
          <w:trHeight w:val="396"/>
        </w:trPr>
        <w:tc>
          <w:tcPr>
            <w:tcW w:w="2252" w:type="pct"/>
          </w:tcPr>
          <w:p w14:paraId="76213DB8" w14:textId="77777777" w:rsidR="003D572C" w:rsidRDefault="003D572C" w:rsidP="00BC283A">
            <w:pPr>
              <w:pStyle w:val="BodyText"/>
            </w:pPr>
            <w:r>
              <w:t>Special accounts</w:t>
            </w:r>
          </w:p>
        </w:tc>
        <w:tc>
          <w:tcPr>
            <w:tcW w:w="916" w:type="pct"/>
          </w:tcPr>
          <w:p w14:paraId="7449A5CA" w14:textId="77777777" w:rsidR="003D572C" w:rsidRDefault="003D572C" w:rsidP="00BC283A">
            <w:pPr>
              <w:pStyle w:val="BodyText"/>
            </w:pPr>
            <w:r>
              <w:t>1,921,691</w:t>
            </w:r>
          </w:p>
        </w:tc>
        <w:tc>
          <w:tcPr>
            <w:tcW w:w="916" w:type="pct"/>
          </w:tcPr>
          <w:p w14:paraId="486A3BFB" w14:textId="77777777" w:rsidR="003D572C" w:rsidRDefault="003D572C" w:rsidP="00BC283A">
            <w:pPr>
              <w:pStyle w:val="BodyText"/>
            </w:pPr>
            <w:r>
              <w:t>2,043,596</w:t>
            </w:r>
          </w:p>
        </w:tc>
        <w:tc>
          <w:tcPr>
            <w:tcW w:w="916" w:type="pct"/>
          </w:tcPr>
          <w:p w14:paraId="2E8BE0EE" w14:textId="77777777" w:rsidR="003D572C" w:rsidRDefault="003D572C" w:rsidP="00BC283A">
            <w:pPr>
              <w:pStyle w:val="BodyText"/>
            </w:pPr>
            <w:r>
              <w:t>(121,905)</w:t>
            </w:r>
          </w:p>
        </w:tc>
      </w:tr>
      <w:tr w:rsidR="003D572C" w14:paraId="79FC547A" w14:textId="77777777" w:rsidTr="006A0585">
        <w:trPr>
          <w:trHeight w:val="396"/>
        </w:trPr>
        <w:tc>
          <w:tcPr>
            <w:tcW w:w="2252" w:type="pct"/>
          </w:tcPr>
          <w:p w14:paraId="1C447506" w14:textId="77777777" w:rsidR="003D572C" w:rsidRDefault="003D572C" w:rsidP="00BC283A">
            <w:pPr>
              <w:pStyle w:val="BodyText"/>
            </w:pPr>
            <w:r>
              <w:t>Expenses not requiring appropriation in the Budget year</w:t>
            </w:r>
          </w:p>
        </w:tc>
        <w:tc>
          <w:tcPr>
            <w:tcW w:w="916" w:type="pct"/>
          </w:tcPr>
          <w:p w14:paraId="094A1BEF" w14:textId="77777777" w:rsidR="003D572C" w:rsidRDefault="003D572C" w:rsidP="00BC283A">
            <w:pPr>
              <w:pStyle w:val="BodyText"/>
            </w:pPr>
            <w:r>
              <w:t>99,527</w:t>
            </w:r>
          </w:p>
        </w:tc>
        <w:tc>
          <w:tcPr>
            <w:tcW w:w="916" w:type="pct"/>
          </w:tcPr>
          <w:p w14:paraId="7B1E4E80" w14:textId="77777777" w:rsidR="003D572C" w:rsidRDefault="003D572C" w:rsidP="00BC283A">
            <w:pPr>
              <w:pStyle w:val="BodyText"/>
            </w:pPr>
            <w:r>
              <w:t>185,617</w:t>
            </w:r>
          </w:p>
        </w:tc>
        <w:tc>
          <w:tcPr>
            <w:tcW w:w="916" w:type="pct"/>
          </w:tcPr>
          <w:p w14:paraId="54B68AEC" w14:textId="77777777" w:rsidR="003D572C" w:rsidRDefault="003D572C" w:rsidP="00BC283A">
            <w:pPr>
              <w:pStyle w:val="BodyText"/>
            </w:pPr>
            <w:r>
              <w:t>(86,090)</w:t>
            </w:r>
          </w:p>
        </w:tc>
      </w:tr>
      <w:tr w:rsidR="003D572C" w14:paraId="1E1BB0DD" w14:textId="77777777" w:rsidTr="006A0585">
        <w:trPr>
          <w:trHeight w:val="396"/>
        </w:trPr>
        <w:tc>
          <w:tcPr>
            <w:tcW w:w="2252" w:type="pct"/>
          </w:tcPr>
          <w:p w14:paraId="6041B6DE" w14:textId="77777777" w:rsidR="003D572C" w:rsidRDefault="003D572C" w:rsidP="00BC283A">
            <w:pPr>
              <w:pStyle w:val="BodyText"/>
            </w:pPr>
            <w:r>
              <w:rPr>
                <w:rStyle w:val="Bold"/>
              </w:rPr>
              <w:t>Administered total</w:t>
            </w:r>
          </w:p>
        </w:tc>
        <w:tc>
          <w:tcPr>
            <w:tcW w:w="916" w:type="pct"/>
          </w:tcPr>
          <w:p w14:paraId="541147E0" w14:textId="77777777" w:rsidR="003D572C" w:rsidRDefault="003D572C" w:rsidP="00BC283A">
            <w:pPr>
              <w:pStyle w:val="BodyText"/>
            </w:pPr>
            <w:r>
              <w:rPr>
                <w:rStyle w:val="Bold"/>
              </w:rPr>
              <w:t>2,022,194</w:t>
            </w:r>
          </w:p>
        </w:tc>
        <w:tc>
          <w:tcPr>
            <w:tcW w:w="916" w:type="pct"/>
          </w:tcPr>
          <w:p w14:paraId="35FF456D" w14:textId="77777777" w:rsidR="003D572C" w:rsidRDefault="003D572C" w:rsidP="00BC283A">
            <w:pPr>
              <w:pStyle w:val="BodyText"/>
            </w:pPr>
            <w:r>
              <w:rPr>
                <w:rStyle w:val="Bold"/>
              </w:rPr>
              <w:t>2,230,162</w:t>
            </w:r>
          </w:p>
        </w:tc>
        <w:tc>
          <w:tcPr>
            <w:tcW w:w="916" w:type="pct"/>
          </w:tcPr>
          <w:p w14:paraId="1D173367" w14:textId="77777777" w:rsidR="003D572C" w:rsidRDefault="003D572C" w:rsidP="00BC283A">
            <w:pPr>
              <w:pStyle w:val="BodyText"/>
            </w:pPr>
            <w:r>
              <w:rPr>
                <w:rStyle w:val="Bold"/>
              </w:rPr>
              <w:t>(207,968)</w:t>
            </w:r>
          </w:p>
        </w:tc>
      </w:tr>
      <w:tr w:rsidR="003D572C" w14:paraId="306A7A82" w14:textId="77777777" w:rsidTr="006A0585">
        <w:trPr>
          <w:trHeight w:val="396"/>
        </w:trPr>
        <w:tc>
          <w:tcPr>
            <w:tcW w:w="5000" w:type="pct"/>
            <w:gridSpan w:val="4"/>
          </w:tcPr>
          <w:p w14:paraId="275CDBD6" w14:textId="77777777" w:rsidR="003D572C" w:rsidRDefault="003D572C" w:rsidP="00BC283A">
            <w:pPr>
              <w:pStyle w:val="BodyText"/>
            </w:pPr>
            <w:r>
              <w:t>Departmental expenses</w:t>
            </w:r>
          </w:p>
        </w:tc>
      </w:tr>
      <w:tr w:rsidR="003D572C" w14:paraId="3FD49A31" w14:textId="77777777" w:rsidTr="006A0585">
        <w:trPr>
          <w:trHeight w:val="396"/>
        </w:trPr>
        <w:tc>
          <w:tcPr>
            <w:tcW w:w="2252" w:type="pct"/>
          </w:tcPr>
          <w:p w14:paraId="7FEA97ED" w14:textId="77777777" w:rsidR="003D572C" w:rsidRDefault="003D572C" w:rsidP="00BC283A">
            <w:pPr>
              <w:pStyle w:val="BodyText"/>
            </w:pPr>
            <w:r>
              <w:t>Departmental appropriation</w:t>
            </w:r>
          </w:p>
        </w:tc>
        <w:tc>
          <w:tcPr>
            <w:tcW w:w="916" w:type="pct"/>
          </w:tcPr>
          <w:p w14:paraId="65D362F8" w14:textId="77777777" w:rsidR="003D572C" w:rsidRDefault="003D572C" w:rsidP="00BC283A">
            <w:pPr>
              <w:pStyle w:val="BodyText"/>
            </w:pPr>
            <w:r>
              <w:t>3,049,312</w:t>
            </w:r>
          </w:p>
        </w:tc>
        <w:tc>
          <w:tcPr>
            <w:tcW w:w="916" w:type="pct"/>
          </w:tcPr>
          <w:p w14:paraId="7988B84E" w14:textId="77777777" w:rsidR="003D572C" w:rsidRDefault="003D572C" w:rsidP="00BC283A">
            <w:pPr>
              <w:pStyle w:val="BodyText"/>
            </w:pPr>
            <w:r>
              <w:t>3,043,961</w:t>
            </w:r>
          </w:p>
        </w:tc>
        <w:tc>
          <w:tcPr>
            <w:tcW w:w="916" w:type="pct"/>
          </w:tcPr>
          <w:p w14:paraId="0D137DFA" w14:textId="77777777" w:rsidR="003D572C" w:rsidRDefault="003D572C" w:rsidP="00BC283A">
            <w:pPr>
              <w:pStyle w:val="BodyText"/>
            </w:pPr>
            <w:r>
              <w:t>5,351</w:t>
            </w:r>
          </w:p>
        </w:tc>
      </w:tr>
      <w:tr w:rsidR="003D572C" w14:paraId="7FBC2DC1" w14:textId="77777777" w:rsidTr="006A0585">
        <w:trPr>
          <w:trHeight w:val="396"/>
        </w:trPr>
        <w:tc>
          <w:tcPr>
            <w:tcW w:w="2252" w:type="pct"/>
          </w:tcPr>
          <w:p w14:paraId="5A2C1062" w14:textId="77777777" w:rsidR="003D572C" w:rsidRDefault="003D572C" w:rsidP="00BC283A">
            <w:pPr>
              <w:pStyle w:val="BodyText"/>
            </w:pPr>
            <w:r>
              <w:t>s74 External Revenue</w:t>
            </w:r>
            <w:r>
              <w:rPr>
                <w:vertAlign w:val="superscript"/>
              </w:rPr>
              <w:t>(c)</w:t>
            </w:r>
          </w:p>
        </w:tc>
        <w:tc>
          <w:tcPr>
            <w:tcW w:w="916" w:type="pct"/>
          </w:tcPr>
          <w:p w14:paraId="677D5D7C" w14:textId="77777777" w:rsidR="003D572C" w:rsidRDefault="003D572C" w:rsidP="00BC283A">
            <w:pPr>
              <w:pStyle w:val="BodyText"/>
            </w:pPr>
            <w:r>
              <w:t>71,610</w:t>
            </w:r>
          </w:p>
        </w:tc>
        <w:tc>
          <w:tcPr>
            <w:tcW w:w="916" w:type="pct"/>
          </w:tcPr>
          <w:p w14:paraId="4F784EBD" w14:textId="77777777" w:rsidR="003D572C" w:rsidRDefault="003D572C" w:rsidP="00BC283A">
            <w:pPr>
              <w:pStyle w:val="BodyText"/>
            </w:pPr>
            <w:r>
              <w:t>66,231</w:t>
            </w:r>
          </w:p>
        </w:tc>
        <w:tc>
          <w:tcPr>
            <w:tcW w:w="916" w:type="pct"/>
          </w:tcPr>
          <w:p w14:paraId="557189B1" w14:textId="77777777" w:rsidR="003D572C" w:rsidRDefault="003D572C" w:rsidP="00BC283A">
            <w:pPr>
              <w:pStyle w:val="BodyText"/>
            </w:pPr>
            <w:r>
              <w:t>5,379</w:t>
            </w:r>
          </w:p>
        </w:tc>
      </w:tr>
      <w:tr w:rsidR="003D572C" w14:paraId="23CE6F8A" w14:textId="77777777" w:rsidTr="006A0585">
        <w:trPr>
          <w:trHeight w:val="396"/>
        </w:trPr>
        <w:tc>
          <w:tcPr>
            <w:tcW w:w="2252" w:type="pct"/>
          </w:tcPr>
          <w:p w14:paraId="713438E0" w14:textId="77777777" w:rsidR="003D572C" w:rsidRDefault="003D572C" w:rsidP="00BC283A">
            <w:pPr>
              <w:pStyle w:val="BodyText"/>
            </w:pPr>
            <w:r>
              <w:t>Expenses not requiring appropriation in the Budget year</w:t>
            </w:r>
            <w:r>
              <w:rPr>
                <w:vertAlign w:val="superscript"/>
              </w:rPr>
              <w:t>(d)</w:t>
            </w:r>
          </w:p>
        </w:tc>
        <w:tc>
          <w:tcPr>
            <w:tcW w:w="916" w:type="pct"/>
          </w:tcPr>
          <w:p w14:paraId="7B76DBA3" w14:textId="77777777" w:rsidR="003D572C" w:rsidRDefault="003D572C" w:rsidP="00BC283A">
            <w:pPr>
              <w:pStyle w:val="BodyText"/>
            </w:pPr>
            <w:r>
              <w:t>2,268</w:t>
            </w:r>
          </w:p>
        </w:tc>
        <w:tc>
          <w:tcPr>
            <w:tcW w:w="916" w:type="pct"/>
          </w:tcPr>
          <w:p w14:paraId="19D4FC92" w14:textId="77777777" w:rsidR="003D572C" w:rsidRDefault="003D572C" w:rsidP="00BC283A">
            <w:pPr>
              <w:pStyle w:val="BodyText"/>
            </w:pPr>
            <w:r>
              <w:t>9,715</w:t>
            </w:r>
          </w:p>
        </w:tc>
        <w:tc>
          <w:tcPr>
            <w:tcW w:w="916" w:type="pct"/>
          </w:tcPr>
          <w:p w14:paraId="1AEA265D" w14:textId="77777777" w:rsidR="003D572C" w:rsidRDefault="003D572C" w:rsidP="00BC283A">
            <w:pPr>
              <w:pStyle w:val="BodyText"/>
            </w:pPr>
            <w:r>
              <w:t>(7,447)</w:t>
            </w:r>
          </w:p>
        </w:tc>
      </w:tr>
      <w:tr w:rsidR="003D572C" w14:paraId="1C020130" w14:textId="77777777" w:rsidTr="006A0585">
        <w:trPr>
          <w:trHeight w:val="396"/>
        </w:trPr>
        <w:tc>
          <w:tcPr>
            <w:tcW w:w="2252" w:type="pct"/>
          </w:tcPr>
          <w:p w14:paraId="4199CBFD" w14:textId="77777777" w:rsidR="003D572C" w:rsidRDefault="003D572C" w:rsidP="00BC283A">
            <w:pPr>
              <w:pStyle w:val="BodyText"/>
            </w:pPr>
            <w:r>
              <w:rPr>
                <w:rStyle w:val="Bold"/>
              </w:rPr>
              <w:t>Departmental total</w:t>
            </w:r>
          </w:p>
        </w:tc>
        <w:tc>
          <w:tcPr>
            <w:tcW w:w="916" w:type="pct"/>
          </w:tcPr>
          <w:p w14:paraId="44336DFE" w14:textId="77777777" w:rsidR="003D572C" w:rsidRDefault="003D572C" w:rsidP="00BC283A">
            <w:pPr>
              <w:pStyle w:val="BodyText"/>
            </w:pPr>
            <w:r>
              <w:rPr>
                <w:rStyle w:val="Bold"/>
              </w:rPr>
              <w:t>3,123,190</w:t>
            </w:r>
          </w:p>
        </w:tc>
        <w:tc>
          <w:tcPr>
            <w:tcW w:w="916" w:type="pct"/>
          </w:tcPr>
          <w:p w14:paraId="040F9540" w14:textId="77777777" w:rsidR="003D572C" w:rsidRDefault="003D572C" w:rsidP="00BC283A">
            <w:pPr>
              <w:pStyle w:val="BodyText"/>
            </w:pPr>
            <w:r>
              <w:rPr>
                <w:rStyle w:val="Bold"/>
              </w:rPr>
              <w:t>3,119,907</w:t>
            </w:r>
          </w:p>
        </w:tc>
        <w:tc>
          <w:tcPr>
            <w:tcW w:w="916" w:type="pct"/>
          </w:tcPr>
          <w:p w14:paraId="64DD61E9" w14:textId="77777777" w:rsidR="003D572C" w:rsidRDefault="003D572C" w:rsidP="00BC283A">
            <w:pPr>
              <w:pStyle w:val="BodyText"/>
            </w:pPr>
            <w:r>
              <w:rPr>
                <w:rStyle w:val="Bold"/>
              </w:rPr>
              <w:t>3,283</w:t>
            </w:r>
          </w:p>
        </w:tc>
      </w:tr>
      <w:tr w:rsidR="003D572C" w14:paraId="20FD5941" w14:textId="77777777" w:rsidTr="006A0585">
        <w:trPr>
          <w:trHeight w:val="396"/>
        </w:trPr>
        <w:tc>
          <w:tcPr>
            <w:tcW w:w="2252" w:type="pct"/>
          </w:tcPr>
          <w:p w14:paraId="13F4443D" w14:textId="77777777" w:rsidR="003D572C" w:rsidRDefault="003D572C" w:rsidP="00BC283A">
            <w:pPr>
              <w:pStyle w:val="BodyText"/>
            </w:pPr>
            <w:r>
              <w:rPr>
                <w:rStyle w:val="Bold"/>
              </w:rPr>
              <w:t>Total expenses for Program 1.2</w:t>
            </w:r>
          </w:p>
        </w:tc>
        <w:tc>
          <w:tcPr>
            <w:tcW w:w="916" w:type="pct"/>
          </w:tcPr>
          <w:p w14:paraId="1CEA9BAC" w14:textId="77777777" w:rsidR="003D572C" w:rsidRDefault="003D572C" w:rsidP="00BC283A">
            <w:pPr>
              <w:pStyle w:val="BodyText"/>
            </w:pPr>
            <w:r>
              <w:rPr>
                <w:rStyle w:val="Bold"/>
              </w:rPr>
              <w:t>5,145,384</w:t>
            </w:r>
          </w:p>
        </w:tc>
        <w:tc>
          <w:tcPr>
            <w:tcW w:w="916" w:type="pct"/>
          </w:tcPr>
          <w:p w14:paraId="6F62E235" w14:textId="77777777" w:rsidR="003D572C" w:rsidRDefault="003D572C" w:rsidP="00BC283A">
            <w:pPr>
              <w:pStyle w:val="BodyText"/>
            </w:pPr>
            <w:r>
              <w:rPr>
                <w:rStyle w:val="Bold"/>
              </w:rPr>
              <w:t>5,350,069</w:t>
            </w:r>
          </w:p>
        </w:tc>
        <w:tc>
          <w:tcPr>
            <w:tcW w:w="916" w:type="pct"/>
          </w:tcPr>
          <w:p w14:paraId="3F8D0B75" w14:textId="77777777" w:rsidR="003D572C" w:rsidRDefault="003D572C" w:rsidP="00BC283A">
            <w:pPr>
              <w:pStyle w:val="BodyText"/>
            </w:pPr>
            <w:r>
              <w:rPr>
                <w:rStyle w:val="Bold"/>
              </w:rPr>
              <w:t>(204,685)</w:t>
            </w:r>
          </w:p>
        </w:tc>
      </w:tr>
      <w:tr w:rsidR="003D572C" w14:paraId="209746C7" w14:textId="77777777" w:rsidTr="006A0585">
        <w:trPr>
          <w:trHeight w:val="396"/>
        </w:trPr>
        <w:tc>
          <w:tcPr>
            <w:tcW w:w="5000" w:type="pct"/>
            <w:gridSpan w:val="4"/>
          </w:tcPr>
          <w:p w14:paraId="3255CC9C" w14:textId="77777777" w:rsidR="003D572C" w:rsidRDefault="003D572C" w:rsidP="00BC283A">
            <w:pPr>
              <w:pStyle w:val="BodyText"/>
            </w:pPr>
            <w:r>
              <w:rPr>
                <w:rStyle w:val="Bold"/>
              </w:rPr>
              <w:t>Program 1.3: Technology and Transformation</w:t>
            </w:r>
          </w:p>
        </w:tc>
      </w:tr>
      <w:tr w:rsidR="003D572C" w14:paraId="4C8053B1" w14:textId="77777777" w:rsidTr="006A0585">
        <w:trPr>
          <w:trHeight w:val="396"/>
        </w:trPr>
        <w:tc>
          <w:tcPr>
            <w:tcW w:w="5000" w:type="pct"/>
            <w:gridSpan w:val="4"/>
          </w:tcPr>
          <w:p w14:paraId="66830C6B" w14:textId="77777777" w:rsidR="003D572C" w:rsidRDefault="003D572C" w:rsidP="00BC283A">
            <w:pPr>
              <w:pStyle w:val="BodyText"/>
            </w:pPr>
            <w:r>
              <w:t>Departmental expenses</w:t>
            </w:r>
          </w:p>
        </w:tc>
      </w:tr>
      <w:tr w:rsidR="003D572C" w14:paraId="51F74331" w14:textId="77777777" w:rsidTr="006A0585">
        <w:trPr>
          <w:trHeight w:val="396"/>
        </w:trPr>
        <w:tc>
          <w:tcPr>
            <w:tcW w:w="2252" w:type="pct"/>
          </w:tcPr>
          <w:p w14:paraId="72177993" w14:textId="77777777" w:rsidR="003D572C" w:rsidRDefault="003D572C" w:rsidP="00BC283A">
            <w:pPr>
              <w:pStyle w:val="BodyText"/>
            </w:pPr>
            <w:r>
              <w:lastRenderedPageBreak/>
              <w:t>Departmental appropriation</w:t>
            </w:r>
          </w:p>
        </w:tc>
        <w:tc>
          <w:tcPr>
            <w:tcW w:w="916" w:type="pct"/>
          </w:tcPr>
          <w:p w14:paraId="099FF929" w14:textId="77777777" w:rsidR="003D572C" w:rsidRDefault="003D572C" w:rsidP="00BC283A">
            <w:pPr>
              <w:pStyle w:val="BodyText"/>
            </w:pPr>
            <w:r>
              <w:t>1,125,683</w:t>
            </w:r>
          </w:p>
        </w:tc>
        <w:tc>
          <w:tcPr>
            <w:tcW w:w="916" w:type="pct"/>
          </w:tcPr>
          <w:p w14:paraId="59265E01" w14:textId="77777777" w:rsidR="003D572C" w:rsidRDefault="003D572C" w:rsidP="00BC283A">
            <w:pPr>
              <w:pStyle w:val="BodyText"/>
            </w:pPr>
            <w:r>
              <w:t>1,052,548</w:t>
            </w:r>
          </w:p>
        </w:tc>
        <w:tc>
          <w:tcPr>
            <w:tcW w:w="916" w:type="pct"/>
          </w:tcPr>
          <w:p w14:paraId="2FF12A79" w14:textId="77777777" w:rsidR="003D572C" w:rsidRDefault="003D572C" w:rsidP="00BC283A">
            <w:pPr>
              <w:pStyle w:val="BodyText"/>
            </w:pPr>
            <w:r>
              <w:t>73,135</w:t>
            </w:r>
          </w:p>
        </w:tc>
      </w:tr>
      <w:tr w:rsidR="003D572C" w14:paraId="7A0CCC20" w14:textId="77777777" w:rsidTr="006A0585">
        <w:trPr>
          <w:trHeight w:val="396"/>
        </w:trPr>
        <w:tc>
          <w:tcPr>
            <w:tcW w:w="2252" w:type="pct"/>
          </w:tcPr>
          <w:p w14:paraId="15D98379" w14:textId="77777777" w:rsidR="003D572C" w:rsidRDefault="003D572C" w:rsidP="00BC283A">
            <w:pPr>
              <w:pStyle w:val="BodyText"/>
            </w:pPr>
            <w:r>
              <w:t>s74 External Revenue</w:t>
            </w:r>
            <w:r>
              <w:rPr>
                <w:vertAlign w:val="superscript"/>
              </w:rPr>
              <w:t>(c)</w:t>
            </w:r>
          </w:p>
        </w:tc>
        <w:tc>
          <w:tcPr>
            <w:tcW w:w="916" w:type="pct"/>
          </w:tcPr>
          <w:p w14:paraId="5495762C" w14:textId="77777777" w:rsidR="003D572C" w:rsidRDefault="003D572C" w:rsidP="00BC283A">
            <w:pPr>
              <w:pStyle w:val="BodyText"/>
            </w:pPr>
            <w:r>
              <w:t>53,779</w:t>
            </w:r>
          </w:p>
        </w:tc>
        <w:tc>
          <w:tcPr>
            <w:tcW w:w="916" w:type="pct"/>
          </w:tcPr>
          <w:p w14:paraId="04E35F30" w14:textId="77777777" w:rsidR="003D572C" w:rsidRDefault="003D572C" w:rsidP="00BC283A">
            <w:pPr>
              <w:pStyle w:val="BodyText"/>
            </w:pPr>
            <w:r>
              <w:t>145,535</w:t>
            </w:r>
          </w:p>
        </w:tc>
        <w:tc>
          <w:tcPr>
            <w:tcW w:w="916" w:type="pct"/>
          </w:tcPr>
          <w:p w14:paraId="21C768D1" w14:textId="77777777" w:rsidR="003D572C" w:rsidRDefault="003D572C" w:rsidP="00BC283A">
            <w:pPr>
              <w:pStyle w:val="BodyText"/>
            </w:pPr>
            <w:r>
              <w:t>(91,756)</w:t>
            </w:r>
          </w:p>
        </w:tc>
      </w:tr>
      <w:tr w:rsidR="003D572C" w14:paraId="3991A027" w14:textId="77777777" w:rsidTr="006A0585">
        <w:trPr>
          <w:trHeight w:val="396"/>
        </w:trPr>
        <w:tc>
          <w:tcPr>
            <w:tcW w:w="2252" w:type="pct"/>
          </w:tcPr>
          <w:p w14:paraId="57FFDC4A" w14:textId="77777777" w:rsidR="003D572C" w:rsidRDefault="003D572C" w:rsidP="00BC283A">
            <w:pPr>
              <w:pStyle w:val="BodyText"/>
            </w:pPr>
            <w:r>
              <w:t>Expenses not requiring appropriation in the Budget year</w:t>
            </w:r>
            <w:r>
              <w:rPr>
                <w:vertAlign w:val="superscript"/>
              </w:rPr>
              <w:t>(d)</w:t>
            </w:r>
          </w:p>
        </w:tc>
        <w:tc>
          <w:tcPr>
            <w:tcW w:w="916" w:type="pct"/>
          </w:tcPr>
          <w:p w14:paraId="0DB2D5AF" w14:textId="77777777" w:rsidR="003D572C" w:rsidRDefault="003D572C" w:rsidP="00BC283A">
            <w:pPr>
              <w:pStyle w:val="BodyText"/>
            </w:pPr>
            <w:r>
              <w:t>255,806</w:t>
            </w:r>
          </w:p>
        </w:tc>
        <w:tc>
          <w:tcPr>
            <w:tcW w:w="916" w:type="pct"/>
          </w:tcPr>
          <w:p w14:paraId="20BC430A" w14:textId="77777777" w:rsidR="003D572C" w:rsidRDefault="003D572C" w:rsidP="00BC283A">
            <w:pPr>
              <w:pStyle w:val="BodyText"/>
            </w:pPr>
            <w:r>
              <w:t>325,680</w:t>
            </w:r>
          </w:p>
        </w:tc>
        <w:tc>
          <w:tcPr>
            <w:tcW w:w="916" w:type="pct"/>
          </w:tcPr>
          <w:p w14:paraId="71648D67" w14:textId="77777777" w:rsidR="003D572C" w:rsidRDefault="003D572C" w:rsidP="00BC283A">
            <w:pPr>
              <w:pStyle w:val="BodyText"/>
            </w:pPr>
            <w:r>
              <w:t>(69,874)</w:t>
            </w:r>
          </w:p>
        </w:tc>
      </w:tr>
      <w:tr w:rsidR="003D572C" w14:paraId="3439FA84" w14:textId="77777777" w:rsidTr="006A0585">
        <w:trPr>
          <w:trHeight w:val="396"/>
        </w:trPr>
        <w:tc>
          <w:tcPr>
            <w:tcW w:w="2252" w:type="pct"/>
          </w:tcPr>
          <w:p w14:paraId="22B9DC33" w14:textId="77777777" w:rsidR="003D572C" w:rsidRDefault="003D572C" w:rsidP="00BC283A">
            <w:pPr>
              <w:pStyle w:val="BodyText"/>
            </w:pPr>
            <w:r>
              <w:rPr>
                <w:rStyle w:val="Bold"/>
              </w:rPr>
              <w:t>Departmental total</w:t>
            </w:r>
          </w:p>
        </w:tc>
        <w:tc>
          <w:tcPr>
            <w:tcW w:w="916" w:type="pct"/>
          </w:tcPr>
          <w:p w14:paraId="4F4156CF" w14:textId="77777777" w:rsidR="003D572C" w:rsidRDefault="003D572C" w:rsidP="00BC283A">
            <w:pPr>
              <w:pStyle w:val="BodyText"/>
            </w:pPr>
            <w:r>
              <w:rPr>
                <w:rStyle w:val="Bold"/>
              </w:rPr>
              <w:t>1,435,268</w:t>
            </w:r>
          </w:p>
        </w:tc>
        <w:tc>
          <w:tcPr>
            <w:tcW w:w="916" w:type="pct"/>
          </w:tcPr>
          <w:p w14:paraId="18AC2B94" w14:textId="77777777" w:rsidR="003D572C" w:rsidRDefault="003D572C" w:rsidP="00BC283A">
            <w:pPr>
              <w:pStyle w:val="BodyText"/>
            </w:pPr>
            <w:r>
              <w:rPr>
                <w:rStyle w:val="Bold"/>
              </w:rPr>
              <w:t>1,523,763</w:t>
            </w:r>
          </w:p>
        </w:tc>
        <w:tc>
          <w:tcPr>
            <w:tcW w:w="916" w:type="pct"/>
          </w:tcPr>
          <w:p w14:paraId="20108138" w14:textId="77777777" w:rsidR="003D572C" w:rsidRDefault="003D572C" w:rsidP="00BC283A">
            <w:pPr>
              <w:pStyle w:val="BodyText"/>
            </w:pPr>
            <w:r>
              <w:rPr>
                <w:rStyle w:val="Bold"/>
              </w:rPr>
              <w:t>(88,495)</w:t>
            </w:r>
          </w:p>
        </w:tc>
      </w:tr>
      <w:tr w:rsidR="003D572C" w14:paraId="7DE5B04E" w14:textId="77777777" w:rsidTr="006A0585">
        <w:trPr>
          <w:trHeight w:val="396"/>
        </w:trPr>
        <w:tc>
          <w:tcPr>
            <w:tcW w:w="2252" w:type="pct"/>
          </w:tcPr>
          <w:p w14:paraId="2F4C6422" w14:textId="77777777" w:rsidR="003D572C" w:rsidRDefault="003D572C" w:rsidP="00BC283A">
            <w:pPr>
              <w:pStyle w:val="BodyText"/>
            </w:pPr>
            <w:r>
              <w:rPr>
                <w:rStyle w:val="Bold"/>
              </w:rPr>
              <w:t>Total expenses for Program 1.3</w:t>
            </w:r>
          </w:p>
        </w:tc>
        <w:tc>
          <w:tcPr>
            <w:tcW w:w="916" w:type="pct"/>
          </w:tcPr>
          <w:p w14:paraId="20AA3F73" w14:textId="77777777" w:rsidR="003D572C" w:rsidRDefault="003D572C" w:rsidP="00BC283A">
            <w:pPr>
              <w:pStyle w:val="BodyText"/>
            </w:pPr>
            <w:r>
              <w:rPr>
                <w:rStyle w:val="Bold"/>
              </w:rPr>
              <w:t>1,435,268</w:t>
            </w:r>
          </w:p>
        </w:tc>
        <w:tc>
          <w:tcPr>
            <w:tcW w:w="916" w:type="pct"/>
          </w:tcPr>
          <w:p w14:paraId="3E50E31D" w14:textId="77777777" w:rsidR="003D572C" w:rsidRDefault="003D572C" w:rsidP="00BC283A">
            <w:pPr>
              <w:pStyle w:val="BodyText"/>
            </w:pPr>
            <w:r>
              <w:rPr>
                <w:rStyle w:val="Bold"/>
              </w:rPr>
              <w:t>1,523,763</w:t>
            </w:r>
          </w:p>
        </w:tc>
        <w:tc>
          <w:tcPr>
            <w:tcW w:w="916" w:type="pct"/>
          </w:tcPr>
          <w:p w14:paraId="40259C30" w14:textId="77777777" w:rsidR="003D572C" w:rsidRDefault="003D572C" w:rsidP="00BC283A">
            <w:pPr>
              <w:pStyle w:val="BodyText"/>
            </w:pPr>
            <w:r>
              <w:rPr>
                <w:rStyle w:val="Bold"/>
              </w:rPr>
              <w:t>(88,495)</w:t>
            </w:r>
          </w:p>
        </w:tc>
      </w:tr>
      <w:tr w:rsidR="003D572C" w14:paraId="58E566DD" w14:textId="77777777" w:rsidTr="006A0585">
        <w:trPr>
          <w:trHeight w:val="396"/>
        </w:trPr>
        <w:tc>
          <w:tcPr>
            <w:tcW w:w="5000" w:type="pct"/>
            <w:gridSpan w:val="4"/>
          </w:tcPr>
          <w:p w14:paraId="6FA99C7D" w14:textId="77777777" w:rsidR="003D572C" w:rsidRDefault="003D572C" w:rsidP="00BC283A">
            <w:pPr>
              <w:pStyle w:val="BodyText"/>
            </w:pPr>
            <w:r>
              <w:rPr>
                <w:rStyle w:val="Bold"/>
              </w:rPr>
              <w:t>Outcome 1 Totals by appropriation type</w:t>
            </w:r>
          </w:p>
        </w:tc>
      </w:tr>
      <w:tr w:rsidR="003D572C" w14:paraId="1E2C67A9" w14:textId="77777777" w:rsidTr="006A0585">
        <w:trPr>
          <w:trHeight w:val="396"/>
        </w:trPr>
        <w:tc>
          <w:tcPr>
            <w:tcW w:w="2252" w:type="pct"/>
          </w:tcPr>
          <w:p w14:paraId="73A80513" w14:textId="77777777" w:rsidR="003D572C" w:rsidRDefault="003D572C" w:rsidP="00BC283A">
            <w:pPr>
              <w:pStyle w:val="BodyText"/>
            </w:pPr>
            <w:r>
              <w:t>Administered expenses</w:t>
            </w:r>
          </w:p>
        </w:tc>
        <w:tc>
          <w:tcPr>
            <w:tcW w:w="916" w:type="pct"/>
          </w:tcPr>
          <w:p w14:paraId="0FD78D1C" w14:textId="77777777" w:rsidR="003D572C" w:rsidRDefault="003D572C" w:rsidP="00BC283A">
            <w:pPr>
              <w:pStyle w:val="BodyText"/>
            </w:pPr>
          </w:p>
        </w:tc>
        <w:tc>
          <w:tcPr>
            <w:tcW w:w="916" w:type="pct"/>
          </w:tcPr>
          <w:p w14:paraId="5B4D3187" w14:textId="77777777" w:rsidR="003D572C" w:rsidRDefault="003D572C" w:rsidP="00BC283A">
            <w:pPr>
              <w:pStyle w:val="BodyText"/>
            </w:pPr>
          </w:p>
        </w:tc>
        <w:tc>
          <w:tcPr>
            <w:tcW w:w="916" w:type="pct"/>
          </w:tcPr>
          <w:p w14:paraId="3B71F763" w14:textId="77777777" w:rsidR="003D572C" w:rsidRDefault="003D572C" w:rsidP="00BC283A">
            <w:pPr>
              <w:pStyle w:val="BodyText"/>
            </w:pPr>
          </w:p>
        </w:tc>
      </w:tr>
      <w:tr w:rsidR="003D572C" w14:paraId="702CE362" w14:textId="77777777" w:rsidTr="006A0585">
        <w:trPr>
          <w:trHeight w:val="396"/>
        </w:trPr>
        <w:tc>
          <w:tcPr>
            <w:tcW w:w="2252" w:type="pct"/>
          </w:tcPr>
          <w:p w14:paraId="289177F1" w14:textId="77777777" w:rsidR="003D572C" w:rsidRDefault="003D572C" w:rsidP="00BC283A">
            <w:pPr>
              <w:pStyle w:val="BodyText"/>
            </w:pPr>
            <w:r>
              <w:t xml:space="preserve">Ordinary annual services </w:t>
            </w:r>
            <w:r>
              <w:rPr>
                <w:rStyle w:val="Italic"/>
              </w:rPr>
              <w:t>(Appropriation Act No. 1 &amp; 3)</w:t>
            </w:r>
          </w:p>
        </w:tc>
        <w:tc>
          <w:tcPr>
            <w:tcW w:w="916" w:type="pct"/>
          </w:tcPr>
          <w:p w14:paraId="6FB31F35" w14:textId="77777777" w:rsidR="003D572C" w:rsidRDefault="003D572C" w:rsidP="00BC283A">
            <w:pPr>
              <w:pStyle w:val="BodyText"/>
            </w:pPr>
            <w:r>
              <w:t>976</w:t>
            </w:r>
          </w:p>
        </w:tc>
        <w:tc>
          <w:tcPr>
            <w:tcW w:w="916" w:type="pct"/>
          </w:tcPr>
          <w:p w14:paraId="45C1191B" w14:textId="77777777" w:rsidR="003D572C" w:rsidRDefault="003D572C" w:rsidP="00BC283A">
            <w:pPr>
              <w:pStyle w:val="BodyText"/>
            </w:pPr>
            <w:r>
              <w:t>949</w:t>
            </w:r>
          </w:p>
        </w:tc>
        <w:tc>
          <w:tcPr>
            <w:tcW w:w="916" w:type="pct"/>
          </w:tcPr>
          <w:p w14:paraId="1BED0D88" w14:textId="77777777" w:rsidR="003D572C" w:rsidRDefault="003D572C" w:rsidP="00BC283A">
            <w:pPr>
              <w:pStyle w:val="BodyText"/>
            </w:pPr>
            <w:r>
              <w:t>27</w:t>
            </w:r>
          </w:p>
        </w:tc>
      </w:tr>
      <w:tr w:rsidR="003D572C" w14:paraId="1D95D996" w14:textId="77777777" w:rsidTr="006A0585">
        <w:trPr>
          <w:trHeight w:val="396"/>
        </w:trPr>
        <w:tc>
          <w:tcPr>
            <w:tcW w:w="2252" w:type="pct"/>
          </w:tcPr>
          <w:p w14:paraId="051C23A9" w14:textId="77777777" w:rsidR="003D572C" w:rsidRDefault="003D572C" w:rsidP="00BC283A">
            <w:pPr>
              <w:pStyle w:val="BodyText"/>
            </w:pPr>
            <w:r>
              <w:t>Special accounts</w:t>
            </w:r>
          </w:p>
        </w:tc>
        <w:tc>
          <w:tcPr>
            <w:tcW w:w="916" w:type="pct"/>
          </w:tcPr>
          <w:p w14:paraId="2390C404" w14:textId="77777777" w:rsidR="003D572C" w:rsidRDefault="003D572C" w:rsidP="00BC283A">
            <w:pPr>
              <w:pStyle w:val="BodyText"/>
            </w:pPr>
            <w:r>
              <w:t>1,921,691</w:t>
            </w:r>
          </w:p>
        </w:tc>
        <w:tc>
          <w:tcPr>
            <w:tcW w:w="916" w:type="pct"/>
          </w:tcPr>
          <w:p w14:paraId="03BC9B15" w14:textId="77777777" w:rsidR="003D572C" w:rsidRDefault="003D572C" w:rsidP="00BC283A">
            <w:pPr>
              <w:pStyle w:val="BodyText"/>
            </w:pPr>
            <w:r>
              <w:t>2,043,596</w:t>
            </w:r>
          </w:p>
        </w:tc>
        <w:tc>
          <w:tcPr>
            <w:tcW w:w="916" w:type="pct"/>
          </w:tcPr>
          <w:p w14:paraId="75962EFF" w14:textId="77777777" w:rsidR="003D572C" w:rsidRDefault="003D572C" w:rsidP="00BC283A">
            <w:pPr>
              <w:pStyle w:val="BodyText"/>
            </w:pPr>
            <w:r>
              <w:t>(121,905)</w:t>
            </w:r>
          </w:p>
        </w:tc>
      </w:tr>
      <w:tr w:rsidR="003D572C" w14:paraId="4AD37FB3" w14:textId="77777777" w:rsidTr="006A0585">
        <w:trPr>
          <w:trHeight w:val="396"/>
        </w:trPr>
        <w:tc>
          <w:tcPr>
            <w:tcW w:w="2252" w:type="pct"/>
          </w:tcPr>
          <w:p w14:paraId="18C9072B" w14:textId="77777777" w:rsidR="003D572C" w:rsidRDefault="003D572C" w:rsidP="00BC283A">
            <w:pPr>
              <w:pStyle w:val="BodyText"/>
            </w:pPr>
            <w:r>
              <w:t>Expenses not requiring appropriation in the Budget year</w:t>
            </w:r>
          </w:p>
        </w:tc>
        <w:tc>
          <w:tcPr>
            <w:tcW w:w="916" w:type="pct"/>
          </w:tcPr>
          <w:p w14:paraId="7324AE85" w14:textId="77777777" w:rsidR="003D572C" w:rsidRDefault="003D572C" w:rsidP="00BC283A">
            <w:pPr>
              <w:pStyle w:val="BodyText"/>
            </w:pPr>
            <w:r>
              <w:t>99,527</w:t>
            </w:r>
          </w:p>
        </w:tc>
        <w:tc>
          <w:tcPr>
            <w:tcW w:w="916" w:type="pct"/>
          </w:tcPr>
          <w:p w14:paraId="61482378" w14:textId="77777777" w:rsidR="003D572C" w:rsidRDefault="003D572C" w:rsidP="00BC283A">
            <w:pPr>
              <w:pStyle w:val="BodyText"/>
            </w:pPr>
            <w:r>
              <w:t>185,617</w:t>
            </w:r>
          </w:p>
        </w:tc>
        <w:tc>
          <w:tcPr>
            <w:tcW w:w="916" w:type="pct"/>
          </w:tcPr>
          <w:p w14:paraId="278595E0" w14:textId="77777777" w:rsidR="003D572C" w:rsidRDefault="003D572C" w:rsidP="00BC283A">
            <w:pPr>
              <w:pStyle w:val="BodyText"/>
            </w:pPr>
            <w:r>
              <w:t>(86,090)</w:t>
            </w:r>
          </w:p>
        </w:tc>
      </w:tr>
      <w:tr w:rsidR="003D572C" w14:paraId="07D9828D" w14:textId="77777777" w:rsidTr="006A0585">
        <w:trPr>
          <w:trHeight w:val="396"/>
        </w:trPr>
        <w:tc>
          <w:tcPr>
            <w:tcW w:w="2252" w:type="pct"/>
          </w:tcPr>
          <w:p w14:paraId="2ED6E140" w14:textId="77777777" w:rsidR="003D572C" w:rsidRDefault="003D572C" w:rsidP="00BC283A">
            <w:pPr>
              <w:pStyle w:val="BodyText"/>
            </w:pPr>
            <w:r>
              <w:rPr>
                <w:rStyle w:val="Bold"/>
              </w:rPr>
              <w:t>Administered total</w:t>
            </w:r>
          </w:p>
        </w:tc>
        <w:tc>
          <w:tcPr>
            <w:tcW w:w="916" w:type="pct"/>
          </w:tcPr>
          <w:p w14:paraId="048C2B52" w14:textId="77777777" w:rsidR="003D572C" w:rsidRDefault="003D572C" w:rsidP="00BC283A">
            <w:pPr>
              <w:pStyle w:val="BodyText"/>
            </w:pPr>
            <w:r>
              <w:rPr>
                <w:rStyle w:val="Bold"/>
              </w:rPr>
              <w:t>2,022,194</w:t>
            </w:r>
          </w:p>
        </w:tc>
        <w:tc>
          <w:tcPr>
            <w:tcW w:w="916" w:type="pct"/>
          </w:tcPr>
          <w:p w14:paraId="10669ED1" w14:textId="77777777" w:rsidR="003D572C" w:rsidRDefault="003D572C" w:rsidP="00BC283A">
            <w:pPr>
              <w:pStyle w:val="BodyText"/>
            </w:pPr>
            <w:r>
              <w:rPr>
                <w:rStyle w:val="Bold"/>
              </w:rPr>
              <w:t>2,230,162</w:t>
            </w:r>
          </w:p>
        </w:tc>
        <w:tc>
          <w:tcPr>
            <w:tcW w:w="916" w:type="pct"/>
          </w:tcPr>
          <w:p w14:paraId="4BE769FA" w14:textId="77777777" w:rsidR="003D572C" w:rsidRDefault="003D572C" w:rsidP="00BC283A">
            <w:pPr>
              <w:pStyle w:val="BodyText"/>
            </w:pPr>
            <w:r>
              <w:rPr>
                <w:rStyle w:val="Bold"/>
              </w:rPr>
              <w:t>(207,968)</w:t>
            </w:r>
          </w:p>
        </w:tc>
      </w:tr>
      <w:tr w:rsidR="003D572C" w14:paraId="5AA8F271" w14:textId="77777777" w:rsidTr="006A0585">
        <w:trPr>
          <w:trHeight w:val="396"/>
        </w:trPr>
        <w:tc>
          <w:tcPr>
            <w:tcW w:w="2252" w:type="pct"/>
          </w:tcPr>
          <w:p w14:paraId="3E720FD3" w14:textId="77777777" w:rsidR="003D572C" w:rsidRDefault="003D572C" w:rsidP="00BC283A">
            <w:pPr>
              <w:pStyle w:val="BodyText"/>
            </w:pPr>
            <w:r>
              <w:t>Departmental expenses</w:t>
            </w:r>
          </w:p>
        </w:tc>
        <w:tc>
          <w:tcPr>
            <w:tcW w:w="916" w:type="pct"/>
          </w:tcPr>
          <w:p w14:paraId="38D5D8C3" w14:textId="77777777" w:rsidR="003D572C" w:rsidRDefault="003D572C" w:rsidP="00BC283A">
            <w:pPr>
              <w:pStyle w:val="BodyText"/>
            </w:pPr>
          </w:p>
        </w:tc>
        <w:tc>
          <w:tcPr>
            <w:tcW w:w="916" w:type="pct"/>
          </w:tcPr>
          <w:p w14:paraId="7EE972C6" w14:textId="77777777" w:rsidR="003D572C" w:rsidRDefault="003D572C" w:rsidP="00BC283A">
            <w:pPr>
              <w:pStyle w:val="BodyText"/>
            </w:pPr>
          </w:p>
        </w:tc>
        <w:tc>
          <w:tcPr>
            <w:tcW w:w="916" w:type="pct"/>
          </w:tcPr>
          <w:p w14:paraId="5CE51023" w14:textId="77777777" w:rsidR="003D572C" w:rsidRDefault="003D572C" w:rsidP="00BC283A">
            <w:pPr>
              <w:pStyle w:val="BodyText"/>
            </w:pPr>
          </w:p>
        </w:tc>
      </w:tr>
      <w:tr w:rsidR="003D572C" w14:paraId="49C2081E" w14:textId="77777777" w:rsidTr="006A0585">
        <w:trPr>
          <w:trHeight w:val="396"/>
        </w:trPr>
        <w:tc>
          <w:tcPr>
            <w:tcW w:w="2252" w:type="pct"/>
          </w:tcPr>
          <w:p w14:paraId="1E69D030" w14:textId="77777777" w:rsidR="003D572C" w:rsidRDefault="003D572C" w:rsidP="00BC283A">
            <w:pPr>
              <w:pStyle w:val="BodyText"/>
            </w:pPr>
            <w:r>
              <w:t>Departmental appropriation</w:t>
            </w:r>
          </w:p>
        </w:tc>
        <w:tc>
          <w:tcPr>
            <w:tcW w:w="916" w:type="pct"/>
          </w:tcPr>
          <w:p w14:paraId="5C6493EF" w14:textId="77777777" w:rsidR="003D572C" w:rsidRDefault="003D572C" w:rsidP="00BC283A">
            <w:pPr>
              <w:pStyle w:val="BodyText"/>
            </w:pPr>
            <w:r>
              <w:t>4,916,681</w:t>
            </w:r>
          </w:p>
        </w:tc>
        <w:tc>
          <w:tcPr>
            <w:tcW w:w="916" w:type="pct"/>
          </w:tcPr>
          <w:p w14:paraId="198C1124" w14:textId="77777777" w:rsidR="003D572C" w:rsidRDefault="003D572C" w:rsidP="00BC283A">
            <w:pPr>
              <w:pStyle w:val="BodyText"/>
            </w:pPr>
            <w:r>
              <w:t>4,865,522</w:t>
            </w:r>
          </w:p>
        </w:tc>
        <w:tc>
          <w:tcPr>
            <w:tcW w:w="916" w:type="pct"/>
          </w:tcPr>
          <w:p w14:paraId="2D7A5956" w14:textId="77777777" w:rsidR="003D572C" w:rsidRDefault="003D572C" w:rsidP="00BC283A">
            <w:pPr>
              <w:pStyle w:val="BodyText"/>
            </w:pPr>
            <w:r>
              <w:t>51,159</w:t>
            </w:r>
          </w:p>
        </w:tc>
      </w:tr>
      <w:tr w:rsidR="003D572C" w14:paraId="2D735BE4" w14:textId="77777777" w:rsidTr="006A0585">
        <w:trPr>
          <w:trHeight w:val="396"/>
        </w:trPr>
        <w:tc>
          <w:tcPr>
            <w:tcW w:w="2252" w:type="pct"/>
          </w:tcPr>
          <w:p w14:paraId="33BE3281" w14:textId="77777777" w:rsidR="003D572C" w:rsidRDefault="003D572C" w:rsidP="00BC283A">
            <w:pPr>
              <w:pStyle w:val="BodyText"/>
            </w:pPr>
            <w:r>
              <w:t>s74 External Revenue</w:t>
            </w:r>
            <w:r>
              <w:rPr>
                <w:vertAlign w:val="superscript"/>
              </w:rPr>
              <w:t>(c)</w:t>
            </w:r>
          </w:p>
        </w:tc>
        <w:tc>
          <w:tcPr>
            <w:tcW w:w="916" w:type="pct"/>
          </w:tcPr>
          <w:p w14:paraId="22A43CE8" w14:textId="77777777" w:rsidR="003D572C" w:rsidRDefault="003D572C" w:rsidP="00BC283A">
            <w:pPr>
              <w:pStyle w:val="BodyText"/>
            </w:pPr>
            <w:r>
              <w:t>148,163</w:t>
            </w:r>
          </w:p>
        </w:tc>
        <w:tc>
          <w:tcPr>
            <w:tcW w:w="916" w:type="pct"/>
          </w:tcPr>
          <w:p w14:paraId="11C1530C" w14:textId="77777777" w:rsidR="003D572C" w:rsidRDefault="003D572C" w:rsidP="00BC283A">
            <w:pPr>
              <w:pStyle w:val="BodyText"/>
            </w:pPr>
            <w:r>
              <w:t>247,913</w:t>
            </w:r>
          </w:p>
        </w:tc>
        <w:tc>
          <w:tcPr>
            <w:tcW w:w="916" w:type="pct"/>
          </w:tcPr>
          <w:p w14:paraId="409BA0C4" w14:textId="77777777" w:rsidR="003D572C" w:rsidRDefault="003D572C" w:rsidP="00BC283A">
            <w:pPr>
              <w:pStyle w:val="BodyText"/>
            </w:pPr>
            <w:r>
              <w:t>(99,750)</w:t>
            </w:r>
          </w:p>
        </w:tc>
      </w:tr>
      <w:tr w:rsidR="003D572C" w14:paraId="363166A2" w14:textId="77777777" w:rsidTr="006A0585">
        <w:trPr>
          <w:trHeight w:val="396"/>
        </w:trPr>
        <w:tc>
          <w:tcPr>
            <w:tcW w:w="2252" w:type="pct"/>
          </w:tcPr>
          <w:p w14:paraId="3D9907C1" w14:textId="77777777" w:rsidR="003D572C" w:rsidRDefault="003D572C" w:rsidP="00BC283A">
            <w:pPr>
              <w:pStyle w:val="BodyText"/>
            </w:pPr>
            <w:r>
              <w:t>Expenses not requiring appropriation in the Budget year</w:t>
            </w:r>
            <w:r>
              <w:rPr>
                <w:vertAlign w:val="superscript"/>
              </w:rPr>
              <w:t>(d)</w:t>
            </w:r>
          </w:p>
        </w:tc>
        <w:tc>
          <w:tcPr>
            <w:tcW w:w="916" w:type="pct"/>
          </w:tcPr>
          <w:p w14:paraId="32CB4D5B" w14:textId="77777777" w:rsidR="003D572C" w:rsidRDefault="003D572C" w:rsidP="00BC283A">
            <w:pPr>
              <w:pStyle w:val="BodyText"/>
            </w:pPr>
            <w:r>
              <w:t>656,503</w:t>
            </w:r>
          </w:p>
        </w:tc>
        <w:tc>
          <w:tcPr>
            <w:tcW w:w="916" w:type="pct"/>
          </w:tcPr>
          <w:p w14:paraId="3C637885" w14:textId="77777777" w:rsidR="003D572C" w:rsidRDefault="003D572C" w:rsidP="00BC283A">
            <w:pPr>
              <w:pStyle w:val="BodyText"/>
            </w:pPr>
            <w:r>
              <w:t>821,219</w:t>
            </w:r>
          </w:p>
        </w:tc>
        <w:tc>
          <w:tcPr>
            <w:tcW w:w="916" w:type="pct"/>
          </w:tcPr>
          <w:p w14:paraId="4F1365B3" w14:textId="77777777" w:rsidR="003D572C" w:rsidRDefault="003D572C" w:rsidP="00BC283A">
            <w:pPr>
              <w:pStyle w:val="BodyText"/>
            </w:pPr>
            <w:r>
              <w:t>(164,716)</w:t>
            </w:r>
          </w:p>
        </w:tc>
      </w:tr>
      <w:tr w:rsidR="003D572C" w14:paraId="0B9F7796" w14:textId="77777777" w:rsidTr="006A0585">
        <w:trPr>
          <w:trHeight w:val="396"/>
        </w:trPr>
        <w:tc>
          <w:tcPr>
            <w:tcW w:w="2252" w:type="pct"/>
          </w:tcPr>
          <w:p w14:paraId="203B3031" w14:textId="77777777" w:rsidR="003D572C" w:rsidRDefault="003D572C" w:rsidP="00BC283A">
            <w:pPr>
              <w:pStyle w:val="BodyText"/>
            </w:pPr>
            <w:r>
              <w:rPr>
                <w:rStyle w:val="Bold"/>
              </w:rPr>
              <w:t>Departmental total</w:t>
            </w:r>
          </w:p>
        </w:tc>
        <w:tc>
          <w:tcPr>
            <w:tcW w:w="916" w:type="pct"/>
          </w:tcPr>
          <w:p w14:paraId="19B48B64" w14:textId="77777777" w:rsidR="003D572C" w:rsidRDefault="003D572C" w:rsidP="00BC283A">
            <w:pPr>
              <w:pStyle w:val="BodyText"/>
            </w:pPr>
            <w:r>
              <w:rPr>
                <w:rStyle w:val="Bold"/>
              </w:rPr>
              <w:t>5,721,347</w:t>
            </w:r>
          </w:p>
        </w:tc>
        <w:tc>
          <w:tcPr>
            <w:tcW w:w="916" w:type="pct"/>
          </w:tcPr>
          <w:p w14:paraId="3E5428A9" w14:textId="77777777" w:rsidR="003D572C" w:rsidRDefault="003D572C" w:rsidP="00BC283A">
            <w:pPr>
              <w:pStyle w:val="BodyText"/>
            </w:pPr>
            <w:r>
              <w:rPr>
                <w:rStyle w:val="Bold"/>
              </w:rPr>
              <w:t>5,934,654</w:t>
            </w:r>
          </w:p>
        </w:tc>
        <w:tc>
          <w:tcPr>
            <w:tcW w:w="916" w:type="pct"/>
          </w:tcPr>
          <w:p w14:paraId="3DA8B11D" w14:textId="77777777" w:rsidR="003D572C" w:rsidRDefault="003D572C" w:rsidP="00BC283A">
            <w:pPr>
              <w:pStyle w:val="BodyText"/>
            </w:pPr>
            <w:r>
              <w:rPr>
                <w:rStyle w:val="Bold"/>
              </w:rPr>
              <w:t>(213,307)</w:t>
            </w:r>
          </w:p>
        </w:tc>
      </w:tr>
      <w:tr w:rsidR="003D572C" w14:paraId="398A9C80" w14:textId="77777777" w:rsidTr="006A0585">
        <w:trPr>
          <w:trHeight w:val="396"/>
        </w:trPr>
        <w:tc>
          <w:tcPr>
            <w:tcW w:w="2252" w:type="pct"/>
          </w:tcPr>
          <w:p w14:paraId="7FBB64FE" w14:textId="77777777" w:rsidR="003D572C" w:rsidRDefault="003D572C" w:rsidP="00BC283A">
            <w:pPr>
              <w:pStyle w:val="BodyText"/>
            </w:pPr>
            <w:r>
              <w:rPr>
                <w:rStyle w:val="Bold"/>
              </w:rPr>
              <w:t>Total expenses for Outcome 1</w:t>
            </w:r>
          </w:p>
        </w:tc>
        <w:tc>
          <w:tcPr>
            <w:tcW w:w="916" w:type="pct"/>
          </w:tcPr>
          <w:p w14:paraId="531E6A9E" w14:textId="77777777" w:rsidR="003D572C" w:rsidRDefault="003D572C" w:rsidP="00BC283A">
            <w:pPr>
              <w:pStyle w:val="BodyText"/>
            </w:pPr>
            <w:r>
              <w:rPr>
                <w:rStyle w:val="Bold"/>
              </w:rPr>
              <w:t>7,743,541</w:t>
            </w:r>
          </w:p>
        </w:tc>
        <w:tc>
          <w:tcPr>
            <w:tcW w:w="916" w:type="pct"/>
          </w:tcPr>
          <w:p w14:paraId="50ED2376" w14:textId="77777777" w:rsidR="003D572C" w:rsidRDefault="003D572C" w:rsidP="00BC283A">
            <w:pPr>
              <w:pStyle w:val="BodyText"/>
            </w:pPr>
            <w:r>
              <w:rPr>
                <w:rStyle w:val="Bold"/>
              </w:rPr>
              <w:t>8,164,816</w:t>
            </w:r>
          </w:p>
        </w:tc>
        <w:tc>
          <w:tcPr>
            <w:tcW w:w="916" w:type="pct"/>
          </w:tcPr>
          <w:p w14:paraId="34764D92" w14:textId="77777777" w:rsidR="003D572C" w:rsidRDefault="003D572C" w:rsidP="00BC283A">
            <w:pPr>
              <w:pStyle w:val="BodyText"/>
            </w:pPr>
            <w:r>
              <w:rPr>
                <w:rStyle w:val="Bold"/>
              </w:rPr>
              <w:t>(421,275)</w:t>
            </w:r>
          </w:p>
        </w:tc>
      </w:tr>
      <w:tr w:rsidR="003D572C" w14:paraId="262A2D7F" w14:textId="77777777" w:rsidTr="006A0585">
        <w:trPr>
          <w:trHeight w:val="396"/>
        </w:trPr>
        <w:tc>
          <w:tcPr>
            <w:tcW w:w="2252" w:type="pct"/>
          </w:tcPr>
          <w:p w14:paraId="15A2B8C3" w14:textId="77777777" w:rsidR="003D572C" w:rsidRDefault="003D572C" w:rsidP="00BC283A">
            <w:pPr>
              <w:pStyle w:val="BodyText"/>
            </w:pPr>
          </w:p>
        </w:tc>
        <w:tc>
          <w:tcPr>
            <w:tcW w:w="916" w:type="pct"/>
          </w:tcPr>
          <w:p w14:paraId="1E96D7A6" w14:textId="77777777" w:rsidR="003D572C" w:rsidRDefault="003D572C" w:rsidP="00BC283A">
            <w:pPr>
              <w:pStyle w:val="BodyText"/>
            </w:pPr>
            <w:r>
              <w:rPr>
                <w:rStyle w:val="Bold"/>
              </w:rPr>
              <w:t>Budget</w:t>
            </w:r>
            <w:r>
              <w:rPr>
                <w:rStyle w:val="Bold"/>
                <w:vertAlign w:val="superscript"/>
              </w:rPr>
              <w:t>(a)</w:t>
            </w:r>
            <w:r>
              <w:rPr>
                <w:rStyle w:val="Bold"/>
              </w:rPr>
              <w:t xml:space="preserve"> </w:t>
            </w:r>
          </w:p>
        </w:tc>
        <w:tc>
          <w:tcPr>
            <w:tcW w:w="916" w:type="pct"/>
          </w:tcPr>
          <w:p w14:paraId="1BDBC7BC" w14:textId="77777777" w:rsidR="003D572C" w:rsidRDefault="003D572C" w:rsidP="00BC283A">
            <w:pPr>
              <w:pStyle w:val="BodyText"/>
            </w:pPr>
            <w:r>
              <w:rPr>
                <w:rStyle w:val="Bold"/>
              </w:rPr>
              <w:t>Actual</w:t>
            </w:r>
          </w:p>
        </w:tc>
        <w:tc>
          <w:tcPr>
            <w:tcW w:w="916" w:type="pct"/>
          </w:tcPr>
          <w:p w14:paraId="598A3543" w14:textId="77777777" w:rsidR="003D572C" w:rsidRDefault="003D572C" w:rsidP="00BC283A">
            <w:pPr>
              <w:pStyle w:val="BodyText"/>
            </w:pPr>
            <w:r>
              <w:rPr>
                <w:rStyle w:val="Bold"/>
              </w:rPr>
              <w:t>Variation</w:t>
            </w:r>
          </w:p>
        </w:tc>
      </w:tr>
      <w:tr w:rsidR="003D572C" w14:paraId="7D492B34" w14:textId="77777777" w:rsidTr="006A0585">
        <w:trPr>
          <w:trHeight w:val="396"/>
        </w:trPr>
        <w:tc>
          <w:tcPr>
            <w:tcW w:w="2252" w:type="pct"/>
          </w:tcPr>
          <w:p w14:paraId="3B203907" w14:textId="77777777" w:rsidR="003D572C" w:rsidRDefault="003D572C" w:rsidP="00BC283A">
            <w:pPr>
              <w:pStyle w:val="BodyText"/>
            </w:pPr>
            <w:r>
              <w:rPr>
                <w:rStyle w:val="Bold"/>
              </w:rPr>
              <w:lastRenderedPageBreak/>
              <w:t>Average Staffing Level (number)</w:t>
            </w:r>
          </w:p>
        </w:tc>
        <w:tc>
          <w:tcPr>
            <w:tcW w:w="916" w:type="pct"/>
          </w:tcPr>
          <w:p w14:paraId="5E389DDA" w14:textId="77777777" w:rsidR="003D572C" w:rsidRDefault="003D572C" w:rsidP="00BC283A">
            <w:pPr>
              <w:pStyle w:val="BodyText"/>
            </w:pPr>
            <w:r>
              <w:rPr>
                <w:rStyle w:val="Bold"/>
              </w:rPr>
              <w:t>30,236</w:t>
            </w:r>
          </w:p>
        </w:tc>
        <w:tc>
          <w:tcPr>
            <w:tcW w:w="916" w:type="pct"/>
          </w:tcPr>
          <w:p w14:paraId="3D0CAC02" w14:textId="77777777" w:rsidR="003D572C" w:rsidRDefault="003D572C" w:rsidP="00BC283A">
            <w:pPr>
              <w:pStyle w:val="BodyText"/>
            </w:pPr>
            <w:r>
              <w:rPr>
                <w:rStyle w:val="Bold"/>
              </w:rPr>
              <w:t>31,442</w:t>
            </w:r>
          </w:p>
        </w:tc>
        <w:tc>
          <w:tcPr>
            <w:tcW w:w="916" w:type="pct"/>
          </w:tcPr>
          <w:p w14:paraId="2A2F8D36" w14:textId="77777777" w:rsidR="003D572C" w:rsidRDefault="003D572C" w:rsidP="00BC283A">
            <w:pPr>
              <w:pStyle w:val="BodyText"/>
            </w:pPr>
            <w:r>
              <w:rPr>
                <w:rStyle w:val="Bold"/>
              </w:rPr>
              <w:t>(1,206)</w:t>
            </w:r>
          </w:p>
        </w:tc>
      </w:tr>
    </w:tbl>
    <w:p w14:paraId="7DAA66A4" w14:textId="097DE02E" w:rsidR="003D572C" w:rsidRDefault="003D572C" w:rsidP="002A1407">
      <w:pPr>
        <w:pStyle w:val="ProductCode"/>
      </w:pPr>
      <w:r>
        <w:t>(a)</w:t>
      </w:r>
      <w:r w:rsidR="002A1407">
        <w:t xml:space="preserve"> </w:t>
      </w:r>
      <w:r>
        <w:t>Budget reported in the 2024–25 Portfolio Budget Statements published in May 2024.</w:t>
      </w:r>
    </w:p>
    <w:p w14:paraId="0D3099FE" w14:textId="5DAC0773" w:rsidR="003D572C" w:rsidRDefault="003D572C" w:rsidP="002A1407">
      <w:pPr>
        <w:pStyle w:val="ProductCode"/>
      </w:pPr>
      <w:r>
        <w:t>(b)</w:t>
      </w:r>
      <w:r w:rsidR="002A1407">
        <w:t xml:space="preserve"> </w:t>
      </w:r>
      <w:r>
        <w:t>Actual expenses reported consistent with the 2024–25 Financial Statements.</w:t>
      </w:r>
    </w:p>
    <w:p w14:paraId="1C9054DB" w14:textId="3638335C" w:rsidR="003D572C" w:rsidRDefault="003D572C" w:rsidP="002A1407">
      <w:pPr>
        <w:pStyle w:val="ProductCode"/>
      </w:pPr>
      <w:r>
        <w:t>(c)</w:t>
      </w:r>
      <w:r w:rsidR="002A1407">
        <w:t xml:space="preserve"> </w:t>
      </w:r>
      <w:r>
        <w:t>Estimated expenses incurred in relation to receipts retained under section 74 of the PGPA Act.</w:t>
      </w:r>
    </w:p>
    <w:p w14:paraId="68141625" w14:textId="02E5B33A" w:rsidR="003D572C" w:rsidRDefault="003D572C" w:rsidP="002A1407">
      <w:pPr>
        <w:pStyle w:val="ProductCode"/>
      </w:pPr>
      <w:r>
        <w:t>(d)</w:t>
      </w:r>
      <w:r w:rsidR="002A1407">
        <w:t xml:space="preserve"> </w:t>
      </w:r>
      <w:r>
        <w:rPr>
          <w:spacing w:val="-3"/>
        </w:rPr>
        <w:t>Expenses not requiring appropriation are made up of depreciation/amortisation, resources received free of charge, write-down and impairment of assets and non-cash adjustments to make-good provisions.</w:t>
      </w:r>
    </w:p>
    <w:p w14:paraId="65A2794F" w14:textId="77777777" w:rsidR="003D572C" w:rsidRDefault="003D572C" w:rsidP="003D572C">
      <w:pPr>
        <w:pStyle w:val="Heading1"/>
      </w:pPr>
      <w:bookmarkStart w:id="62" w:name="_Toc210815441"/>
      <w:r>
        <w:t>9.4 Procurement and consultancy</w:t>
      </w:r>
      <w:bookmarkEnd w:id="62"/>
    </w:p>
    <w:p w14:paraId="2514ACCF" w14:textId="77777777" w:rsidR="003D572C" w:rsidRDefault="003D572C" w:rsidP="003D572C">
      <w:pPr>
        <w:pStyle w:val="BodyText"/>
      </w:pPr>
      <w:r>
        <w:t xml:space="preserve">The agency’s Accountable Authority Instructions are an important element of our control framework. They give practical effect to matters in the PGPA Act framework, including procurement and other key requirements for agency officials. We periodically review our instructions to ensure they remain aligned with the PGPA Act and other requirements and that they reflect best practice. </w:t>
      </w:r>
    </w:p>
    <w:p w14:paraId="25364443" w14:textId="77777777" w:rsidR="003D572C" w:rsidRDefault="003D572C" w:rsidP="003D572C">
      <w:pPr>
        <w:pStyle w:val="Heading2"/>
      </w:pPr>
      <w:r>
        <w:t>Consultancy contracts</w:t>
      </w:r>
    </w:p>
    <w:p w14:paraId="2DE5879F" w14:textId="77777777" w:rsidR="003D572C" w:rsidRDefault="003D572C" w:rsidP="003D572C">
      <w:pPr>
        <w:pStyle w:val="BodyText"/>
      </w:pPr>
      <w:r>
        <w:t xml:space="preserve">We engage consultants to provide specialist professional services, independent research or assessment, and necessary skills that are otherwise unavailable in the agency. Our need for consultants is determined by requirements at a point in time and can vary significantly from year to year. </w:t>
      </w:r>
    </w:p>
    <w:p w14:paraId="5990AAF6" w14:textId="77777777" w:rsidR="003D572C" w:rsidRDefault="003D572C" w:rsidP="003D572C">
      <w:pPr>
        <w:pStyle w:val="BodyText"/>
      </w:pPr>
      <w:r>
        <w:t xml:space="preserve">We categorise consultancy contracts in accordance with the PGPA Rule for annual reports and guidance from the DoF on reporting consultancies. In addition to the requirements of the agency’s procurement guidelines and policies, all consultancy service proposals undergo a compliance assessment by at least 2 procurement specialists and are approved by a delegate. </w:t>
      </w:r>
    </w:p>
    <w:p w14:paraId="1DFB9528" w14:textId="77777777" w:rsidR="003D572C" w:rsidRDefault="003D572C" w:rsidP="003D572C">
      <w:pPr>
        <w:pStyle w:val="BodyText"/>
      </w:pPr>
      <w:r>
        <w:t>During 2024–25, 18 new consultancy contracts were entered into, involving total actual expenditure of $2,048,518 (including GST). In addition, 5 active ongoing consultancy contracts were in place during the period, involving total actual expenditure of $6,841,704 (including GST), bringing total expenditure on consultancy services for the year to $8,890,222 (including GST).</w:t>
      </w:r>
    </w:p>
    <w:p w14:paraId="5795E7B0" w14:textId="77777777" w:rsidR="003D572C" w:rsidRDefault="003D572C" w:rsidP="003D572C">
      <w:pPr>
        <w:pStyle w:val="BodyText"/>
      </w:pPr>
      <w:r>
        <w:t xml:space="preserve">Table 51 shows agency expenditure on consultancy contracts for 2024–25. </w:t>
      </w:r>
    </w:p>
    <w:p w14:paraId="2CE621B5" w14:textId="14534D99" w:rsidR="003D572C" w:rsidRPr="002A1407" w:rsidRDefault="002A1407" w:rsidP="002A1407">
      <w:pPr>
        <w:pStyle w:val="BodyText"/>
        <w:rPr>
          <w:b/>
          <w:bCs/>
        </w:rPr>
      </w:pPr>
      <w:r w:rsidRPr="002A1407">
        <w:rPr>
          <w:b/>
          <w:bCs/>
        </w:rPr>
        <w:t>Table 51:</w:t>
      </w:r>
      <w:r w:rsidR="003D572C" w:rsidRPr="002A1407">
        <w:rPr>
          <w:b/>
          <w:bCs/>
        </w:rPr>
        <w:t xml:space="preserve"> Expenditure on reportable consultancy contracts 2024–25 </w:t>
      </w:r>
    </w:p>
    <w:tbl>
      <w:tblPr>
        <w:tblStyle w:val="TableGrid"/>
        <w:tblW w:w="5000" w:type="pct"/>
        <w:tblLook w:val="04A0" w:firstRow="1" w:lastRow="0" w:firstColumn="1" w:lastColumn="0" w:noHBand="0" w:noVBand="1"/>
        <w:tblCaption w:val="Expenditure on reportable consultancy contracts 2024–25 "/>
      </w:tblPr>
      <w:tblGrid>
        <w:gridCol w:w="6354"/>
        <w:gridCol w:w="2370"/>
        <w:gridCol w:w="2372"/>
      </w:tblGrid>
      <w:tr w:rsidR="003D572C" w14:paraId="75A1E808" w14:textId="77777777" w:rsidTr="00BC283A">
        <w:trPr>
          <w:trHeight w:val="396"/>
          <w:tblHeader/>
        </w:trPr>
        <w:tc>
          <w:tcPr>
            <w:tcW w:w="2863" w:type="pct"/>
          </w:tcPr>
          <w:p w14:paraId="13A7DD45" w14:textId="77777777" w:rsidR="003D572C" w:rsidRDefault="003D572C" w:rsidP="00682FFF">
            <w:pPr>
              <w:pStyle w:val="NoParagraphStyle"/>
              <w:spacing w:line="240" w:lineRule="auto"/>
              <w:textAlignment w:val="auto"/>
              <w:rPr>
                <w:rFonts w:ascii="Roboto-Medium" w:hAnsi="Roboto-Medium" w:cstheme="minorBidi"/>
                <w:color w:val="auto"/>
                <w:lang w:val="en-AU"/>
              </w:rPr>
            </w:pPr>
          </w:p>
        </w:tc>
        <w:tc>
          <w:tcPr>
            <w:tcW w:w="1068" w:type="pct"/>
          </w:tcPr>
          <w:p w14:paraId="29E0629B" w14:textId="77777777" w:rsidR="003D572C" w:rsidRPr="00891C1C" w:rsidRDefault="003D572C" w:rsidP="00891C1C">
            <w:pPr>
              <w:pStyle w:val="BodyText"/>
              <w:rPr>
                <w:b/>
                <w:bCs/>
              </w:rPr>
            </w:pPr>
            <w:r w:rsidRPr="00891C1C">
              <w:rPr>
                <w:b/>
                <w:bCs/>
              </w:rPr>
              <w:t>Number</w:t>
            </w:r>
          </w:p>
        </w:tc>
        <w:tc>
          <w:tcPr>
            <w:tcW w:w="1069" w:type="pct"/>
          </w:tcPr>
          <w:p w14:paraId="2033932D" w14:textId="77777777" w:rsidR="003D572C" w:rsidRPr="00891C1C" w:rsidRDefault="003D572C" w:rsidP="00891C1C">
            <w:pPr>
              <w:pStyle w:val="BodyText"/>
              <w:rPr>
                <w:b/>
                <w:bCs/>
              </w:rPr>
            </w:pPr>
            <w:r w:rsidRPr="00891C1C">
              <w:rPr>
                <w:b/>
                <w:bCs/>
              </w:rPr>
              <w:t>Expenditure $ (including GST)</w:t>
            </w:r>
          </w:p>
        </w:tc>
      </w:tr>
      <w:tr w:rsidR="003D572C" w14:paraId="436469C2" w14:textId="77777777" w:rsidTr="00BC283A">
        <w:trPr>
          <w:trHeight w:val="396"/>
        </w:trPr>
        <w:tc>
          <w:tcPr>
            <w:tcW w:w="2863" w:type="pct"/>
          </w:tcPr>
          <w:p w14:paraId="5F4F6E12" w14:textId="77777777" w:rsidR="003D572C" w:rsidRDefault="003D572C" w:rsidP="00682FFF">
            <w:pPr>
              <w:pStyle w:val="BodyText"/>
            </w:pPr>
            <w:r>
              <w:t>New contracts entered into during the reporting period</w:t>
            </w:r>
          </w:p>
        </w:tc>
        <w:tc>
          <w:tcPr>
            <w:tcW w:w="1068" w:type="pct"/>
          </w:tcPr>
          <w:p w14:paraId="053E896D" w14:textId="77777777" w:rsidR="003D572C" w:rsidRDefault="003D572C" w:rsidP="00682FFF">
            <w:pPr>
              <w:pStyle w:val="BodyText"/>
              <w:jc w:val="right"/>
            </w:pPr>
            <w:r>
              <w:t>18</w:t>
            </w:r>
          </w:p>
        </w:tc>
        <w:tc>
          <w:tcPr>
            <w:tcW w:w="1069" w:type="pct"/>
          </w:tcPr>
          <w:p w14:paraId="4B2AC8C1" w14:textId="77777777" w:rsidR="003D572C" w:rsidRDefault="003D572C" w:rsidP="00682FFF">
            <w:pPr>
              <w:pStyle w:val="BodyText"/>
              <w:jc w:val="right"/>
            </w:pPr>
            <w:r>
              <w:t>2,048,518</w:t>
            </w:r>
          </w:p>
        </w:tc>
      </w:tr>
      <w:tr w:rsidR="003D572C" w14:paraId="32E3021C" w14:textId="77777777" w:rsidTr="00BC283A">
        <w:trPr>
          <w:trHeight w:val="396"/>
        </w:trPr>
        <w:tc>
          <w:tcPr>
            <w:tcW w:w="2863" w:type="pct"/>
          </w:tcPr>
          <w:p w14:paraId="7E3A028D" w14:textId="77777777" w:rsidR="003D572C" w:rsidRDefault="003D572C" w:rsidP="00682FFF">
            <w:pPr>
              <w:pStyle w:val="BodyText"/>
            </w:pPr>
            <w:r>
              <w:rPr>
                <w:rStyle w:val="Bold"/>
                <w:b w:val="0"/>
                <w:bCs w:val="0"/>
              </w:rPr>
              <w:lastRenderedPageBreak/>
              <w:t>Ongoing contracts entered into during a previous reporting period</w:t>
            </w:r>
          </w:p>
        </w:tc>
        <w:tc>
          <w:tcPr>
            <w:tcW w:w="1068" w:type="pct"/>
          </w:tcPr>
          <w:p w14:paraId="1280DB94" w14:textId="77777777" w:rsidR="003D572C" w:rsidRDefault="003D572C" w:rsidP="00682FFF">
            <w:pPr>
              <w:pStyle w:val="BodyText"/>
              <w:jc w:val="right"/>
            </w:pPr>
            <w:r>
              <w:t>5</w:t>
            </w:r>
          </w:p>
        </w:tc>
        <w:tc>
          <w:tcPr>
            <w:tcW w:w="1069" w:type="pct"/>
          </w:tcPr>
          <w:p w14:paraId="74747615" w14:textId="77777777" w:rsidR="003D572C" w:rsidRDefault="003D572C" w:rsidP="00682FFF">
            <w:pPr>
              <w:pStyle w:val="BodyText"/>
              <w:jc w:val="right"/>
            </w:pPr>
            <w:r>
              <w:t>6,841,704</w:t>
            </w:r>
          </w:p>
        </w:tc>
      </w:tr>
      <w:tr w:rsidR="003D572C" w14:paraId="46E1C91B" w14:textId="77777777" w:rsidTr="00BC283A">
        <w:trPr>
          <w:trHeight w:val="396"/>
        </w:trPr>
        <w:tc>
          <w:tcPr>
            <w:tcW w:w="2863" w:type="pct"/>
          </w:tcPr>
          <w:p w14:paraId="49D4B706" w14:textId="77777777" w:rsidR="003D572C" w:rsidRDefault="003D572C" w:rsidP="00682FFF">
            <w:pPr>
              <w:pStyle w:val="BodyText"/>
            </w:pPr>
            <w:r>
              <w:rPr>
                <w:rStyle w:val="Bold"/>
              </w:rPr>
              <w:t>Total</w:t>
            </w:r>
          </w:p>
        </w:tc>
        <w:tc>
          <w:tcPr>
            <w:tcW w:w="1068" w:type="pct"/>
          </w:tcPr>
          <w:p w14:paraId="007E4CA2" w14:textId="77777777" w:rsidR="003D572C" w:rsidRDefault="003D572C" w:rsidP="00682FFF">
            <w:pPr>
              <w:pStyle w:val="BodyText"/>
              <w:jc w:val="right"/>
            </w:pPr>
            <w:r>
              <w:rPr>
                <w:rStyle w:val="Bold"/>
              </w:rPr>
              <w:t>23</w:t>
            </w:r>
          </w:p>
        </w:tc>
        <w:tc>
          <w:tcPr>
            <w:tcW w:w="1069" w:type="pct"/>
          </w:tcPr>
          <w:p w14:paraId="084E821A" w14:textId="77777777" w:rsidR="003D572C" w:rsidRDefault="003D572C" w:rsidP="00682FFF">
            <w:pPr>
              <w:pStyle w:val="BodyText"/>
              <w:jc w:val="right"/>
            </w:pPr>
            <w:r>
              <w:rPr>
                <w:rStyle w:val="Bold"/>
              </w:rPr>
              <w:t>8,890,222</w:t>
            </w:r>
          </w:p>
        </w:tc>
      </w:tr>
    </w:tbl>
    <w:p w14:paraId="7D0F9DCC" w14:textId="2072F8E8" w:rsidR="003D572C" w:rsidRDefault="003D572C" w:rsidP="003D572C">
      <w:pPr>
        <w:pStyle w:val="BodyText"/>
      </w:pPr>
      <w:r>
        <w:t>Table 52 show organisations receiving the greatest share of reportable consultancy contract expenditure for 2024–25.</w:t>
      </w:r>
    </w:p>
    <w:p w14:paraId="5B258C1A" w14:textId="6E1A6121" w:rsidR="003D572C" w:rsidRPr="002A1407" w:rsidRDefault="002A1407" w:rsidP="002A1407">
      <w:pPr>
        <w:pStyle w:val="BodyText"/>
        <w:rPr>
          <w:b/>
          <w:bCs/>
        </w:rPr>
      </w:pPr>
      <w:r w:rsidRPr="002A1407">
        <w:rPr>
          <w:b/>
          <w:bCs/>
        </w:rPr>
        <w:t>Table 52:</w:t>
      </w:r>
      <w:r w:rsidR="003D572C" w:rsidRPr="002A1407">
        <w:rPr>
          <w:b/>
          <w:bCs/>
        </w:rPr>
        <w:t xml:space="preserve"> Organisations receiving a share of reportable consultancy contract expenditure 2024–25 </w:t>
      </w:r>
    </w:p>
    <w:tbl>
      <w:tblPr>
        <w:tblStyle w:val="TableGrid"/>
        <w:tblW w:w="5000" w:type="pct"/>
        <w:tblLook w:val="04A0" w:firstRow="1" w:lastRow="0" w:firstColumn="1" w:lastColumn="0" w:noHBand="0" w:noVBand="1"/>
        <w:tblCaption w:val="Organisations receiving a share of reportable consultancy contract expenditure 2024–25 "/>
      </w:tblPr>
      <w:tblGrid>
        <w:gridCol w:w="8724"/>
        <w:gridCol w:w="2372"/>
      </w:tblGrid>
      <w:tr w:rsidR="003D572C" w14:paraId="24AC2B01" w14:textId="77777777" w:rsidTr="00BC283A">
        <w:trPr>
          <w:trHeight w:val="396"/>
          <w:tblHeader/>
        </w:trPr>
        <w:tc>
          <w:tcPr>
            <w:tcW w:w="3931" w:type="pct"/>
          </w:tcPr>
          <w:p w14:paraId="4A7C97FD" w14:textId="77777777" w:rsidR="003D572C" w:rsidRPr="00891C1C" w:rsidRDefault="003D572C" w:rsidP="00891C1C">
            <w:pPr>
              <w:pStyle w:val="BodyText"/>
              <w:rPr>
                <w:b/>
                <w:bCs/>
              </w:rPr>
            </w:pPr>
            <w:r w:rsidRPr="00891C1C">
              <w:rPr>
                <w:b/>
                <w:bCs/>
              </w:rPr>
              <w:t>Name of organisation and organisation ABN</w:t>
            </w:r>
          </w:p>
        </w:tc>
        <w:tc>
          <w:tcPr>
            <w:tcW w:w="1069" w:type="pct"/>
          </w:tcPr>
          <w:p w14:paraId="28DF96E2" w14:textId="77777777" w:rsidR="003D572C" w:rsidRPr="00891C1C" w:rsidRDefault="003D572C" w:rsidP="00891C1C">
            <w:pPr>
              <w:pStyle w:val="BodyText"/>
              <w:rPr>
                <w:b/>
                <w:bCs/>
              </w:rPr>
            </w:pPr>
            <w:r w:rsidRPr="00891C1C">
              <w:rPr>
                <w:b/>
                <w:bCs/>
              </w:rPr>
              <w:t>Expenditure $ (including GST)</w:t>
            </w:r>
          </w:p>
        </w:tc>
      </w:tr>
      <w:tr w:rsidR="003D572C" w14:paraId="77CBD3C6" w14:textId="77777777" w:rsidTr="006A0585">
        <w:trPr>
          <w:trHeight w:val="396"/>
        </w:trPr>
        <w:tc>
          <w:tcPr>
            <w:tcW w:w="3931" w:type="pct"/>
          </w:tcPr>
          <w:p w14:paraId="7BFA831A" w14:textId="77777777" w:rsidR="003D572C" w:rsidRDefault="003D572C" w:rsidP="00682FFF">
            <w:pPr>
              <w:pStyle w:val="BodyText"/>
            </w:pPr>
            <w:r>
              <w:t>Sententia Consulting Pty Ltd (85 639 580 662)</w:t>
            </w:r>
          </w:p>
        </w:tc>
        <w:tc>
          <w:tcPr>
            <w:tcW w:w="1069" w:type="pct"/>
          </w:tcPr>
          <w:p w14:paraId="5484700F" w14:textId="77777777" w:rsidR="003D572C" w:rsidRDefault="003D572C" w:rsidP="00682FFF">
            <w:pPr>
              <w:pStyle w:val="BodyText"/>
              <w:jc w:val="right"/>
            </w:pPr>
            <w:r>
              <w:t>3,012,226</w:t>
            </w:r>
          </w:p>
        </w:tc>
      </w:tr>
      <w:tr w:rsidR="003D572C" w14:paraId="1029962D" w14:textId="77777777" w:rsidTr="006A0585">
        <w:trPr>
          <w:trHeight w:val="396"/>
        </w:trPr>
        <w:tc>
          <w:tcPr>
            <w:tcW w:w="3931" w:type="pct"/>
          </w:tcPr>
          <w:p w14:paraId="61885B73" w14:textId="77777777" w:rsidR="003D572C" w:rsidRDefault="003D572C" w:rsidP="00682FFF">
            <w:pPr>
              <w:pStyle w:val="BodyText"/>
            </w:pPr>
            <w:r>
              <w:rPr>
                <w:rStyle w:val="Bold"/>
                <w:b w:val="0"/>
                <w:bCs w:val="0"/>
              </w:rPr>
              <w:t>KPMG (51 194 660 183)</w:t>
            </w:r>
          </w:p>
        </w:tc>
        <w:tc>
          <w:tcPr>
            <w:tcW w:w="1069" w:type="pct"/>
          </w:tcPr>
          <w:p w14:paraId="472922D1" w14:textId="77777777" w:rsidR="003D572C" w:rsidRDefault="003D572C" w:rsidP="00682FFF">
            <w:pPr>
              <w:pStyle w:val="BodyText"/>
              <w:jc w:val="right"/>
            </w:pPr>
            <w:r>
              <w:t>2,885,617</w:t>
            </w:r>
          </w:p>
        </w:tc>
      </w:tr>
      <w:tr w:rsidR="003D572C" w14:paraId="5A5294D5" w14:textId="77777777" w:rsidTr="006A0585">
        <w:trPr>
          <w:trHeight w:val="396"/>
        </w:trPr>
        <w:tc>
          <w:tcPr>
            <w:tcW w:w="3931" w:type="pct"/>
          </w:tcPr>
          <w:p w14:paraId="2673058E" w14:textId="77777777" w:rsidR="003D572C" w:rsidRDefault="003D572C" w:rsidP="00682FFF">
            <w:pPr>
              <w:pStyle w:val="BodyText"/>
            </w:pPr>
            <w:r>
              <w:rPr>
                <w:rStyle w:val="Bold"/>
                <w:b w:val="0"/>
                <w:bCs w:val="0"/>
              </w:rPr>
              <w:t>Protiviti Pty Ltd (27 108 473 909)</w:t>
            </w:r>
          </w:p>
        </w:tc>
        <w:tc>
          <w:tcPr>
            <w:tcW w:w="1069" w:type="pct"/>
          </w:tcPr>
          <w:p w14:paraId="25A8DDD2" w14:textId="77777777" w:rsidR="003D572C" w:rsidRDefault="003D572C" w:rsidP="00682FFF">
            <w:pPr>
              <w:pStyle w:val="BodyText"/>
              <w:jc w:val="right"/>
            </w:pPr>
            <w:r>
              <w:t>1,251,755</w:t>
            </w:r>
          </w:p>
        </w:tc>
      </w:tr>
      <w:tr w:rsidR="003D572C" w14:paraId="7624BA36" w14:textId="77777777" w:rsidTr="006A0585">
        <w:trPr>
          <w:trHeight w:val="396"/>
        </w:trPr>
        <w:tc>
          <w:tcPr>
            <w:tcW w:w="3931" w:type="pct"/>
          </w:tcPr>
          <w:p w14:paraId="2D249D86" w14:textId="77777777" w:rsidR="003D572C" w:rsidRDefault="003D572C" w:rsidP="00682FFF">
            <w:pPr>
              <w:pStyle w:val="BodyText"/>
            </w:pPr>
            <w:r>
              <w:rPr>
                <w:rStyle w:val="Bold"/>
                <w:b w:val="0"/>
                <w:bCs w:val="0"/>
              </w:rPr>
              <w:t>KordaMentha (36 220 576 038)</w:t>
            </w:r>
          </w:p>
        </w:tc>
        <w:tc>
          <w:tcPr>
            <w:tcW w:w="1069" w:type="pct"/>
          </w:tcPr>
          <w:p w14:paraId="70BBF7F7" w14:textId="77777777" w:rsidR="003D572C" w:rsidRDefault="003D572C" w:rsidP="00682FFF">
            <w:pPr>
              <w:pStyle w:val="BodyText"/>
              <w:jc w:val="right"/>
            </w:pPr>
            <w:r>
              <w:t>565,579</w:t>
            </w:r>
          </w:p>
        </w:tc>
      </w:tr>
      <w:tr w:rsidR="003D572C" w14:paraId="1D47D171" w14:textId="77777777" w:rsidTr="006A0585">
        <w:trPr>
          <w:trHeight w:val="396"/>
        </w:trPr>
        <w:tc>
          <w:tcPr>
            <w:tcW w:w="3931" w:type="pct"/>
          </w:tcPr>
          <w:p w14:paraId="7A0890A4" w14:textId="77777777" w:rsidR="003D572C" w:rsidRDefault="003D572C" w:rsidP="00682FFF">
            <w:pPr>
              <w:pStyle w:val="BodyText"/>
            </w:pPr>
            <w:r>
              <w:rPr>
                <w:rStyle w:val="Bold"/>
                <w:b w:val="0"/>
                <w:bCs w:val="0"/>
              </w:rPr>
              <w:t>ConceptSix Pty Ltd (54 641 263 238)</w:t>
            </w:r>
          </w:p>
        </w:tc>
        <w:tc>
          <w:tcPr>
            <w:tcW w:w="1069" w:type="pct"/>
          </w:tcPr>
          <w:p w14:paraId="35A1DA7E" w14:textId="77777777" w:rsidR="003D572C" w:rsidRDefault="003D572C" w:rsidP="00682FFF">
            <w:pPr>
              <w:pStyle w:val="BodyText"/>
              <w:jc w:val="right"/>
            </w:pPr>
            <w:r>
              <w:t>286,542</w:t>
            </w:r>
          </w:p>
        </w:tc>
      </w:tr>
    </w:tbl>
    <w:p w14:paraId="4F727F41" w14:textId="77777777" w:rsidR="003D572C" w:rsidRDefault="003D572C" w:rsidP="003D572C">
      <w:pPr>
        <w:pStyle w:val="BodyText"/>
      </w:pPr>
      <w:r>
        <w:t>The annual report contains information about actual expenditure on reportable consultancy contracts. Information on the value of reportable consultancy contracts is available on the AusTender website.</w:t>
      </w:r>
    </w:p>
    <w:p w14:paraId="7688BB6C" w14:textId="77777777" w:rsidR="003D572C" w:rsidRDefault="003D572C" w:rsidP="003D572C">
      <w:pPr>
        <w:pStyle w:val="BodyText"/>
      </w:pPr>
      <w:r>
        <w:t xml:space="preserve">Table 53 shows total expenditure (including GST) on consultancy contracts from 2022–23 to 2024–25. </w:t>
      </w:r>
    </w:p>
    <w:p w14:paraId="768B2421" w14:textId="2E7023EC" w:rsidR="003D572C" w:rsidRPr="002A1407" w:rsidRDefault="002A1407" w:rsidP="002A1407">
      <w:pPr>
        <w:pStyle w:val="BodyText"/>
        <w:rPr>
          <w:b/>
          <w:bCs/>
        </w:rPr>
      </w:pPr>
      <w:r w:rsidRPr="002A1407">
        <w:rPr>
          <w:b/>
          <w:bCs/>
        </w:rPr>
        <w:t>Table 53:</w:t>
      </w:r>
      <w:r w:rsidR="003D572C" w:rsidRPr="002A1407">
        <w:rPr>
          <w:b/>
          <w:bCs/>
        </w:rPr>
        <w:t xml:space="preserve"> Expenditure on consultancy services </w:t>
      </w:r>
    </w:p>
    <w:tbl>
      <w:tblPr>
        <w:tblStyle w:val="TableGrid"/>
        <w:tblW w:w="5000" w:type="pct"/>
        <w:tblLook w:val="04A0" w:firstRow="1" w:lastRow="0" w:firstColumn="1" w:lastColumn="0" w:noHBand="0" w:noVBand="1"/>
        <w:tblCaption w:val="Expenditure on consultancy services "/>
      </w:tblPr>
      <w:tblGrid>
        <w:gridCol w:w="4997"/>
        <w:gridCol w:w="2033"/>
        <w:gridCol w:w="2033"/>
        <w:gridCol w:w="2033"/>
      </w:tblGrid>
      <w:tr w:rsidR="003D572C" w14:paraId="6EEA6727" w14:textId="77777777" w:rsidTr="00BC283A">
        <w:trPr>
          <w:trHeight w:val="396"/>
          <w:tblHeader/>
        </w:trPr>
        <w:tc>
          <w:tcPr>
            <w:tcW w:w="2252" w:type="pct"/>
          </w:tcPr>
          <w:p w14:paraId="52F5F69B" w14:textId="77777777" w:rsidR="003D572C" w:rsidRDefault="003D572C" w:rsidP="00682FFF">
            <w:pPr>
              <w:pStyle w:val="NoParagraphStyle"/>
              <w:spacing w:line="240" w:lineRule="auto"/>
              <w:textAlignment w:val="auto"/>
              <w:rPr>
                <w:rFonts w:ascii="Roboto-Medium" w:hAnsi="Roboto-Medium" w:cstheme="minorBidi"/>
                <w:color w:val="auto"/>
                <w:lang w:val="en-AU"/>
              </w:rPr>
            </w:pPr>
          </w:p>
        </w:tc>
        <w:tc>
          <w:tcPr>
            <w:tcW w:w="916" w:type="pct"/>
          </w:tcPr>
          <w:p w14:paraId="41027273" w14:textId="77777777" w:rsidR="003D572C" w:rsidRPr="00891C1C" w:rsidRDefault="003D572C" w:rsidP="00891C1C">
            <w:pPr>
              <w:pStyle w:val="BodyText"/>
              <w:rPr>
                <w:b/>
                <w:bCs/>
              </w:rPr>
            </w:pPr>
            <w:r w:rsidRPr="00891C1C">
              <w:rPr>
                <w:b/>
                <w:bCs/>
              </w:rPr>
              <w:t>2022–23 $ (including GST)</w:t>
            </w:r>
          </w:p>
        </w:tc>
        <w:tc>
          <w:tcPr>
            <w:tcW w:w="916" w:type="pct"/>
          </w:tcPr>
          <w:p w14:paraId="15ED6CF6" w14:textId="77777777" w:rsidR="003D572C" w:rsidRPr="00891C1C" w:rsidRDefault="003D572C" w:rsidP="00891C1C">
            <w:pPr>
              <w:pStyle w:val="BodyText"/>
              <w:rPr>
                <w:b/>
                <w:bCs/>
              </w:rPr>
            </w:pPr>
            <w:r w:rsidRPr="00891C1C">
              <w:rPr>
                <w:b/>
                <w:bCs/>
              </w:rPr>
              <w:t>2023–24 $ (including GST)</w:t>
            </w:r>
          </w:p>
        </w:tc>
        <w:tc>
          <w:tcPr>
            <w:tcW w:w="916" w:type="pct"/>
          </w:tcPr>
          <w:p w14:paraId="5079E246" w14:textId="77777777" w:rsidR="003D572C" w:rsidRPr="00891C1C" w:rsidRDefault="003D572C" w:rsidP="00891C1C">
            <w:pPr>
              <w:pStyle w:val="BodyText"/>
              <w:rPr>
                <w:b/>
                <w:bCs/>
              </w:rPr>
            </w:pPr>
            <w:r w:rsidRPr="00891C1C">
              <w:rPr>
                <w:b/>
                <w:bCs/>
              </w:rPr>
              <w:t>2024–25 $ (including GST)</w:t>
            </w:r>
          </w:p>
        </w:tc>
      </w:tr>
      <w:tr w:rsidR="003D572C" w14:paraId="0EDA85B8" w14:textId="77777777" w:rsidTr="006A0585">
        <w:trPr>
          <w:trHeight w:val="396"/>
        </w:trPr>
        <w:tc>
          <w:tcPr>
            <w:tcW w:w="2252" w:type="pct"/>
          </w:tcPr>
          <w:p w14:paraId="31842733" w14:textId="77777777" w:rsidR="003D572C" w:rsidRDefault="003D572C" w:rsidP="00682FFF">
            <w:pPr>
              <w:pStyle w:val="BodyText"/>
            </w:pPr>
            <w:r>
              <w:t>New consultancy services</w:t>
            </w:r>
          </w:p>
        </w:tc>
        <w:tc>
          <w:tcPr>
            <w:tcW w:w="916" w:type="pct"/>
          </w:tcPr>
          <w:p w14:paraId="35E095E3" w14:textId="77777777" w:rsidR="003D572C" w:rsidRDefault="003D572C" w:rsidP="00682FFF">
            <w:pPr>
              <w:pStyle w:val="BodyText"/>
              <w:jc w:val="right"/>
            </w:pPr>
            <w:r>
              <w:t>186,399</w:t>
            </w:r>
          </w:p>
        </w:tc>
        <w:tc>
          <w:tcPr>
            <w:tcW w:w="916" w:type="pct"/>
          </w:tcPr>
          <w:p w14:paraId="03E2EE73" w14:textId="77777777" w:rsidR="003D572C" w:rsidRDefault="003D572C" w:rsidP="00682FFF">
            <w:pPr>
              <w:pStyle w:val="BodyText"/>
              <w:jc w:val="right"/>
            </w:pPr>
            <w:r>
              <w:t>4,680,411</w:t>
            </w:r>
          </w:p>
        </w:tc>
        <w:tc>
          <w:tcPr>
            <w:tcW w:w="916" w:type="pct"/>
          </w:tcPr>
          <w:p w14:paraId="33E2621B" w14:textId="77777777" w:rsidR="003D572C" w:rsidRDefault="003D572C" w:rsidP="00682FFF">
            <w:pPr>
              <w:pStyle w:val="BodyText"/>
              <w:jc w:val="right"/>
            </w:pPr>
            <w:r>
              <w:t>2,048,518</w:t>
            </w:r>
          </w:p>
        </w:tc>
      </w:tr>
      <w:tr w:rsidR="003D572C" w14:paraId="411E08E3" w14:textId="77777777" w:rsidTr="006A0585">
        <w:trPr>
          <w:trHeight w:val="396"/>
        </w:trPr>
        <w:tc>
          <w:tcPr>
            <w:tcW w:w="2252" w:type="pct"/>
          </w:tcPr>
          <w:p w14:paraId="7048AA80" w14:textId="77777777" w:rsidR="003D572C" w:rsidRDefault="003D572C" w:rsidP="00682FFF">
            <w:pPr>
              <w:pStyle w:val="BodyText"/>
            </w:pPr>
            <w:r>
              <w:t>Ongoing consultancy services</w:t>
            </w:r>
          </w:p>
        </w:tc>
        <w:tc>
          <w:tcPr>
            <w:tcW w:w="916" w:type="pct"/>
          </w:tcPr>
          <w:p w14:paraId="2EC1D55B" w14:textId="77777777" w:rsidR="003D572C" w:rsidRDefault="003D572C" w:rsidP="00682FFF">
            <w:pPr>
              <w:pStyle w:val="BodyText"/>
              <w:jc w:val="right"/>
            </w:pPr>
            <w:r>
              <w:t>8,964,621</w:t>
            </w:r>
          </w:p>
        </w:tc>
        <w:tc>
          <w:tcPr>
            <w:tcW w:w="916" w:type="pct"/>
          </w:tcPr>
          <w:p w14:paraId="5D22CA6A" w14:textId="77777777" w:rsidR="003D572C" w:rsidRDefault="003D572C" w:rsidP="00682FFF">
            <w:pPr>
              <w:pStyle w:val="BodyText"/>
              <w:jc w:val="right"/>
            </w:pPr>
            <w:r>
              <w:t>1,449,135</w:t>
            </w:r>
          </w:p>
        </w:tc>
        <w:tc>
          <w:tcPr>
            <w:tcW w:w="916" w:type="pct"/>
          </w:tcPr>
          <w:p w14:paraId="1ABC33DB" w14:textId="77777777" w:rsidR="003D572C" w:rsidRDefault="003D572C" w:rsidP="00682FFF">
            <w:pPr>
              <w:pStyle w:val="BodyText"/>
              <w:jc w:val="right"/>
            </w:pPr>
            <w:r>
              <w:t>6,841,704</w:t>
            </w:r>
          </w:p>
        </w:tc>
      </w:tr>
      <w:tr w:rsidR="003D572C" w14:paraId="4D5ABB44" w14:textId="77777777" w:rsidTr="006A0585">
        <w:trPr>
          <w:trHeight w:val="396"/>
        </w:trPr>
        <w:tc>
          <w:tcPr>
            <w:tcW w:w="2252" w:type="pct"/>
          </w:tcPr>
          <w:p w14:paraId="3847CC60" w14:textId="77777777" w:rsidR="003D572C" w:rsidRDefault="003D572C" w:rsidP="00682FFF">
            <w:pPr>
              <w:pStyle w:val="BodyText"/>
            </w:pPr>
            <w:r>
              <w:rPr>
                <w:rStyle w:val="Bold"/>
              </w:rPr>
              <w:t>Total consultancy services</w:t>
            </w:r>
          </w:p>
        </w:tc>
        <w:tc>
          <w:tcPr>
            <w:tcW w:w="916" w:type="pct"/>
          </w:tcPr>
          <w:p w14:paraId="35784589" w14:textId="77777777" w:rsidR="003D572C" w:rsidRDefault="003D572C" w:rsidP="00682FFF">
            <w:pPr>
              <w:pStyle w:val="BodyText"/>
              <w:jc w:val="right"/>
            </w:pPr>
            <w:r>
              <w:rPr>
                <w:rStyle w:val="Bold"/>
              </w:rPr>
              <w:t>9,151,020</w:t>
            </w:r>
          </w:p>
        </w:tc>
        <w:tc>
          <w:tcPr>
            <w:tcW w:w="916" w:type="pct"/>
          </w:tcPr>
          <w:p w14:paraId="62105742" w14:textId="77777777" w:rsidR="003D572C" w:rsidRDefault="003D572C" w:rsidP="00682FFF">
            <w:pPr>
              <w:pStyle w:val="BodyText"/>
              <w:jc w:val="right"/>
            </w:pPr>
            <w:r>
              <w:rPr>
                <w:rStyle w:val="Bold"/>
              </w:rPr>
              <w:t>6,129,546</w:t>
            </w:r>
          </w:p>
        </w:tc>
        <w:tc>
          <w:tcPr>
            <w:tcW w:w="916" w:type="pct"/>
          </w:tcPr>
          <w:p w14:paraId="27F06B8D" w14:textId="77777777" w:rsidR="003D572C" w:rsidRDefault="003D572C" w:rsidP="00682FFF">
            <w:pPr>
              <w:pStyle w:val="BodyText"/>
              <w:jc w:val="right"/>
            </w:pPr>
            <w:r>
              <w:rPr>
                <w:rStyle w:val="Bold"/>
              </w:rPr>
              <w:t>8,890,222</w:t>
            </w:r>
          </w:p>
        </w:tc>
      </w:tr>
    </w:tbl>
    <w:p w14:paraId="1C0B9260" w14:textId="77777777" w:rsidR="003D572C" w:rsidRDefault="003D572C" w:rsidP="003D572C">
      <w:pPr>
        <w:pStyle w:val="BodyText"/>
      </w:pPr>
      <w:r>
        <w:t>Table 54 shows the total reportable non-consultancy contracts for 2024–25.</w:t>
      </w:r>
    </w:p>
    <w:p w14:paraId="02FB3A94" w14:textId="438319B7" w:rsidR="003D572C" w:rsidRPr="002A1407" w:rsidRDefault="002A1407" w:rsidP="002A1407">
      <w:pPr>
        <w:pStyle w:val="BodyText"/>
        <w:rPr>
          <w:b/>
          <w:bCs/>
        </w:rPr>
      </w:pPr>
      <w:r w:rsidRPr="002A1407">
        <w:rPr>
          <w:b/>
          <w:bCs/>
        </w:rPr>
        <w:t>Table 54:</w:t>
      </w:r>
      <w:r w:rsidR="003D572C" w:rsidRPr="002A1407">
        <w:rPr>
          <w:b/>
          <w:bCs/>
        </w:rPr>
        <w:t xml:space="preserve"> Expenditure on reportable non-consultancy contracts 2024–25</w:t>
      </w:r>
    </w:p>
    <w:tbl>
      <w:tblPr>
        <w:tblStyle w:val="TableGrid"/>
        <w:tblW w:w="5000" w:type="pct"/>
        <w:tblLook w:val="04A0" w:firstRow="1" w:lastRow="0" w:firstColumn="1" w:lastColumn="0" w:noHBand="0" w:noVBand="1"/>
        <w:tblCaption w:val="Expenditure on reportable non-consultancy contracts 2024–25"/>
      </w:tblPr>
      <w:tblGrid>
        <w:gridCol w:w="6354"/>
        <w:gridCol w:w="2370"/>
        <w:gridCol w:w="2372"/>
      </w:tblGrid>
      <w:tr w:rsidR="003D572C" w14:paraId="54F6D99E" w14:textId="77777777" w:rsidTr="00BC283A">
        <w:trPr>
          <w:trHeight w:val="396"/>
          <w:tblHeader/>
        </w:trPr>
        <w:tc>
          <w:tcPr>
            <w:tcW w:w="2863" w:type="pct"/>
          </w:tcPr>
          <w:p w14:paraId="7B03011A" w14:textId="77777777" w:rsidR="003D572C" w:rsidRDefault="003D572C" w:rsidP="00682FFF">
            <w:pPr>
              <w:pStyle w:val="NoParagraphStyle"/>
              <w:spacing w:line="240" w:lineRule="auto"/>
              <w:textAlignment w:val="auto"/>
              <w:rPr>
                <w:rFonts w:ascii="Roboto-Medium" w:hAnsi="Roboto-Medium" w:cstheme="minorBidi"/>
                <w:color w:val="auto"/>
                <w:lang w:val="en-AU"/>
              </w:rPr>
            </w:pPr>
          </w:p>
        </w:tc>
        <w:tc>
          <w:tcPr>
            <w:tcW w:w="1068" w:type="pct"/>
          </w:tcPr>
          <w:p w14:paraId="3D4E2B46" w14:textId="77777777" w:rsidR="003D572C" w:rsidRPr="00891C1C" w:rsidRDefault="003D572C" w:rsidP="00891C1C">
            <w:pPr>
              <w:pStyle w:val="BodyText"/>
              <w:rPr>
                <w:b/>
                <w:bCs/>
              </w:rPr>
            </w:pPr>
            <w:r w:rsidRPr="00891C1C">
              <w:rPr>
                <w:b/>
                <w:bCs/>
              </w:rPr>
              <w:t>Number</w:t>
            </w:r>
          </w:p>
        </w:tc>
        <w:tc>
          <w:tcPr>
            <w:tcW w:w="1069" w:type="pct"/>
          </w:tcPr>
          <w:p w14:paraId="7ADEEB53" w14:textId="77777777" w:rsidR="003D572C" w:rsidRPr="00891C1C" w:rsidRDefault="003D572C" w:rsidP="00891C1C">
            <w:pPr>
              <w:pStyle w:val="BodyText"/>
              <w:rPr>
                <w:b/>
                <w:bCs/>
              </w:rPr>
            </w:pPr>
            <w:r w:rsidRPr="00891C1C">
              <w:rPr>
                <w:b/>
                <w:bCs/>
              </w:rPr>
              <w:t>Expenditure $ (including GST)</w:t>
            </w:r>
          </w:p>
        </w:tc>
      </w:tr>
      <w:tr w:rsidR="003D572C" w14:paraId="7834768A" w14:textId="77777777" w:rsidTr="006A0585">
        <w:trPr>
          <w:trHeight w:val="396"/>
        </w:trPr>
        <w:tc>
          <w:tcPr>
            <w:tcW w:w="2863" w:type="pct"/>
          </w:tcPr>
          <w:p w14:paraId="1D077604" w14:textId="77777777" w:rsidR="003D572C" w:rsidRDefault="003D572C" w:rsidP="00682FFF">
            <w:pPr>
              <w:pStyle w:val="BodyText"/>
            </w:pPr>
            <w:r>
              <w:t>New contracts entered into during the reporting period</w:t>
            </w:r>
          </w:p>
        </w:tc>
        <w:tc>
          <w:tcPr>
            <w:tcW w:w="1068" w:type="pct"/>
          </w:tcPr>
          <w:p w14:paraId="42473558" w14:textId="77777777" w:rsidR="003D572C" w:rsidRDefault="003D572C" w:rsidP="00682FFF">
            <w:pPr>
              <w:pStyle w:val="BodyText"/>
              <w:jc w:val="right"/>
            </w:pPr>
            <w:r>
              <w:t>1,295</w:t>
            </w:r>
          </w:p>
        </w:tc>
        <w:tc>
          <w:tcPr>
            <w:tcW w:w="1069" w:type="pct"/>
          </w:tcPr>
          <w:p w14:paraId="40D64C28" w14:textId="77777777" w:rsidR="003D572C" w:rsidRDefault="003D572C" w:rsidP="00682FFF">
            <w:pPr>
              <w:pStyle w:val="BodyText"/>
              <w:jc w:val="right"/>
            </w:pPr>
            <w:r>
              <w:t>676,405,038</w:t>
            </w:r>
          </w:p>
        </w:tc>
      </w:tr>
      <w:tr w:rsidR="003D572C" w14:paraId="2FD858D9" w14:textId="77777777" w:rsidTr="006A0585">
        <w:trPr>
          <w:trHeight w:val="396"/>
        </w:trPr>
        <w:tc>
          <w:tcPr>
            <w:tcW w:w="2863" w:type="pct"/>
          </w:tcPr>
          <w:p w14:paraId="0FB48E70" w14:textId="77777777" w:rsidR="003D572C" w:rsidRDefault="003D572C" w:rsidP="00682FFF">
            <w:pPr>
              <w:pStyle w:val="BodyText"/>
            </w:pPr>
            <w:r>
              <w:rPr>
                <w:rStyle w:val="Bold"/>
                <w:b w:val="0"/>
                <w:bCs w:val="0"/>
              </w:rPr>
              <w:t>Ongoing contracts entered into during a previous reporting period</w:t>
            </w:r>
          </w:p>
        </w:tc>
        <w:tc>
          <w:tcPr>
            <w:tcW w:w="1068" w:type="pct"/>
          </w:tcPr>
          <w:p w14:paraId="1CC90D5F" w14:textId="77777777" w:rsidR="003D572C" w:rsidRDefault="003D572C" w:rsidP="00682FFF">
            <w:pPr>
              <w:pStyle w:val="BodyText"/>
              <w:jc w:val="right"/>
            </w:pPr>
            <w:r>
              <w:t>1,639</w:t>
            </w:r>
          </w:p>
        </w:tc>
        <w:tc>
          <w:tcPr>
            <w:tcW w:w="1069" w:type="pct"/>
          </w:tcPr>
          <w:p w14:paraId="6812AF34" w14:textId="77777777" w:rsidR="003D572C" w:rsidRDefault="003D572C" w:rsidP="00682FFF">
            <w:pPr>
              <w:pStyle w:val="BodyText"/>
              <w:jc w:val="right"/>
            </w:pPr>
            <w:r>
              <w:t>1,669,124,342</w:t>
            </w:r>
          </w:p>
        </w:tc>
      </w:tr>
      <w:tr w:rsidR="003D572C" w14:paraId="7CD9E475" w14:textId="77777777" w:rsidTr="006A0585">
        <w:trPr>
          <w:trHeight w:val="396"/>
        </w:trPr>
        <w:tc>
          <w:tcPr>
            <w:tcW w:w="2863" w:type="pct"/>
          </w:tcPr>
          <w:p w14:paraId="19D55972" w14:textId="77777777" w:rsidR="003D572C" w:rsidRDefault="003D572C" w:rsidP="00682FFF">
            <w:pPr>
              <w:pStyle w:val="BodyText"/>
            </w:pPr>
            <w:r>
              <w:rPr>
                <w:rStyle w:val="Bold"/>
              </w:rPr>
              <w:t>Total</w:t>
            </w:r>
          </w:p>
        </w:tc>
        <w:tc>
          <w:tcPr>
            <w:tcW w:w="1068" w:type="pct"/>
          </w:tcPr>
          <w:p w14:paraId="28D5315F" w14:textId="77777777" w:rsidR="003D572C" w:rsidRDefault="003D572C" w:rsidP="00682FFF">
            <w:pPr>
              <w:pStyle w:val="BodyText"/>
              <w:jc w:val="right"/>
            </w:pPr>
            <w:r>
              <w:rPr>
                <w:rStyle w:val="Bold"/>
              </w:rPr>
              <w:t>2,934</w:t>
            </w:r>
          </w:p>
        </w:tc>
        <w:tc>
          <w:tcPr>
            <w:tcW w:w="1069" w:type="pct"/>
          </w:tcPr>
          <w:p w14:paraId="15D3E3E1" w14:textId="77777777" w:rsidR="003D572C" w:rsidRDefault="003D572C" w:rsidP="00682FFF">
            <w:pPr>
              <w:pStyle w:val="BodyText"/>
              <w:jc w:val="right"/>
            </w:pPr>
            <w:r>
              <w:rPr>
                <w:rStyle w:val="Bold"/>
              </w:rPr>
              <w:t>2,345,529,380</w:t>
            </w:r>
          </w:p>
        </w:tc>
      </w:tr>
    </w:tbl>
    <w:p w14:paraId="697004C1" w14:textId="77777777" w:rsidR="003D572C" w:rsidRDefault="003D572C" w:rsidP="003D572C">
      <w:pPr>
        <w:pStyle w:val="BodyText"/>
      </w:pPr>
      <w:r>
        <w:rPr>
          <w:spacing w:val="-2"/>
        </w:rPr>
        <w:t>Table 55 shows organisations receiving the greatest share of reportable non-consultancy</w:t>
      </w:r>
      <w:r>
        <w:t xml:space="preserve"> contract expenditure for 2024–25.</w:t>
      </w:r>
    </w:p>
    <w:p w14:paraId="09735BD3" w14:textId="4E498145" w:rsidR="003D572C" w:rsidRPr="002A1407" w:rsidRDefault="002A1407" w:rsidP="002A1407">
      <w:pPr>
        <w:pStyle w:val="BodyText"/>
        <w:rPr>
          <w:b/>
          <w:bCs/>
        </w:rPr>
      </w:pPr>
      <w:r w:rsidRPr="002A1407">
        <w:rPr>
          <w:b/>
          <w:bCs/>
        </w:rPr>
        <w:t>Table 55:</w:t>
      </w:r>
      <w:r w:rsidR="003D572C" w:rsidRPr="002A1407">
        <w:rPr>
          <w:b/>
          <w:bCs/>
        </w:rPr>
        <w:t xml:space="preserve"> Organisations receiving a share of reportable non-consultancy contract expenditure 2024–25 </w:t>
      </w:r>
    </w:p>
    <w:tbl>
      <w:tblPr>
        <w:tblStyle w:val="TableGrid"/>
        <w:tblW w:w="5000" w:type="pct"/>
        <w:tblLook w:val="04A0" w:firstRow="1" w:lastRow="0" w:firstColumn="1" w:lastColumn="0" w:noHBand="0" w:noVBand="1"/>
        <w:tblCaption w:val="Organisations receiving a share of reportable non-consultancy contract expenditure 2024–25 "/>
      </w:tblPr>
      <w:tblGrid>
        <w:gridCol w:w="8724"/>
        <w:gridCol w:w="2372"/>
      </w:tblGrid>
      <w:tr w:rsidR="003D572C" w14:paraId="118D9905" w14:textId="77777777" w:rsidTr="00BC283A">
        <w:trPr>
          <w:trHeight w:val="396"/>
          <w:tblHeader/>
        </w:trPr>
        <w:tc>
          <w:tcPr>
            <w:tcW w:w="3931" w:type="pct"/>
          </w:tcPr>
          <w:p w14:paraId="29965CDC" w14:textId="77777777" w:rsidR="003D572C" w:rsidRPr="00891C1C" w:rsidRDefault="003D572C" w:rsidP="00891C1C">
            <w:pPr>
              <w:pStyle w:val="BodyText"/>
              <w:rPr>
                <w:b/>
                <w:bCs/>
              </w:rPr>
            </w:pPr>
            <w:r w:rsidRPr="00891C1C">
              <w:rPr>
                <w:b/>
                <w:bCs/>
              </w:rPr>
              <w:t>Name of organisation and organisation ABN</w:t>
            </w:r>
          </w:p>
        </w:tc>
        <w:tc>
          <w:tcPr>
            <w:tcW w:w="1069" w:type="pct"/>
          </w:tcPr>
          <w:p w14:paraId="08752809" w14:textId="77777777" w:rsidR="003D572C" w:rsidRPr="00891C1C" w:rsidRDefault="003D572C" w:rsidP="00891C1C">
            <w:pPr>
              <w:pStyle w:val="BodyText"/>
              <w:rPr>
                <w:b/>
                <w:bCs/>
              </w:rPr>
            </w:pPr>
            <w:r w:rsidRPr="00891C1C">
              <w:rPr>
                <w:b/>
                <w:bCs/>
              </w:rPr>
              <w:t>Expenditure $ (including GST)</w:t>
            </w:r>
          </w:p>
        </w:tc>
      </w:tr>
      <w:tr w:rsidR="003D572C" w14:paraId="139136E5" w14:textId="77777777" w:rsidTr="006A0585">
        <w:trPr>
          <w:trHeight w:val="396"/>
        </w:trPr>
        <w:tc>
          <w:tcPr>
            <w:tcW w:w="3931" w:type="pct"/>
          </w:tcPr>
          <w:p w14:paraId="00340DB1" w14:textId="77777777" w:rsidR="003D572C" w:rsidRDefault="003D572C" w:rsidP="00682FFF">
            <w:pPr>
              <w:pStyle w:val="BodyText"/>
            </w:pPr>
            <w:r>
              <w:t>Jones Lang LaSalle (ACT) Pty Ltd (69 008 585 260)</w:t>
            </w:r>
          </w:p>
        </w:tc>
        <w:tc>
          <w:tcPr>
            <w:tcW w:w="1069" w:type="pct"/>
          </w:tcPr>
          <w:p w14:paraId="67FDED9B" w14:textId="77777777" w:rsidR="003D572C" w:rsidRDefault="003D572C" w:rsidP="00682FFF">
            <w:pPr>
              <w:pStyle w:val="BodyText"/>
              <w:jc w:val="right"/>
            </w:pPr>
            <w:r>
              <w:t>758,923,578</w:t>
            </w:r>
          </w:p>
        </w:tc>
      </w:tr>
      <w:tr w:rsidR="003D572C" w14:paraId="032AF2B7" w14:textId="77777777" w:rsidTr="006A0585">
        <w:trPr>
          <w:trHeight w:val="396"/>
        </w:trPr>
        <w:tc>
          <w:tcPr>
            <w:tcW w:w="3931" w:type="pct"/>
          </w:tcPr>
          <w:p w14:paraId="44F39A0D" w14:textId="77777777" w:rsidR="003D572C" w:rsidRDefault="003D572C" w:rsidP="00682FFF">
            <w:pPr>
              <w:pStyle w:val="BodyText"/>
            </w:pPr>
            <w:r>
              <w:rPr>
                <w:rStyle w:val="Bold"/>
                <w:b w:val="0"/>
                <w:bCs w:val="0"/>
              </w:rPr>
              <w:t>Telstra Limited (64 086 174 781)</w:t>
            </w:r>
          </w:p>
        </w:tc>
        <w:tc>
          <w:tcPr>
            <w:tcW w:w="1069" w:type="pct"/>
          </w:tcPr>
          <w:p w14:paraId="5069BAAA" w14:textId="77777777" w:rsidR="003D572C" w:rsidRDefault="003D572C" w:rsidP="00682FFF">
            <w:pPr>
              <w:pStyle w:val="BodyText"/>
              <w:jc w:val="right"/>
            </w:pPr>
            <w:r>
              <w:t>134,404,495</w:t>
            </w:r>
          </w:p>
        </w:tc>
      </w:tr>
      <w:tr w:rsidR="003D572C" w14:paraId="13A92A14" w14:textId="77777777" w:rsidTr="006A0585">
        <w:trPr>
          <w:trHeight w:val="396"/>
        </w:trPr>
        <w:tc>
          <w:tcPr>
            <w:tcW w:w="3931" w:type="pct"/>
          </w:tcPr>
          <w:p w14:paraId="21ADF9A0" w14:textId="77777777" w:rsidR="003D572C" w:rsidRDefault="003D572C" w:rsidP="00682FFF">
            <w:pPr>
              <w:pStyle w:val="BodyText"/>
            </w:pPr>
            <w:r>
              <w:rPr>
                <w:rStyle w:val="Bold"/>
                <w:b w:val="0"/>
                <w:bCs w:val="0"/>
              </w:rPr>
              <w:t>Data # 3 Limited (31 010 545 267)</w:t>
            </w:r>
          </w:p>
        </w:tc>
        <w:tc>
          <w:tcPr>
            <w:tcW w:w="1069" w:type="pct"/>
          </w:tcPr>
          <w:p w14:paraId="2A4E29DF" w14:textId="77777777" w:rsidR="003D572C" w:rsidRDefault="003D572C" w:rsidP="00682FFF">
            <w:pPr>
              <w:pStyle w:val="BodyText"/>
              <w:jc w:val="right"/>
            </w:pPr>
            <w:r>
              <w:t>59,095,254</w:t>
            </w:r>
          </w:p>
        </w:tc>
      </w:tr>
      <w:tr w:rsidR="003D572C" w14:paraId="21C04D78" w14:textId="77777777" w:rsidTr="006A0585">
        <w:trPr>
          <w:trHeight w:val="396"/>
        </w:trPr>
        <w:tc>
          <w:tcPr>
            <w:tcW w:w="3931" w:type="pct"/>
          </w:tcPr>
          <w:p w14:paraId="5BC0017A" w14:textId="77777777" w:rsidR="003D572C" w:rsidRDefault="003D572C" w:rsidP="00682FFF">
            <w:pPr>
              <w:pStyle w:val="BodyText"/>
            </w:pPr>
            <w:r>
              <w:rPr>
                <w:rStyle w:val="Bold"/>
                <w:b w:val="0"/>
                <w:bCs w:val="0"/>
              </w:rPr>
              <w:t>Rocket Software Incorporated (N/A)</w:t>
            </w:r>
          </w:p>
        </w:tc>
        <w:tc>
          <w:tcPr>
            <w:tcW w:w="1069" w:type="pct"/>
          </w:tcPr>
          <w:p w14:paraId="700598B5" w14:textId="77777777" w:rsidR="003D572C" w:rsidRDefault="003D572C" w:rsidP="00682FFF">
            <w:pPr>
              <w:pStyle w:val="BodyText"/>
              <w:jc w:val="right"/>
            </w:pPr>
            <w:r>
              <w:t>55,095,478</w:t>
            </w:r>
          </w:p>
        </w:tc>
      </w:tr>
      <w:tr w:rsidR="003D572C" w14:paraId="5F1FE8E3" w14:textId="77777777" w:rsidTr="006A0585">
        <w:trPr>
          <w:trHeight w:val="396"/>
        </w:trPr>
        <w:tc>
          <w:tcPr>
            <w:tcW w:w="3931" w:type="pct"/>
          </w:tcPr>
          <w:p w14:paraId="6968B5DB" w14:textId="77777777" w:rsidR="003D572C" w:rsidRDefault="003D572C" w:rsidP="00682FFF">
            <w:pPr>
              <w:pStyle w:val="BodyText"/>
            </w:pPr>
            <w:r>
              <w:rPr>
                <w:rStyle w:val="Bold"/>
                <w:b w:val="0"/>
                <w:bCs w:val="0"/>
              </w:rPr>
              <w:t>Australian Postal Corporation (28 864 970 579)</w:t>
            </w:r>
          </w:p>
        </w:tc>
        <w:tc>
          <w:tcPr>
            <w:tcW w:w="1069" w:type="pct"/>
          </w:tcPr>
          <w:p w14:paraId="7115746A" w14:textId="77777777" w:rsidR="003D572C" w:rsidRDefault="003D572C" w:rsidP="00682FFF">
            <w:pPr>
              <w:pStyle w:val="BodyText"/>
              <w:jc w:val="right"/>
            </w:pPr>
            <w:r>
              <w:t>52,124,268</w:t>
            </w:r>
          </w:p>
        </w:tc>
      </w:tr>
    </w:tbl>
    <w:p w14:paraId="49426F29" w14:textId="77777777" w:rsidR="003D572C" w:rsidRDefault="003D572C" w:rsidP="003D572C">
      <w:pPr>
        <w:pStyle w:val="BodyText"/>
      </w:pPr>
      <w:r>
        <w:t xml:space="preserve">The annual report contains information about actual expenditure on reportable non-consultancy contracts. Information on the value of reportable non-consultancy contracts is available on the AusTender website. </w:t>
      </w:r>
    </w:p>
    <w:p w14:paraId="14AF4659" w14:textId="77777777" w:rsidR="003D572C" w:rsidRDefault="003D572C" w:rsidP="003D572C">
      <w:pPr>
        <w:pStyle w:val="Heading2"/>
      </w:pPr>
      <w:r>
        <w:t>Small business</w:t>
      </w:r>
    </w:p>
    <w:p w14:paraId="232A7EA1" w14:textId="77777777" w:rsidR="003D572C" w:rsidRDefault="003D572C" w:rsidP="003D572C">
      <w:pPr>
        <w:pStyle w:val="BodyText"/>
      </w:pPr>
      <w:r>
        <w:t>We recognise the importance of ensuring that small businesses are paid on time.</w:t>
      </w:r>
    </w:p>
    <w:p w14:paraId="3048A61B" w14:textId="77777777" w:rsidR="003D572C" w:rsidRDefault="003D572C" w:rsidP="003D572C">
      <w:pPr>
        <w:pStyle w:val="BodyText"/>
      </w:pPr>
      <w:r>
        <w:t>For results of the Survey of Australian Government Payments to Small Business, see the information on Treasury’s website.</w:t>
      </w:r>
    </w:p>
    <w:p w14:paraId="6E191573" w14:textId="77777777" w:rsidR="003D572C" w:rsidRDefault="003D572C" w:rsidP="003D572C">
      <w:pPr>
        <w:pStyle w:val="BodyText"/>
        <w:spacing w:after="57"/>
      </w:pPr>
      <w:r>
        <w:t>We support small to medium enterprises (SMEs) through a range of procurement measures, including:</w:t>
      </w:r>
    </w:p>
    <w:p w14:paraId="5358CD18" w14:textId="77777777" w:rsidR="003D572C" w:rsidRDefault="003D572C" w:rsidP="002A1407">
      <w:pPr>
        <w:pStyle w:val="ListBullet"/>
      </w:pPr>
      <w:r>
        <w:t>using the Commonwealth Contracting Suite for low-risk procurements valued under $1 million</w:t>
      </w:r>
    </w:p>
    <w:p w14:paraId="10C0F65A" w14:textId="77777777" w:rsidR="003D572C" w:rsidRDefault="003D572C" w:rsidP="002A1407">
      <w:pPr>
        <w:pStyle w:val="ListBullet"/>
      </w:pPr>
      <w:r>
        <w:t>implementing the Supplier Diversity Strategy to increase the level of activity between the agency and supplier groups such as Australian Disability Enterprises and Indigenous SMEs</w:t>
      </w:r>
    </w:p>
    <w:p w14:paraId="55B78BFF" w14:textId="77777777" w:rsidR="003D572C" w:rsidRDefault="003D572C" w:rsidP="002A1407">
      <w:pPr>
        <w:pStyle w:val="ListBullet"/>
      </w:pPr>
      <w:r>
        <w:t>being a member of Supply Nation – a non-profit organisation that supports growth in the Aboriginal and Torres Strait Islander business sector by promoting supplier diversity</w:t>
      </w:r>
    </w:p>
    <w:p w14:paraId="7D82A367" w14:textId="77777777" w:rsidR="003D572C" w:rsidRDefault="003D572C" w:rsidP="002A1407">
      <w:pPr>
        <w:pStyle w:val="ListBullet"/>
      </w:pPr>
      <w:r>
        <w:t>reporting the agency’s results against our Reconciliation Action Plan 2024 – 2026, on expenditure with Aboriginal and Torres Strait Islander businesses. In 2024–25 we spent $42,405,322 (including GST) with Aboriginal and Torres Strait Islander businesses</w:t>
      </w:r>
    </w:p>
    <w:p w14:paraId="17C3AA98" w14:textId="77777777" w:rsidR="003D572C" w:rsidRDefault="003D572C" w:rsidP="002A1407">
      <w:pPr>
        <w:pStyle w:val="ListBullet"/>
      </w:pPr>
      <w:r>
        <w:lastRenderedPageBreak/>
        <w:t>reporting the agency’s results against the Australian Government’s Indigenous Procurement Policy, on the number of contracts and total contract value with Indigenous SMEs. In 2024–25 we committed 838 contracts with a total contract value of $65,240,437 (including GST) with Indigenous SMEs</w:t>
      </w:r>
    </w:p>
    <w:p w14:paraId="48744C94" w14:textId="77777777" w:rsidR="003D572C" w:rsidRDefault="003D572C" w:rsidP="002A1407">
      <w:pPr>
        <w:pStyle w:val="ListBullet"/>
      </w:pPr>
      <w:r>
        <w:t>using Australian industry participation plans in whole-of-government procurement where applicable</w:t>
      </w:r>
    </w:p>
    <w:p w14:paraId="30AAAEEC" w14:textId="77777777" w:rsidR="003D572C" w:rsidRDefault="003D572C" w:rsidP="002A1407">
      <w:pPr>
        <w:pStyle w:val="ListBullet"/>
      </w:pPr>
      <w:r>
        <w:t>encouraging credit card use to expedite payments</w:t>
      </w:r>
    </w:p>
    <w:p w14:paraId="1F054F74" w14:textId="77777777" w:rsidR="003D572C" w:rsidRDefault="003D572C" w:rsidP="002A1407">
      <w:pPr>
        <w:pStyle w:val="ListBullet"/>
      </w:pPr>
      <w:r>
        <w:t>supporting the Supplier Pay-On-Time or Pay Interest Policy, implementing a standard payment term of 20 business days and a 5-day payment term for compliant e-invoicing capable suppliers.</w:t>
      </w:r>
    </w:p>
    <w:p w14:paraId="29C5E611" w14:textId="77777777" w:rsidR="003D572C" w:rsidRDefault="003D572C" w:rsidP="003D572C">
      <w:pPr>
        <w:pStyle w:val="BodyText"/>
      </w:pPr>
      <w:r>
        <w:t>Commonwealth SME and small enterprise participation statistics are available on the Department of Finance’s website.</w:t>
      </w:r>
    </w:p>
    <w:p w14:paraId="2817D43F" w14:textId="77777777" w:rsidR="003D572C" w:rsidRDefault="003D572C" w:rsidP="003D572C">
      <w:pPr>
        <w:pStyle w:val="Heading2"/>
      </w:pPr>
      <w:r>
        <w:t>Exempt contracts</w:t>
      </w:r>
    </w:p>
    <w:p w14:paraId="353645F6" w14:textId="77777777" w:rsidR="003D572C" w:rsidRDefault="003D572C" w:rsidP="003D572C">
      <w:pPr>
        <w:pStyle w:val="BodyText"/>
      </w:pPr>
      <w:r>
        <w:t>In 2024–25 the agency had no exempt contracts.</w:t>
      </w:r>
    </w:p>
    <w:p w14:paraId="7E26B65F" w14:textId="77777777" w:rsidR="003D572C" w:rsidRDefault="003D572C" w:rsidP="003D572C">
      <w:pPr>
        <w:pStyle w:val="Heading2"/>
      </w:pPr>
      <w:r>
        <w:t>Communication and advertising campaigns</w:t>
      </w:r>
    </w:p>
    <w:p w14:paraId="2E2F49B5" w14:textId="77777777" w:rsidR="003D572C" w:rsidRDefault="003D572C" w:rsidP="003D572C">
      <w:pPr>
        <w:pStyle w:val="BodyText"/>
        <w:rPr>
          <w:spacing w:val="-2"/>
        </w:rPr>
      </w:pPr>
      <w:r>
        <w:rPr>
          <w:spacing w:val="-2"/>
        </w:rPr>
        <w:t>The agency did not undertake any communication or advertising campaigns in 2024–25.</w:t>
      </w:r>
    </w:p>
    <w:p w14:paraId="672B6D82" w14:textId="77777777" w:rsidR="003D572C" w:rsidRDefault="003D572C" w:rsidP="003D572C">
      <w:pPr>
        <w:pStyle w:val="Heading3"/>
      </w:pPr>
      <w:r>
        <w:t xml:space="preserve">Advertising costs </w:t>
      </w:r>
    </w:p>
    <w:p w14:paraId="0814FC61" w14:textId="77777777" w:rsidR="003D572C" w:rsidRDefault="003D572C" w:rsidP="003D572C">
      <w:pPr>
        <w:pStyle w:val="BodyText"/>
      </w:pPr>
      <w:r>
        <w:t>In 2024–25 the agency’s advertising payments totalled $1,757,200. This included expenditure on print and online advertising in areas such as recruitment, public notices and procurement.</w:t>
      </w:r>
    </w:p>
    <w:p w14:paraId="2822DB26" w14:textId="77777777" w:rsidR="003D572C" w:rsidRDefault="003D572C" w:rsidP="003D572C">
      <w:pPr>
        <w:pStyle w:val="BodyText"/>
      </w:pPr>
      <w:r>
        <w:t>Table 56 lists the payees and total payments associated with advertising for 2024–25.</w:t>
      </w:r>
    </w:p>
    <w:p w14:paraId="5C3E0656" w14:textId="51F117A6" w:rsidR="003D572C" w:rsidRPr="002A1407" w:rsidRDefault="002A1407" w:rsidP="002A1407">
      <w:pPr>
        <w:pStyle w:val="BodyText"/>
        <w:rPr>
          <w:b/>
          <w:bCs/>
        </w:rPr>
      </w:pPr>
      <w:r w:rsidRPr="002A1407">
        <w:rPr>
          <w:b/>
          <w:bCs/>
        </w:rPr>
        <w:t>Table 56:</w:t>
      </w:r>
      <w:r w:rsidR="003D572C" w:rsidRPr="002A1407">
        <w:rPr>
          <w:b/>
          <w:bCs/>
        </w:rPr>
        <w:t xml:space="preserve"> Payments associated with advertising for 2024–25 </w:t>
      </w:r>
    </w:p>
    <w:tbl>
      <w:tblPr>
        <w:tblStyle w:val="TableGrid"/>
        <w:tblW w:w="5000" w:type="pct"/>
        <w:tblLook w:val="04A0" w:firstRow="1" w:lastRow="0" w:firstColumn="1" w:lastColumn="0" w:noHBand="0" w:noVBand="1"/>
        <w:tblCaption w:val="Payments associated with advertising for 2024–25 "/>
      </w:tblPr>
      <w:tblGrid>
        <w:gridCol w:w="6354"/>
        <w:gridCol w:w="2370"/>
        <w:gridCol w:w="2372"/>
      </w:tblGrid>
      <w:tr w:rsidR="003D572C" w14:paraId="069C757C" w14:textId="77777777" w:rsidTr="00672714">
        <w:trPr>
          <w:trHeight w:val="396"/>
          <w:tblHeader/>
        </w:trPr>
        <w:tc>
          <w:tcPr>
            <w:tcW w:w="2863" w:type="pct"/>
          </w:tcPr>
          <w:p w14:paraId="528600A9" w14:textId="77777777" w:rsidR="003D572C" w:rsidRPr="00891C1C" w:rsidRDefault="003D572C" w:rsidP="00891C1C">
            <w:pPr>
              <w:pStyle w:val="BodyText"/>
              <w:rPr>
                <w:b/>
                <w:bCs/>
              </w:rPr>
            </w:pPr>
            <w:r w:rsidRPr="00891C1C">
              <w:rPr>
                <w:b/>
                <w:bCs/>
              </w:rPr>
              <w:t>Payee</w:t>
            </w:r>
          </w:p>
        </w:tc>
        <w:tc>
          <w:tcPr>
            <w:tcW w:w="1068" w:type="pct"/>
          </w:tcPr>
          <w:p w14:paraId="79D4310D" w14:textId="77777777" w:rsidR="003D572C" w:rsidRPr="00891C1C" w:rsidRDefault="003D572C" w:rsidP="00891C1C">
            <w:pPr>
              <w:pStyle w:val="BodyText"/>
              <w:rPr>
                <w:b/>
                <w:bCs/>
              </w:rPr>
            </w:pPr>
            <w:r w:rsidRPr="00891C1C">
              <w:rPr>
                <w:b/>
                <w:bCs/>
              </w:rPr>
              <w:t>Purpose</w:t>
            </w:r>
          </w:p>
        </w:tc>
        <w:tc>
          <w:tcPr>
            <w:tcW w:w="1069" w:type="pct"/>
          </w:tcPr>
          <w:p w14:paraId="5C6AC1DF" w14:textId="77777777" w:rsidR="003D572C" w:rsidRPr="00891C1C" w:rsidRDefault="003D572C" w:rsidP="00891C1C">
            <w:pPr>
              <w:pStyle w:val="BodyText"/>
              <w:rPr>
                <w:b/>
                <w:bCs/>
              </w:rPr>
            </w:pPr>
            <w:r w:rsidRPr="00891C1C">
              <w:rPr>
                <w:b/>
                <w:bCs/>
              </w:rPr>
              <w:t>Cost $ (including GST)</w:t>
            </w:r>
          </w:p>
        </w:tc>
      </w:tr>
      <w:tr w:rsidR="003D572C" w14:paraId="523B525A" w14:textId="77777777" w:rsidTr="006A0585">
        <w:trPr>
          <w:trHeight w:val="396"/>
        </w:trPr>
        <w:tc>
          <w:tcPr>
            <w:tcW w:w="2863" w:type="pct"/>
          </w:tcPr>
          <w:p w14:paraId="3B53D7FC" w14:textId="77777777" w:rsidR="003D572C" w:rsidRDefault="003D572C" w:rsidP="00682FFF">
            <w:pPr>
              <w:pStyle w:val="BodyText"/>
            </w:pPr>
            <w:r>
              <w:t>Thryv Australia Pty Ltd</w:t>
            </w:r>
          </w:p>
        </w:tc>
        <w:tc>
          <w:tcPr>
            <w:tcW w:w="1068" w:type="pct"/>
          </w:tcPr>
          <w:p w14:paraId="1A91B265" w14:textId="77777777" w:rsidR="003D572C" w:rsidRDefault="003D572C" w:rsidP="00682FFF">
            <w:pPr>
              <w:pStyle w:val="BodyText"/>
            </w:pPr>
            <w:r>
              <w:t>White Pages</w:t>
            </w:r>
          </w:p>
        </w:tc>
        <w:tc>
          <w:tcPr>
            <w:tcW w:w="1069" w:type="pct"/>
          </w:tcPr>
          <w:p w14:paraId="627589FB" w14:textId="77777777" w:rsidR="003D572C" w:rsidRDefault="003D572C" w:rsidP="00682FFF">
            <w:pPr>
              <w:pStyle w:val="BodyText"/>
              <w:jc w:val="right"/>
            </w:pPr>
            <w:r>
              <w:t>925,100</w:t>
            </w:r>
          </w:p>
        </w:tc>
      </w:tr>
      <w:tr w:rsidR="003D572C" w14:paraId="62D16D8E" w14:textId="77777777" w:rsidTr="006A0585">
        <w:trPr>
          <w:trHeight w:val="396"/>
        </w:trPr>
        <w:tc>
          <w:tcPr>
            <w:tcW w:w="2863" w:type="pct"/>
          </w:tcPr>
          <w:p w14:paraId="48D31D50" w14:textId="77777777" w:rsidR="003D572C" w:rsidRDefault="003D572C" w:rsidP="00682FFF">
            <w:pPr>
              <w:pStyle w:val="BodyText"/>
            </w:pPr>
            <w:r>
              <w:t>Universal McCann</w:t>
            </w:r>
            <w:r>
              <w:br/>
              <w:t>(Mediabrands Australia Pty Ltd)</w:t>
            </w:r>
          </w:p>
        </w:tc>
        <w:tc>
          <w:tcPr>
            <w:tcW w:w="1068" w:type="pct"/>
          </w:tcPr>
          <w:p w14:paraId="66185F00" w14:textId="77777777" w:rsidR="003D572C" w:rsidRDefault="003D572C" w:rsidP="00682FFF">
            <w:pPr>
              <w:pStyle w:val="BodyText"/>
            </w:pPr>
            <w:r>
              <w:t>Advertising</w:t>
            </w:r>
          </w:p>
        </w:tc>
        <w:tc>
          <w:tcPr>
            <w:tcW w:w="1069" w:type="pct"/>
          </w:tcPr>
          <w:p w14:paraId="50017424" w14:textId="77777777" w:rsidR="003D572C" w:rsidRDefault="003D572C" w:rsidP="00682FFF">
            <w:pPr>
              <w:pStyle w:val="BodyText"/>
              <w:jc w:val="right"/>
            </w:pPr>
            <w:r>
              <w:t>832,100</w:t>
            </w:r>
          </w:p>
        </w:tc>
      </w:tr>
      <w:tr w:rsidR="003D572C" w14:paraId="142A13F4" w14:textId="77777777" w:rsidTr="006A0585">
        <w:trPr>
          <w:trHeight w:val="396"/>
        </w:trPr>
        <w:tc>
          <w:tcPr>
            <w:tcW w:w="2863" w:type="pct"/>
          </w:tcPr>
          <w:p w14:paraId="1764D0AE" w14:textId="77777777" w:rsidR="003D572C" w:rsidRDefault="003D572C" w:rsidP="00682FFF">
            <w:pPr>
              <w:pStyle w:val="BodyText"/>
            </w:pPr>
            <w:r>
              <w:rPr>
                <w:rStyle w:val="Bold"/>
              </w:rPr>
              <w:t>Total</w:t>
            </w:r>
          </w:p>
        </w:tc>
        <w:tc>
          <w:tcPr>
            <w:tcW w:w="1068" w:type="pct"/>
          </w:tcPr>
          <w:p w14:paraId="11A672DD" w14:textId="77777777" w:rsidR="003D572C" w:rsidRDefault="003D572C" w:rsidP="00682FFF">
            <w:pPr>
              <w:pStyle w:val="NoParagraphStyle"/>
              <w:spacing w:line="240" w:lineRule="auto"/>
              <w:textAlignment w:val="auto"/>
              <w:rPr>
                <w:rFonts w:ascii="Roboto-Medium" w:hAnsi="Roboto-Medium" w:cstheme="minorBidi"/>
                <w:color w:val="auto"/>
                <w:lang w:val="en-AU"/>
              </w:rPr>
            </w:pPr>
          </w:p>
        </w:tc>
        <w:tc>
          <w:tcPr>
            <w:tcW w:w="1069" w:type="pct"/>
          </w:tcPr>
          <w:p w14:paraId="39913EFC" w14:textId="77777777" w:rsidR="003D572C" w:rsidRDefault="003D572C" w:rsidP="00682FFF">
            <w:pPr>
              <w:pStyle w:val="BodyText"/>
              <w:jc w:val="right"/>
            </w:pPr>
            <w:r>
              <w:rPr>
                <w:rStyle w:val="Bold"/>
              </w:rPr>
              <w:t>1,757,200</w:t>
            </w:r>
          </w:p>
        </w:tc>
      </w:tr>
    </w:tbl>
    <w:p w14:paraId="4DD5BAC3" w14:textId="77777777" w:rsidR="003D572C" w:rsidRDefault="003D572C" w:rsidP="003D572C">
      <w:pPr>
        <w:pStyle w:val="Heading2"/>
      </w:pPr>
      <w:r>
        <w:t>Market research payments</w:t>
      </w:r>
    </w:p>
    <w:p w14:paraId="1B6AB983" w14:textId="77777777" w:rsidR="003D572C" w:rsidRDefault="003D572C" w:rsidP="003D572C">
      <w:pPr>
        <w:pStyle w:val="BodyText"/>
      </w:pPr>
      <w:r>
        <w:t xml:space="preserve">Table 57 lists vendors the agency commissioned, the type of research they undertook and the cost for each service. </w:t>
      </w:r>
    </w:p>
    <w:p w14:paraId="685B94EE" w14:textId="0C193BAD" w:rsidR="003D572C" w:rsidRPr="002A1407" w:rsidRDefault="002A1407" w:rsidP="002A1407">
      <w:pPr>
        <w:pStyle w:val="BodyText"/>
        <w:rPr>
          <w:b/>
          <w:bCs/>
        </w:rPr>
      </w:pPr>
      <w:r w:rsidRPr="002A1407">
        <w:rPr>
          <w:b/>
          <w:bCs/>
        </w:rPr>
        <w:t>Table 57:</w:t>
      </w:r>
      <w:r w:rsidR="003D572C" w:rsidRPr="002A1407">
        <w:rPr>
          <w:b/>
          <w:bCs/>
        </w:rPr>
        <w:t xml:space="preserve"> Payments associated with market research organisations for 2024–25 </w:t>
      </w:r>
    </w:p>
    <w:tbl>
      <w:tblPr>
        <w:tblStyle w:val="TableGrid"/>
        <w:tblW w:w="5000" w:type="pct"/>
        <w:tblLook w:val="04A0" w:firstRow="1" w:lastRow="0" w:firstColumn="1" w:lastColumn="0" w:noHBand="0" w:noVBand="1"/>
        <w:tblCaption w:val="Payments associated with market research organisations for 2024–25 "/>
      </w:tblPr>
      <w:tblGrid>
        <w:gridCol w:w="4363"/>
        <w:gridCol w:w="4361"/>
        <w:gridCol w:w="2372"/>
      </w:tblGrid>
      <w:tr w:rsidR="003D572C" w14:paraId="5DF9282D" w14:textId="77777777" w:rsidTr="00672714">
        <w:trPr>
          <w:trHeight w:val="396"/>
          <w:tblHeader/>
        </w:trPr>
        <w:tc>
          <w:tcPr>
            <w:tcW w:w="1966" w:type="pct"/>
          </w:tcPr>
          <w:p w14:paraId="28337B5F" w14:textId="77777777" w:rsidR="003D572C" w:rsidRPr="00891C1C" w:rsidRDefault="003D572C" w:rsidP="00891C1C">
            <w:pPr>
              <w:pStyle w:val="BodyText"/>
              <w:rPr>
                <w:b/>
                <w:bCs/>
              </w:rPr>
            </w:pPr>
            <w:r w:rsidRPr="00891C1C">
              <w:rPr>
                <w:b/>
                <w:bCs/>
              </w:rPr>
              <w:lastRenderedPageBreak/>
              <w:t xml:space="preserve">Vendor </w:t>
            </w:r>
          </w:p>
        </w:tc>
        <w:tc>
          <w:tcPr>
            <w:tcW w:w="1965" w:type="pct"/>
          </w:tcPr>
          <w:p w14:paraId="5A10A355" w14:textId="77777777" w:rsidR="003D572C" w:rsidRPr="00891C1C" w:rsidRDefault="003D572C" w:rsidP="00891C1C">
            <w:pPr>
              <w:pStyle w:val="BodyText"/>
              <w:rPr>
                <w:b/>
                <w:bCs/>
              </w:rPr>
            </w:pPr>
            <w:r w:rsidRPr="00891C1C">
              <w:rPr>
                <w:b/>
                <w:bCs/>
              </w:rPr>
              <w:t>Research type</w:t>
            </w:r>
          </w:p>
        </w:tc>
        <w:tc>
          <w:tcPr>
            <w:tcW w:w="1069" w:type="pct"/>
          </w:tcPr>
          <w:p w14:paraId="4B56DA15" w14:textId="77777777" w:rsidR="003D572C" w:rsidRPr="00891C1C" w:rsidRDefault="003D572C" w:rsidP="00891C1C">
            <w:pPr>
              <w:pStyle w:val="BodyText"/>
              <w:rPr>
                <w:b/>
                <w:bCs/>
              </w:rPr>
            </w:pPr>
            <w:r w:rsidRPr="00891C1C">
              <w:rPr>
                <w:b/>
                <w:bCs/>
              </w:rPr>
              <w:t>Cost $ (including GST)</w:t>
            </w:r>
          </w:p>
        </w:tc>
      </w:tr>
      <w:tr w:rsidR="003D572C" w14:paraId="10C4A7EA" w14:textId="77777777" w:rsidTr="006A0585">
        <w:trPr>
          <w:trHeight w:val="396"/>
        </w:trPr>
        <w:tc>
          <w:tcPr>
            <w:tcW w:w="1966" w:type="pct"/>
          </w:tcPr>
          <w:p w14:paraId="3A872A4D" w14:textId="77777777" w:rsidR="003D572C" w:rsidRDefault="003D572C" w:rsidP="00682FFF">
            <w:pPr>
              <w:pStyle w:val="BodyText"/>
            </w:pPr>
            <w:r>
              <w:t>Verian Group Australia Pty Ltd</w:t>
            </w:r>
          </w:p>
        </w:tc>
        <w:tc>
          <w:tcPr>
            <w:tcW w:w="1965" w:type="pct"/>
          </w:tcPr>
          <w:p w14:paraId="6E6EB1A6" w14:textId="77777777" w:rsidR="003D572C" w:rsidRDefault="003D572C" w:rsidP="00682FFF">
            <w:pPr>
              <w:pStyle w:val="BodyText"/>
            </w:pPr>
            <w:r>
              <w:t>Customer Satisfaction Research Program</w:t>
            </w:r>
          </w:p>
        </w:tc>
        <w:tc>
          <w:tcPr>
            <w:tcW w:w="1069" w:type="pct"/>
          </w:tcPr>
          <w:p w14:paraId="27A219CD" w14:textId="77777777" w:rsidR="003D572C" w:rsidRDefault="003D572C" w:rsidP="00682FFF">
            <w:pPr>
              <w:pStyle w:val="BodyText"/>
              <w:jc w:val="right"/>
            </w:pPr>
            <w:r>
              <w:t>151,998.00</w:t>
            </w:r>
          </w:p>
        </w:tc>
      </w:tr>
      <w:tr w:rsidR="003D572C" w14:paraId="3738D1F7" w14:textId="77777777" w:rsidTr="006A0585">
        <w:trPr>
          <w:trHeight w:val="396"/>
        </w:trPr>
        <w:tc>
          <w:tcPr>
            <w:tcW w:w="1966" w:type="pct"/>
          </w:tcPr>
          <w:p w14:paraId="636A78B3" w14:textId="77777777" w:rsidR="003D572C" w:rsidRDefault="003D572C" w:rsidP="00682FFF">
            <w:pPr>
              <w:pStyle w:val="BodyText"/>
            </w:pPr>
            <w:r>
              <w:rPr>
                <w:rStyle w:val="Bold"/>
                <w:b w:val="0"/>
                <w:bCs w:val="0"/>
              </w:rPr>
              <w:t>Instinct and Reason Pty Ltd</w:t>
            </w:r>
          </w:p>
        </w:tc>
        <w:tc>
          <w:tcPr>
            <w:tcW w:w="1965" w:type="pct"/>
          </w:tcPr>
          <w:p w14:paraId="06A549D1" w14:textId="77777777" w:rsidR="003D572C" w:rsidRDefault="003D572C" w:rsidP="00682FFF">
            <w:pPr>
              <w:pStyle w:val="BodyText"/>
            </w:pPr>
            <w:r>
              <w:t>Customer Satisfaction Research Program</w:t>
            </w:r>
          </w:p>
        </w:tc>
        <w:tc>
          <w:tcPr>
            <w:tcW w:w="1069" w:type="pct"/>
          </w:tcPr>
          <w:p w14:paraId="0E0D81CA" w14:textId="77777777" w:rsidR="003D572C" w:rsidRDefault="003D572C" w:rsidP="00682FFF">
            <w:pPr>
              <w:pStyle w:val="BodyText"/>
              <w:jc w:val="right"/>
            </w:pPr>
            <w:r>
              <w:t>1,591,915.00</w:t>
            </w:r>
          </w:p>
        </w:tc>
      </w:tr>
      <w:tr w:rsidR="003D572C" w14:paraId="049AAC20" w14:textId="77777777" w:rsidTr="006A0585">
        <w:trPr>
          <w:trHeight w:val="396"/>
        </w:trPr>
        <w:tc>
          <w:tcPr>
            <w:tcW w:w="1966" w:type="pct"/>
          </w:tcPr>
          <w:p w14:paraId="19DBB152" w14:textId="77777777" w:rsidR="003D572C" w:rsidRDefault="003D572C" w:rsidP="00682FFF">
            <w:pPr>
              <w:pStyle w:val="BodyText"/>
            </w:pPr>
            <w:r>
              <w:rPr>
                <w:rStyle w:val="Bold"/>
                <w:b w:val="0"/>
                <w:bCs w:val="0"/>
              </w:rPr>
              <w:t>Instinct and Reason Pty Ltd</w:t>
            </w:r>
          </w:p>
        </w:tc>
        <w:tc>
          <w:tcPr>
            <w:tcW w:w="1965" w:type="pct"/>
          </w:tcPr>
          <w:p w14:paraId="1C2E604C" w14:textId="77777777" w:rsidR="003D572C" w:rsidRDefault="003D572C" w:rsidP="00682FFF">
            <w:pPr>
              <w:pStyle w:val="BodyText"/>
            </w:pPr>
            <w:r>
              <w:t>Audience message and content testing</w:t>
            </w:r>
          </w:p>
        </w:tc>
        <w:tc>
          <w:tcPr>
            <w:tcW w:w="1069" w:type="pct"/>
          </w:tcPr>
          <w:p w14:paraId="3A30FE5B" w14:textId="77777777" w:rsidR="003D572C" w:rsidRDefault="003D572C" w:rsidP="00682FFF">
            <w:pPr>
              <w:pStyle w:val="BodyText"/>
              <w:jc w:val="right"/>
            </w:pPr>
            <w:r>
              <w:t>393,352.00</w:t>
            </w:r>
          </w:p>
        </w:tc>
      </w:tr>
      <w:tr w:rsidR="003D572C" w14:paraId="27D8364C" w14:textId="77777777" w:rsidTr="006A0585">
        <w:trPr>
          <w:trHeight w:val="396"/>
        </w:trPr>
        <w:tc>
          <w:tcPr>
            <w:tcW w:w="1966" w:type="pct"/>
          </w:tcPr>
          <w:p w14:paraId="3CC9EA8B" w14:textId="77777777" w:rsidR="003D572C" w:rsidRDefault="003D572C" w:rsidP="00682FFF">
            <w:pPr>
              <w:pStyle w:val="BodyText"/>
            </w:pPr>
            <w:r>
              <w:rPr>
                <w:rStyle w:val="Bold"/>
                <w:b w:val="0"/>
                <w:bCs w:val="0"/>
              </w:rPr>
              <w:t>Instinct and Reason Pty Ltd</w:t>
            </w:r>
          </w:p>
        </w:tc>
        <w:tc>
          <w:tcPr>
            <w:tcW w:w="1965" w:type="pct"/>
          </w:tcPr>
          <w:p w14:paraId="2937A2B3" w14:textId="77777777" w:rsidR="003D572C" w:rsidRDefault="003D572C" w:rsidP="00682FFF">
            <w:pPr>
              <w:pStyle w:val="BodyText"/>
            </w:pPr>
            <w:r>
              <w:t>Centrepay Reform Business Market Research</w:t>
            </w:r>
          </w:p>
        </w:tc>
        <w:tc>
          <w:tcPr>
            <w:tcW w:w="1069" w:type="pct"/>
          </w:tcPr>
          <w:p w14:paraId="56697C73" w14:textId="77777777" w:rsidR="003D572C" w:rsidRDefault="003D572C" w:rsidP="00682FFF">
            <w:pPr>
              <w:pStyle w:val="BodyText"/>
              <w:jc w:val="right"/>
            </w:pPr>
            <w:r>
              <w:t>38,500.00</w:t>
            </w:r>
          </w:p>
        </w:tc>
      </w:tr>
      <w:tr w:rsidR="003D572C" w14:paraId="15768489" w14:textId="77777777" w:rsidTr="006A0585">
        <w:trPr>
          <w:trHeight w:val="396"/>
        </w:trPr>
        <w:tc>
          <w:tcPr>
            <w:tcW w:w="1966" w:type="pct"/>
          </w:tcPr>
          <w:p w14:paraId="2CA7D861" w14:textId="77777777" w:rsidR="003D572C" w:rsidRDefault="003D572C" w:rsidP="00682FFF">
            <w:pPr>
              <w:pStyle w:val="BodyText"/>
            </w:pPr>
            <w:r>
              <w:rPr>
                <w:rStyle w:val="Bold"/>
                <w:b w:val="0"/>
                <w:bCs w:val="0"/>
              </w:rPr>
              <w:t>McNair yellowSquares Pty Ltd</w:t>
            </w:r>
          </w:p>
        </w:tc>
        <w:tc>
          <w:tcPr>
            <w:tcW w:w="1965" w:type="pct"/>
          </w:tcPr>
          <w:p w14:paraId="3E24C1C1" w14:textId="77777777" w:rsidR="003D572C" w:rsidRDefault="003D572C" w:rsidP="00682FFF">
            <w:pPr>
              <w:pStyle w:val="BodyText"/>
            </w:pPr>
            <w:r>
              <w:t>User recruitment for the Agency’s-led user research</w:t>
            </w:r>
          </w:p>
        </w:tc>
        <w:tc>
          <w:tcPr>
            <w:tcW w:w="1069" w:type="pct"/>
          </w:tcPr>
          <w:p w14:paraId="2329CBA7" w14:textId="77777777" w:rsidR="003D572C" w:rsidRDefault="003D572C" w:rsidP="00682FFF">
            <w:pPr>
              <w:pStyle w:val="BodyText"/>
              <w:jc w:val="right"/>
            </w:pPr>
            <w:r>
              <w:t>22,044.00</w:t>
            </w:r>
          </w:p>
        </w:tc>
      </w:tr>
      <w:tr w:rsidR="003D572C" w14:paraId="6F6DD8DC" w14:textId="77777777" w:rsidTr="006A0585">
        <w:trPr>
          <w:trHeight w:val="396"/>
        </w:trPr>
        <w:tc>
          <w:tcPr>
            <w:tcW w:w="1966" w:type="pct"/>
          </w:tcPr>
          <w:p w14:paraId="7EC73E74" w14:textId="77777777" w:rsidR="003D572C" w:rsidRDefault="003D572C" w:rsidP="00682FFF">
            <w:pPr>
              <w:pStyle w:val="BodyText"/>
            </w:pPr>
            <w:r>
              <w:rPr>
                <w:rStyle w:val="Bold"/>
                <w:b w:val="0"/>
                <w:bCs w:val="0"/>
              </w:rPr>
              <w:t>Lonergan Research Pty Ltd</w:t>
            </w:r>
          </w:p>
        </w:tc>
        <w:tc>
          <w:tcPr>
            <w:tcW w:w="1965" w:type="pct"/>
          </w:tcPr>
          <w:p w14:paraId="3CB3DB4E" w14:textId="77777777" w:rsidR="003D572C" w:rsidRDefault="003D572C" w:rsidP="00682FFF">
            <w:pPr>
              <w:pStyle w:val="BodyText"/>
            </w:pPr>
            <w:r>
              <w:t>User recruitment for the Agency’s-led user research</w:t>
            </w:r>
          </w:p>
        </w:tc>
        <w:tc>
          <w:tcPr>
            <w:tcW w:w="1069" w:type="pct"/>
          </w:tcPr>
          <w:p w14:paraId="5AF12038" w14:textId="77777777" w:rsidR="003D572C" w:rsidRDefault="003D572C" w:rsidP="00682FFF">
            <w:pPr>
              <w:pStyle w:val="BodyText"/>
              <w:jc w:val="right"/>
            </w:pPr>
            <w:r>
              <w:t>18,678.50</w:t>
            </w:r>
          </w:p>
        </w:tc>
      </w:tr>
      <w:tr w:rsidR="003D572C" w14:paraId="2A764AC3" w14:textId="77777777" w:rsidTr="006A0585">
        <w:trPr>
          <w:trHeight w:val="396"/>
        </w:trPr>
        <w:tc>
          <w:tcPr>
            <w:tcW w:w="1966" w:type="pct"/>
          </w:tcPr>
          <w:p w14:paraId="64256BED" w14:textId="77777777" w:rsidR="003D572C" w:rsidRDefault="003D572C" w:rsidP="00682FFF">
            <w:pPr>
              <w:pStyle w:val="BodyText"/>
            </w:pPr>
            <w:r>
              <w:rPr>
                <w:rStyle w:val="Bold"/>
                <w:b w:val="0"/>
                <w:bCs w:val="0"/>
              </w:rPr>
              <w:t>Whereto Research-Based Consulting Pty Ltd</w:t>
            </w:r>
          </w:p>
        </w:tc>
        <w:tc>
          <w:tcPr>
            <w:tcW w:w="1965" w:type="pct"/>
          </w:tcPr>
          <w:p w14:paraId="0AAA549E" w14:textId="77777777" w:rsidR="003D572C" w:rsidRDefault="003D572C" w:rsidP="00682FFF">
            <w:pPr>
              <w:pStyle w:val="BodyText"/>
            </w:pPr>
            <w:r>
              <w:t xml:space="preserve">Audience communication research </w:t>
            </w:r>
          </w:p>
        </w:tc>
        <w:tc>
          <w:tcPr>
            <w:tcW w:w="1069" w:type="pct"/>
          </w:tcPr>
          <w:p w14:paraId="437CEBFE" w14:textId="77777777" w:rsidR="003D572C" w:rsidRDefault="003D572C" w:rsidP="00682FFF">
            <w:pPr>
              <w:pStyle w:val="BodyText"/>
              <w:jc w:val="right"/>
            </w:pPr>
            <w:r>
              <w:t>385,679.60</w:t>
            </w:r>
          </w:p>
        </w:tc>
      </w:tr>
      <w:tr w:rsidR="003D572C" w14:paraId="5E432C7D" w14:textId="77777777" w:rsidTr="006A0585">
        <w:trPr>
          <w:trHeight w:val="396"/>
        </w:trPr>
        <w:tc>
          <w:tcPr>
            <w:tcW w:w="1966" w:type="pct"/>
          </w:tcPr>
          <w:p w14:paraId="171EEC5D" w14:textId="77777777" w:rsidR="003D572C" w:rsidRDefault="003D572C" w:rsidP="00682FFF">
            <w:pPr>
              <w:pStyle w:val="BodyText"/>
            </w:pPr>
            <w:r>
              <w:rPr>
                <w:rStyle w:val="Bold"/>
                <w:b w:val="0"/>
                <w:bCs w:val="0"/>
              </w:rPr>
              <w:t>Askable Pty Ltd</w:t>
            </w:r>
          </w:p>
        </w:tc>
        <w:tc>
          <w:tcPr>
            <w:tcW w:w="1965" w:type="pct"/>
          </w:tcPr>
          <w:p w14:paraId="185E773E" w14:textId="77777777" w:rsidR="003D572C" w:rsidRDefault="003D572C" w:rsidP="00682FFF">
            <w:pPr>
              <w:pStyle w:val="BodyText"/>
            </w:pPr>
            <w:r>
              <w:t>Comprehensive user research and testing services, including recruitment, reporting and recommendations</w:t>
            </w:r>
          </w:p>
        </w:tc>
        <w:tc>
          <w:tcPr>
            <w:tcW w:w="1069" w:type="pct"/>
          </w:tcPr>
          <w:p w14:paraId="7B1135A0" w14:textId="77777777" w:rsidR="003D572C" w:rsidRDefault="003D572C" w:rsidP="00682FFF">
            <w:pPr>
              <w:pStyle w:val="BodyText"/>
              <w:jc w:val="right"/>
            </w:pPr>
            <w:r>
              <w:t>120,236.20</w:t>
            </w:r>
          </w:p>
        </w:tc>
      </w:tr>
      <w:tr w:rsidR="003D572C" w14:paraId="797C476A" w14:textId="77777777" w:rsidTr="006A0585">
        <w:trPr>
          <w:trHeight w:val="396"/>
        </w:trPr>
        <w:tc>
          <w:tcPr>
            <w:tcW w:w="1966" w:type="pct"/>
          </w:tcPr>
          <w:p w14:paraId="520EB0DE" w14:textId="77777777" w:rsidR="003D572C" w:rsidRDefault="003D572C" w:rsidP="00682FFF">
            <w:pPr>
              <w:pStyle w:val="BodyText"/>
            </w:pPr>
            <w:r>
              <w:t>ETM Perspectives Pty Ltd</w:t>
            </w:r>
          </w:p>
        </w:tc>
        <w:tc>
          <w:tcPr>
            <w:tcW w:w="1965" w:type="pct"/>
          </w:tcPr>
          <w:p w14:paraId="18A41F59" w14:textId="77777777" w:rsidR="003D572C" w:rsidRDefault="003D572C" w:rsidP="00682FFF">
            <w:pPr>
              <w:pStyle w:val="BodyText"/>
            </w:pPr>
            <w:r>
              <w:t>Centrepay Reform Regional/Remote Engagement</w:t>
            </w:r>
          </w:p>
        </w:tc>
        <w:tc>
          <w:tcPr>
            <w:tcW w:w="1069" w:type="pct"/>
          </w:tcPr>
          <w:p w14:paraId="6B5365FB" w14:textId="77777777" w:rsidR="003D572C" w:rsidRDefault="003D572C" w:rsidP="00682FFF">
            <w:pPr>
              <w:pStyle w:val="BodyText"/>
              <w:jc w:val="right"/>
            </w:pPr>
            <w:r>
              <w:t>228,950.26</w:t>
            </w:r>
          </w:p>
        </w:tc>
      </w:tr>
      <w:tr w:rsidR="003D572C" w14:paraId="24AAEF81" w14:textId="77777777" w:rsidTr="006A0585">
        <w:trPr>
          <w:trHeight w:val="396"/>
        </w:trPr>
        <w:tc>
          <w:tcPr>
            <w:tcW w:w="1966" w:type="pct"/>
          </w:tcPr>
          <w:p w14:paraId="2FCCA9D1" w14:textId="77777777" w:rsidR="003D572C" w:rsidRDefault="003D572C" w:rsidP="00682FFF">
            <w:pPr>
              <w:pStyle w:val="BodyText"/>
            </w:pPr>
            <w:r>
              <w:t>Digital Discovery Pty Ltd</w:t>
            </w:r>
          </w:p>
        </w:tc>
        <w:tc>
          <w:tcPr>
            <w:tcW w:w="1965" w:type="pct"/>
          </w:tcPr>
          <w:p w14:paraId="599B7796" w14:textId="77777777" w:rsidR="003D572C" w:rsidRDefault="003D572C" w:rsidP="00682FFF">
            <w:pPr>
              <w:pStyle w:val="BodyText"/>
            </w:pPr>
            <w:r>
              <w:t>Digital Discovery</w:t>
            </w:r>
          </w:p>
        </w:tc>
        <w:tc>
          <w:tcPr>
            <w:tcW w:w="1069" w:type="pct"/>
          </w:tcPr>
          <w:p w14:paraId="3C47AC54" w14:textId="77777777" w:rsidR="003D572C" w:rsidRDefault="003D572C" w:rsidP="00682FFF">
            <w:pPr>
              <w:pStyle w:val="BodyText"/>
              <w:jc w:val="right"/>
            </w:pPr>
            <w:r>
              <w:t>37,290.00</w:t>
            </w:r>
          </w:p>
        </w:tc>
      </w:tr>
      <w:tr w:rsidR="003D572C" w14:paraId="2C3B377D" w14:textId="77777777" w:rsidTr="006A0585">
        <w:trPr>
          <w:trHeight w:val="396"/>
        </w:trPr>
        <w:tc>
          <w:tcPr>
            <w:tcW w:w="1966" w:type="pct"/>
          </w:tcPr>
          <w:p w14:paraId="4CB2EB4C" w14:textId="77777777" w:rsidR="003D572C" w:rsidRDefault="003D572C" w:rsidP="00682FFF">
            <w:pPr>
              <w:pStyle w:val="BodyText"/>
            </w:pPr>
            <w:r>
              <w:t>Farron Research Group Pty Ltd</w:t>
            </w:r>
          </w:p>
        </w:tc>
        <w:tc>
          <w:tcPr>
            <w:tcW w:w="1965" w:type="pct"/>
          </w:tcPr>
          <w:p w14:paraId="06F9AEBC" w14:textId="77777777" w:rsidR="003D572C" w:rsidRDefault="003D572C" w:rsidP="00682FFF">
            <w:pPr>
              <w:pStyle w:val="BodyText"/>
            </w:pPr>
            <w:r>
              <w:t>User recruitment for the Agency’s-led user research</w:t>
            </w:r>
          </w:p>
        </w:tc>
        <w:tc>
          <w:tcPr>
            <w:tcW w:w="1069" w:type="pct"/>
          </w:tcPr>
          <w:p w14:paraId="33B119E5" w14:textId="77777777" w:rsidR="003D572C" w:rsidRDefault="003D572C" w:rsidP="00682FFF">
            <w:pPr>
              <w:pStyle w:val="BodyText"/>
              <w:jc w:val="right"/>
            </w:pPr>
            <w:r>
              <w:t>21,533.00</w:t>
            </w:r>
          </w:p>
        </w:tc>
      </w:tr>
      <w:tr w:rsidR="003D572C" w14:paraId="64D9C508" w14:textId="77777777" w:rsidTr="006A0585">
        <w:trPr>
          <w:trHeight w:val="396"/>
        </w:trPr>
        <w:tc>
          <w:tcPr>
            <w:tcW w:w="1966" w:type="pct"/>
          </w:tcPr>
          <w:p w14:paraId="76CC9351" w14:textId="77777777" w:rsidR="003D572C" w:rsidRDefault="003D572C" w:rsidP="00682FFF">
            <w:pPr>
              <w:pStyle w:val="BodyText"/>
            </w:pPr>
            <w:r>
              <w:rPr>
                <w:rStyle w:val="Bold"/>
              </w:rPr>
              <w:t>Total</w:t>
            </w:r>
          </w:p>
        </w:tc>
        <w:tc>
          <w:tcPr>
            <w:tcW w:w="1965" w:type="pct"/>
          </w:tcPr>
          <w:p w14:paraId="213C939F" w14:textId="77777777" w:rsidR="003D572C" w:rsidRDefault="003D572C" w:rsidP="00682FFF">
            <w:pPr>
              <w:pStyle w:val="NoParagraphStyle"/>
              <w:spacing w:line="240" w:lineRule="auto"/>
              <w:textAlignment w:val="auto"/>
              <w:rPr>
                <w:rFonts w:ascii="Roboto-Medium" w:hAnsi="Roboto-Medium" w:cstheme="minorBidi"/>
                <w:color w:val="auto"/>
                <w:lang w:val="en-AU"/>
              </w:rPr>
            </w:pPr>
          </w:p>
        </w:tc>
        <w:tc>
          <w:tcPr>
            <w:tcW w:w="1069" w:type="pct"/>
          </w:tcPr>
          <w:p w14:paraId="2BF804B8" w14:textId="77777777" w:rsidR="003D572C" w:rsidRDefault="003D572C" w:rsidP="00682FFF">
            <w:pPr>
              <w:pStyle w:val="BodyText"/>
              <w:jc w:val="right"/>
            </w:pPr>
            <w:r>
              <w:rPr>
                <w:rStyle w:val="Bold"/>
              </w:rPr>
              <w:t>3,010,176.56</w:t>
            </w:r>
          </w:p>
        </w:tc>
      </w:tr>
    </w:tbl>
    <w:p w14:paraId="79D9879E" w14:textId="77777777" w:rsidR="003D572C" w:rsidRDefault="003D572C" w:rsidP="003D572C">
      <w:pPr>
        <w:pStyle w:val="Heading2"/>
      </w:pPr>
      <w:r>
        <w:t>ANAO access clauses</w:t>
      </w:r>
    </w:p>
    <w:p w14:paraId="2934BC33" w14:textId="77777777" w:rsidR="003D572C" w:rsidRDefault="003D572C" w:rsidP="003D572C">
      <w:pPr>
        <w:pStyle w:val="BodyText"/>
      </w:pPr>
      <w:r>
        <w:rPr>
          <w:spacing w:val="-2"/>
        </w:rPr>
        <w:t xml:space="preserve">All the agency’s contract templates include a standard clause giving the Auditor-General </w:t>
      </w:r>
      <w:r>
        <w:t xml:space="preserve">appropriate access to a contractor’s premises and records. </w:t>
      </w:r>
    </w:p>
    <w:p w14:paraId="7BBBA0DA" w14:textId="63C36844" w:rsidR="002A1407" w:rsidRDefault="002A1407" w:rsidP="002A1407">
      <w:pPr>
        <w:pStyle w:val="Heading1"/>
      </w:pPr>
      <w:bookmarkStart w:id="63" w:name="_Toc210815442"/>
      <w:r>
        <w:lastRenderedPageBreak/>
        <w:t>Part 10 – Appendices</w:t>
      </w:r>
      <w:bookmarkEnd w:id="63"/>
    </w:p>
    <w:p w14:paraId="607DEAED" w14:textId="77777777" w:rsidR="00247AD2" w:rsidRDefault="00247AD2" w:rsidP="00247AD2">
      <w:pPr>
        <w:pStyle w:val="Heading1"/>
        <w:spacing w:after="113"/>
      </w:pPr>
      <w:bookmarkStart w:id="64" w:name="_Toc210815443"/>
      <w:r>
        <w:t>Appendix A — Staffing statistics</w:t>
      </w:r>
      <w:bookmarkEnd w:id="64"/>
      <w:r>
        <w:t xml:space="preserve"> </w:t>
      </w:r>
    </w:p>
    <w:p w14:paraId="59AA65A1" w14:textId="77777777" w:rsidR="00247AD2" w:rsidRDefault="00247AD2" w:rsidP="00247AD2">
      <w:pPr>
        <w:pStyle w:val="Heading2"/>
        <w:spacing w:after="113"/>
      </w:pPr>
      <w:r>
        <w:t>PGPA Rule section 17AD(da) executive remuneration</w:t>
      </w:r>
    </w:p>
    <w:p w14:paraId="7909C207" w14:textId="1185C6E4" w:rsidR="00247AD2" w:rsidRPr="00247AD2" w:rsidRDefault="00247AD2" w:rsidP="00247AD2">
      <w:pPr>
        <w:pStyle w:val="BodyText"/>
        <w:rPr>
          <w:b/>
          <w:bCs/>
        </w:rPr>
      </w:pPr>
      <w:r w:rsidRPr="00247AD2">
        <w:rPr>
          <w:b/>
          <w:bCs/>
        </w:rPr>
        <w:t xml:space="preserve">Table 58: Information about remuneration for key management personnel 2024–25 </w:t>
      </w:r>
    </w:p>
    <w:tbl>
      <w:tblPr>
        <w:tblStyle w:val="TableGrid"/>
        <w:tblW w:w="5000" w:type="pct"/>
        <w:tblLook w:val="04A0" w:firstRow="1" w:lastRow="0" w:firstColumn="1" w:lastColumn="0" w:noHBand="0" w:noVBand="1"/>
        <w:tblCaption w:val="Information about remuneration for key management personnel 2024–25 "/>
      </w:tblPr>
      <w:tblGrid>
        <w:gridCol w:w="1031"/>
        <w:gridCol w:w="1191"/>
        <w:gridCol w:w="973"/>
        <w:gridCol w:w="935"/>
        <w:gridCol w:w="1260"/>
        <w:gridCol w:w="1512"/>
        <w:gridCol w:w="831"/>
        <w:gridCol w:w="869"/>
        <w:gridCol w:w="1190"/>
        <w:gridCol w:w="1304"/>
      </w:tblGrid>
      <w:tr w:rsidR="00247AD2" w:rsidRPr="00672714" w14:paraId="42EB2CB0" w14:textId="77777777" w:rsidTr="00672714">
        <w:trPr>
          <w:trHeight w:val="566"/>
          <w:tblHeader/>
        </w:trPr>
        <w:tc>
          <w:tcPr>
            <w:tcW w:w="496" w:type="pct"/>
          </w:tcPr>
          <w:p w14:paraId="06658001" w14:textId="77777777" w:rsidR="00247AD2" w:rsidRPr="00672714" w:rsidRDefault="00247AD2" w:rsidP="00672714">
            <w:pPr>
              <w:pStyle w:val="BodyText"/>
              <w:rPr>
                <w:b/>
                <w:bCs/>
                <w:sz w:val="20"/>
                <w:szCs w:val="20"/>
              </w:rPr>
            </w:pPr>
            <w:r w:rsidRPr="00672714">
              <w:rPr>
                <w:b/>
                <w:bCs/>
                <w:sz w:val="20"/>
                <w:szCs w:val="20"/>
              </w:rPr>
              <w:t>Name</w:t>
            </w:r>
          </w:p>
        </w:tc>
        <w:tc>
          <w:tcPr>
            <w:tcW w:w="719" w:type="pct"/>
          </w:tcPr>
          <w:p w14:paraId="7EEC6AC5" w14:textId="77777777" w:rsidR="00247AD2" w:rsidRPr="00672714" w:rsidRDefault="00247AD2" w:rsidP="00672714">
            <w:pPr>
              <w:pStyle w:val="BodyText"/>
              <w:rPr>
                <w:b/>
                <w:bCs/>
                <w:sz w:val="20"/>
                <w:szCs w:val="20"/>
              </w:rPr>
            </w:pPr>
            <w:r w:rsidRPr="00672714">
              <w:rPr>
                <w:b/>
                <w:bCs/>
                <w:sz w:val="20"/>
                <w:szCs w:val="20"/>
              </w:rPr>
              <w:t>Position title</w:t>
            </w:r>
          </w:p>
        </w:tc>
        <w:tc>
          <w:tcPr>
            <w:tcW w:w="1339" w:type="pct"/>
            <w:gridSpan w:val="3"/>
          </w:tcPr>
          <w:p w14:paraId="4EC9018D" w14:textId="77777777" w:rsidR="00247AD2" w:rsidRPr="00672714" w:rsidRDefault="00247AD2" w:rsidP="00672714">
            <w:pPr>
              <w:pStyle w:val="BodyText"/>
              <w:rPr>
                <w:b/>
                <w:bCs/>
                <w:sz w:val="20"/>
                <w:szCs w:val="20"/>
              </w:rPr>
            </w:pPr>
            <w:r w:rsidRPr="00672714">
              <w:rPr>
                <w:b/>
                <w:bCs/>
                <w:sz w:val="20"/>
                <w:szCs w:val="20"/>
              </w:rPr>
              <w:t>Short-term benefits</w:t>
            </w:r>
            <w:r w:rsidRPr="00672714">
              <w:rPr>
                <w:b/>
                <w:bCs/>
                <w:sz w:val="20"/>
                <w:szCs w:val="20"/>
                <w:vertAlign w:val="superscript"/>
              </w:rPr>
              <w:t>(a)</w:t>
            </w:r>
          </w:p>
        </w:tc>
        <w:tc>
          <w:tcPr>
            <w:tcW w:w="620" w:type="pct"/>
          </w:tcPr>
          <w:p w14:paraId="104D4CFA" w14:textId="77777777" w:rsidR="00247AD2" w:rsidRPr="00672714" w:rsidRDefault="00247AD2" w:rsidP="00672714">
            <w:pPr>
              <w:pStyle w:val="BodyText"/>
              <w:rPr>
                <w:b/>
                <w:bCs/>
                <w:sz w:val="20"/>
                <w:szCs w:val="20"/>
              </w:rPr>
            </w:pPr>
            <w:r w:rsidRPr="00672714">
              <w:rPr>
                <w:b/>
                <w:bCs/>
                <w:sz w:val="20"/>
                <w:szCs w:val="20"/>
              </w:rPr>
              <w:t>Post-employment benefits</w:t>
            </w:r>
            <w:r w:rsidRPr="00672714">
              <w:rPr>
                <w:b/>
                <w:bCs/>
                <w:sz w:val="20"/>
                <w:szCs w:val="20"/>
                <w:vertAlign w:val="superscript"/>
              </w:rPr>
              <w:t>(b)</w:t>
            </w:r>
          </w:p>
        </w:tc>
        <w:tc>
          <w:tcPr>
            <w:tcW w:w="818" w:type="pct"/>
            <w:gridSpan w:val="2"/>
          </w:tcPr>
          <w:p w14:paraId="008EC2A1" w14:textId="77777777" w:rsidR="00247AD2" w:rsidRPr="00672714" w:rsidRDefault="00247AD2" w:rsidP="00672714">
            <w:pPr>
              <w:pStyle w:val="BodyText"/>
              <w:rPr>
                <w:b/>
                <w:bCs/>
                <w:sz w:val="20"/>
                <w:szCs w:val="20"/>
              </w:rPr>
            </w:pPr>
            <w:r w:rsidRPr="00672714">
              <w:rPr>
                <w:b/>
                <w:bCs/>
                <w:sz w:val="20"/>
                <w:szCs w:val="20"/>
              </w:rPr>
              <w:t>Other long-term benefits</w:t>
            </w:r>
          </w:p>
        </w:tc>
        <w:tc>
          <w:tcPr>
            <w:tcW w:w="471" w:type="pct"/>
          </w:tcPr>
          <w:p w14:paraId="7FCD499D" w14:textId="77777777" w:rsidR="00247AD2" w:rsidRPr="00672714" w:rsidRDefault="00247AD2" w:rsidP="00672714">
            <w:pPr>
              <w:pStyle w:val="BodyText"/>
              <w:rPr>
                <w:b/>
                <w:bCs/>
                <w:sz w:val="20"/>
                <w:szCs w:val="20"/>
              </w:rPr>
            </w:pPr>
            <w:r w:rsidRPr="00672714">
              <w:rPr>
                <w:b/>
                <w:bCs/>
                <w:sz w:val="20"/>
                <w:szCs w:val="20"/>
              </w:rPr>
              <w:t xml:space="preserve">Termination benefits </w:t>
            </w:r>
          </w:p>
        </w:tc>
        <w:tc>
          <w:tcPr>
            <w:tcW w:w="537" w:type="pct"/>
          </w:tcPr>
          <w:p w14:paraId="018E15E9" w14:textId="77777777" w:rsidR="00247AD2" w:rsidRPr="00672714" w:rsidRDefault="00247AD2" w:rsidP="00672714">
            <w:pPr>
              <w:pStyle w:val="BodyText"/>
              <w:rPr>
                <w:b/>
                <w:bCs/>
                <w:sz w:val="20"/>
                <w:szCs w:val="20"/>
              </w:rPr>
            </w:pPr>
            <w:r w:rsidRPr="00672714">
              <w:rPr>
                <w:b/>
                <w:bCs/>
                <w:sz w:val="20"/>
                <w:szCs w:val="20"/>
              </w:rPr>
              <w:t xml:space="preserve">Total remuneration </w:t>
            </w:r>
            <w:r w:rsidRPr="00672714">
              <w:rPr>
                <w:b/>
                <w:bCs/>
                <w:sz w:val="20"/>
                <w:szCs w:val="20"/>
                <w:vertAlign w:val="superscript"/>
              </w:rPr>
              <w:t>(d)</w:t>
            </w:r>
          </w:p>
        </w:tc>
      </w:tr>
      <w:tr w:rsidR="00247AD2" w:rsidRPr="00672714" w14:paraId="286A3A4F" w14:textId="77777777" w:rsidTr="00672714">
        <w:trPr>
          <w:trHeight w:val="566"/>
          <w:tblHeader/>
        </w:trPr>
        <w:tc>
          <w:tcPr>
            <w:tcW w:w="496" w:type="pct"/>
          </w:tcPr>
          <w:p w14:paraId="531E39C0" w14:textId="77777777" w:rsidR="00247AD2" w:rsidRPr="00672714" w:rsidRDefault="00247AD2" w:rsidP="00672714">
            <w:pPr>
              <w:pStyle w:val="BodyText"/>
              <w:rPr>
                <w:rFonts w:ascii="Roboto-Medium" w:hAnsi="Roboto-Medium" w:cstheme="minorBidi"/>
                <w:sz w:val="20"/>
                <w:szCs w:val="20"/>
              </w:rPr>
            </w:pPr>
          </w:p>
        </w:tc>
        <w:tc>
          <w:tcPr>
            <w:tcW w:w="719" w:type="pct"/>
          </w:tcPr>
          <w:p w14:paraId="499A4993" w14:textId="77777777" w:rsidR="00247AD2" w:rsidRPr="00672714" w:rsidRDefault="00247AD2" w:rsidP="00672714">
            <w:pPr>
              <w:pStyle w:val="BodyText"/>
              <w:rPr>
                <w:rFonts w:ascii="Roboto-Medium" w:hAnsi="Roboto-Medium" w:cstheme="minorBidi"/>
                <w:sz w:val="20"/>
                <w:szCs w:val="20"/>
              </w:rPr>
            </w:pPr>
          </w:p>
        </w:tc>
        <w:tc>
          <w:tcPr>
            <w:tcW w:w="471" w:type="pct"/>
          </w:tcPr>
          <w:p w14:paraId="3F05698A" w14:textId="77777777" w:rsidR="00247AD2" w:rsidRPr="00672714" w:rsidRDefault="00247AD2" w:rsidP="00672714">
            <w:pPr>
              <w:pStyle w:val="BodyText"/>
              <w:rPr>
                <w:rStyle w:val="Bold"/>
                <w:sz w:val="20"/>
                <w:szCs w:val="20"/>
              </w:rPr>
            </w:pPr>
            <w:r w:rsidRPr="00672714">
              <w:rPr>
                <w:rStyle w:val="Bold"/>
                <w:sz w:val="20"/>
                <w:szCs w:val="20"/>
              </w:rPr>
              <w:t xml:space="preserve">Base salary </w:t>
            </w:r>
          </w:p>
          <w:p w14:paraId="4DAEA481" w14:textId="77777777" w:rsidR="00247AD2" w:rsidRPr="00672714" w:rsidRDefault="00247AD2" w:rsidP="00672714">
            <w:pPr>
              <w:pStyle w:val="BodyText"/>
              <w:rPr>
                <w:sz w:val="20"/>
                <w:szCs w:val="20"/>
              </w:rPr>
            </w:pPr>
            <w:r w:rsidRPr="00672714">
              <w:rPr>
                <w:rStyle w:val="Bold"/>
                <w:sz w:val="20"/>
                <w:szCs w:val="20"/>
              </w:rPr>
              <w:t>$</w:t>
            </w:r>
          </w:p>
        </w:tc>
        <w:tc>
          <w:tcPr>
            <w:tcW w:w="347" w:type="pct"/>
          </w:tcPr>
          <w:p w14:paraId="3FE9CCBE" w14:textId="77777777" w:rsidR="00247AD2" w:rsidRPr="00672714" w:rsidRDefault="00247AD2" w:rsidP="00672714">
            <w:pPr>
              <w:pStyle w:val="BodyText"/>
              <w:rPr>
                <w:rStyle w:val="Bold"/>
                <w:sz w:val="20"/>
                <w:szCs w:val="20"/>
              </w:rPr>
            </w:pPr>
            <w:r w:rsidRPr="00672714">
              <w:rPr>
                <w:rStyle w:val="Bold"/>
                <w:sz w:val="20"/>
                <w:szCs w:val="20"/>
              </w:rPr>
              <w:t>Bonuses</w:t>
            </w:r>
          </w:p>
          <w:p w14:paraId="076073BD" w14:textId="77777777" w:rsidR="00247AD2" w:rsidRPr="00672714" w:rsidRDefault="00247AD2" w:rsidP="00672714">
            <w:pPr>
              <w:pStyle w:val="BodyText"/>
              <w:rPr>
                <w:sz w:val="20"/>
                <w:szCs w:val="20"/>
              </w:rPr>
            </w:pPr>
            <w:r w:rsidRPr="00672714">
              <w:rPr>
                <w:rStyle w:val="Bold"/>
                <w:sz w:val="20"/>
                <w:szCs w:val="20"/>
              </w:rPr>
              <w:t>$</w:t>
            </w:r>
          </w:p>
        </w:tc>
        <w:tc>
          <w:tcPr>
            <w:tcW w:w="520" w:type="pct"/>
          </w:tcPr>
          <w:p w14:paraId="1A44BD8E" w14:textId="77777777" w:rsidR="00247AD2" w:rsidRPr="00672714" w:rsidRDefault="00247AD2" w:rsidP="00672714">
            <w:pPr>
              <w:pStyle w:val="BodyText"/>
              <w:rPr>
                <w:rStyle w:val="Bold"/>
                <w:sz w:val="20"/>
                <w:szCs w:val="20"/>
              </w:rPr>
            </w:pPr>
            <w:r w:rsidRPr="00672714">
              <w:rPr>
                <w:rStyle w:val="Bold"/>
                <w:sz w:val="20"/>
                <w:szCs w:val="20"/>
              </w:rPr>
              <w:t>Other benefits and allowances</w:t>
            </w:r>
            <w:r w:rsidRPr="00672714">
              <w:rPr>
                <w:rStyle w:val="Bold"/>
                <w:sz w:val="20"/>
                <w:szCs w:val="20"/>
                <w:vertAlign w:val="superscript"/>
              </w:rPr>
              <w:t>(c)</w:t>
            </w:r>
            <w:r w:rsidRPr="00672714">
              <w:rPr>
                <w:rStyle w:val="Bold"/>
                <w:sz w:val="20"/>
                <w:szCs w:val="20"/>
              </w:rPr>
              <w:t xml:space="preserve"> </w:t>
            </w:r>
          </w:p>
          <w:p w14:paraId="5A28A449" w14:textId="77777777" w:rsidR="00247AD2" w:rsidRPr="00672714" w:rsidRDefault="00247AD2" w:rsidP="00672714">
            <w:pPr>
              <w:pStyle w:val="BodyText"/>
              <w:rPr>
                <w:sz w:val="20"/>
                <w:szCs w:val="20"/>
              </w:rPr>
            </w:pPr>
            <w:r w:rsidRPr="00672714">
              <w:rPr>
                <w:rStyle w:val="Bold"/>
                <w:sz w:val="20"/>
                <w:szCs w:val="20"/>
              </w:rPr>
              <w:t>$</w:t>
            </w:r>
          </w:p>
        </w:tc>
        <w:tc>
          <w:tcPr>
            <w:tcW w:w="620" w:type="pct"/>
          </w:tcPr>
          <w:p w14:paraId="64336B18" w14:textId="77777777" w:rsidR="00247AD2" w:rsidRPr="00672714" w:rsidRDefault="00247AD2" w:rsidP="00672714">
            <w:pPr>
              <w:pStyle w:val="BodyText"/>
              <w:rPr>
                <w:rStyle w:val="Bold"/>
                <w:sz w:val="20"/>
                <w:szCs w:val="20"/>
              </w:rPr>
            </w:pPr>
            <w:r w:rsidRPr="00672714">
              <w:rPr>
                <w:rStyle w:val="Bold"/>
                <w:sz w:val="20"/>
                <w:szCs w:val="20"/>
              </w:rPr>
              <w:t>Superannuation contributions</w:t>
            </w:r>
          </w:p>
          <w:p w14:paraId="23A06B1C" w14:textId="77777777" w:rsidR="00247AD2" w:rsidRPr="00672714" w:rsidRDefault="00247AD2" w:rsidP="00672714">
            <w:pPr>
              <w:pStyle w:val="BodyText"/>
              <w:rPr>
                <w:sz w:val="20"/>
                <w:szCs w:val="20"/>
              </w:rPr>
            </w:pPr>
            <w:r w:rsidRPr="00672714">
              <w:rPr>
                <w:rStyle w:val="Bold"/>
                <w:sz w:val="20"/>
                <w:szCs w:val="20"/>
              </w:rPr>
              <w:t>$</w:t>
            </w:r>
          </w:p>
        </w:tc>
        <w:tc>
          <w:tcPr>
            <w:tcW w:w="421" w:type="pct"/>
          </w:tcPr>
          <w:p w14:paraId="5C39E085" w14:textId="77777777" w:rsidR="00247AD2" w:rsidRPr="00672714" w:rsidRDefault="00247AD2" w:rsidP="00672714">
            <w:pPr>
              <w:pStyle w:val="BodyText"/>
              <w:rPr>
                <w:rStyle w:val="Bold"/>
                <w:sz w:val="20"/>
                <w:szCs w:val="20"/>
              </w:rPr>
            </w:pPr>
            <w:r w:rsidRPr="00672714">
              <w:rPr>
                <w:rStyle w:val="Bold"/>
                <w:sz w:val="20"/>
                <w:szCs w:val="20"/>
              </w:rPr>
              <w:t xml:space="preserve">Long service leave </w:t>
            </w:r>
          </w:p>
          <w:p w14:paraId="336735DE" w14:textId="77777777" w:rsidR="00247AD2" w:rsidRPr="00672714" w:rsidRDefault="00247AD2" w:rsidP="00672714">
            <w:pPr>
              <w:pStyle w:val="BodyText"/>
              <w:rPr>
                <w:sz w:val="20"/>
                <w:szCs w:val="20"/>
              </w:rPr>
            </w:pPr>
            <w:r w:rsidRPr="00672714">
              <w:rPr>
                <w:rStyle w:val="Bold"/>
                <w:sz w:val="20"/>
                <w:szCs w:val="20"/>
              </w:rPr>
              <w:t>$</w:t>
            </w:r>
          </w:p>
        </w:tc>
        <w:tc>
          <w:tcPr>
            <w:tcW w:w="397" w:type="pct"/>
          </w:tcPr>
          <w:p w14:paraId="198A608A" w14:textId="77777777" w:rsidR="00247AD2" w:rsidRPr="00672714" w:rsidRDefault="00247AD2" w:rsidP="00672714">
            <w:pPr>
              <w:pStyle w:val="BodyText"/>
              <w:rPr>
                <w:rStyle w:val="Bold"/>
                <w:sz w:val="20"/>
                <w:szCs w:val="20"/>
              </w:rPr>
            </w:pPr>
            <w:r w:rsidRPr="00672714">
              <w:rPr>
                <w:rStyle w:val="Bold"/>
                <w:sz w:val="20"/>
                <w:szCs w:val="20"/>
              </w:rPr>
              <w:t xml:space="preserve">Other long-term benefits </w:t>
            </w:r>
          </w:p>
          <w:p w14:paraId="6CA64E45" w14:textId="77777777" w:rsidR="00247AD2" w:rsidRPr="00672714" w:rsidRDefault="00247AD2" w:rsidP="00672714">
            <w:pPr>
              <w:pStyle w:val="BodyText"/>
              <w:rPr>
                <w:sz w:val="20"/>
                <w:szCs w:val="20"/>
              </w:rPr>
            </w:pPr>
            <w:r w:rsidRPr="00672714">
              <w:rPr>
                <w:rStyle w:val="Bold"/>
                <w:sz w:val="20"/>
                <w:szCs w:val="20"/>
              </w:rPr>
              <w:t>$</w:t>
            </w:r>
          </w:p>
        </w:tc>
        <w:tc>
          <w:tcPr>
            <w:tcW w:w="471" w:type="pct"/>
          </w:tcPr>
          <w:p w14:paraId="4315997D" w14:textId="77777777" w:rsidR="00247AD2" w:rsidRPr="00672714" w:rsidRDefault="00247AD2" w:rsidP="00672714">
            <w:pPr>
              <w:pStyle w:val="BodyText"/>
              <w:rPr>
                <w:rStyle w:val="Bold"/>
                <w:sz w:val="20"/>
                <w:szCs w:val="20"/>
              </w:rPr>
            </w:pPr>
            <w:r w:rsidRPr="00672714">
              <w:rPr>
                <w:rStyle w:val="Bold"/>
                <w:sz w:val="20"/>
                <w:szCs w:val="20"/>
              </w:rPr>
              <w:t>Termination benefits</w:t>
            </w:r>
          </w:p>
          <w:p w14:paraId="2EAE23F5" w14:textId="77777777" w:rsidR="00247AD2" w:rsidRPr="00672714" w:rsidRDefault="00247AD2" w:rsidP="00672714">
            <w:pPr>
              <w:pStyle w:val="BodyText"/>
              <w:rPr>
                <w:sz w:val="20"/>
                <w:szCs w:val="20"/>
              </w:rPr>
            </w:pPr>
            <w:r w:rsidRPr="00672714">
              <w:rPr>
                <w:rStyle w:val="Bold"/>
                <w:sz w:val="20"/>
                <w:szCs w:val="20"/>
              </w:rPr>
              <w:t>$</w:t>
            </w:r>
          </w:p>
        </w:tc>
        <w:tc>
          <w:tcPr>
            <w:tcW w:w="537" w:type="pct"/>
          </w:tcPr>
          <w:p w14:paraId="69A635C8" w14:textId="77777777" w:rsidR="00247AD2" w:rsidRPr="00672714" w:rsidRDefault="00247AD2" w:rsidP="00672714">
            <w:pPr>
              <w:pStyle w:val="BodyText"/>
              <w:rPr>
                <w:sz w:val="20"/>
                <w:szCs w:val="20"/>
              </w:rPr>
            </w:pPr>
            <w:r w:rsidRPr="00672714">
              <w:rPr>
                <w:rStyle w:val="Bold"/>
                <w:sz w:val="20"/>
                <w:szCs w:val="20"/>
              </w:rPr>
              <w:t>Total remuneration $</w:t>
            </w:r>
          </w:p>
        </w:tc>
      </w:tr>
      <w:tr w:rsidR="00247AD2" w:rsidRPr="00672714" w14:paraId="25AC2C0E" w14:textId="77777777" w:rsidTr="006A0585">
        <w:trPr>
          <w:trHeight w:val="566"/>
        </w:trPr>
        <w:tc>
          <w:tcPr>
            <w:tcW w:w="496" w:type="pct"/>
          </w:tcPr>
          <w:p w14:paraId="0E4BBDD2" w14:textId="77777777" w:rsidR="00247AD2" w:rsidRPr="00672714" w:rsidRDefault="00247AD2" w:rsidP="00672714">
            <w:pPr>
              <w:pStyle w:val="BodyText"/>
              <w:rPr>
                <w:sz w:val="20"/>
                <w:szCs w:val="20"/>
              </w:rPr>
            </w:pPr>
            <w:r w:rsidRPr="00672714">
              <w:rPr>
                <w:sz w:val="20"/>
                <w:szCs w:val="20"/>
              </w:rPr>
              <w:t>David Hazlehurst</w:t>
            </w:r>
          </w:p>
        </w:tc>
        <w:tc>
          <w:tcPr>
            <w:tcW w:w="719" w:type="pct"/>
          </w:tcPr>
          <w:p w14:paraId="0ABDE1F5" w14:textId="77777777" w:rsidR="00247AD2" w:rsidRPr="00672714" w:rsidRDefault="00247AD2" w:rsidP="00672714">
            <w:pPr>
              <w:pStyle w:val="BodyText"/>
              <w:rPr>
                <w:sz w:val="20"/>
                <w:szCs w:val="20"/>
              </w:rPr>
            </w:pPr>
            <w:r w:rsidRPr="00672714">
              <w:rPr>
                <w:sz w:val="20"/>
                <w:szCs w:val="20"/>
              </w:rPr>
              <w:t>Chief Executive Officer</w:t>
            </w:r>
          </w:p>
        </w:tc>
        <w:tc>
          <w:tcPr>
            <w:tcW w:w="471" w:type="pct"/>
          </w:tcPr>
          <w:p w14:paraId="31921E1D" w14:textId="77777777" w:rsidR="00247AD2" w:rsidRPr="00672714" w:rsidRDefault="00247AD2" w:rsidP="00672714">
            <w:pPr>
              <w:pStyle w:val="BodyText"/>
              <w:rPr>
                <w:sz w:val="20"/>
                <w:szCs w:val="20"/>
              </w:rPr>
            </w:pPr>
            <w:r w:rsidRPr="00672714">
              <w:rPr>
                <w:sz w:val="20"/>
                <w:szCs w:val="20"/>
              </w:rPr>
              <w:t>741,922</w:t>
            </w:r>
          </w:p>
        </w:tc>
        <w:tc>
          <w:tcPr>
            <w:tcW w:w="347" w:type="pct"/>
          </w:tcPr>
          <w:p w14:paraId="4D9A1B85" w14:textId="77777777" w:rsidR="00247AD2" w:rsidRPr="00672714" w:rsidRDefault="00247AD2" w:rsidP="00672714">
            <w:pPr>
              <w:pStyle w:val="BodyText"/>
              <w:rPr>
                <w:sz w:val="20"/>
                <w:szCs w:val="20"/>
              </w:rPr>
            </w:pPr>
            <w:r w:rsidRPr="00672714">
              <w:rPr>
                <w:sz w:val="20"/>
                <w:szCs w:val="20"/>
              </w:rPr>
              <w:t>0</w:t>
            </w:r>
          </w:p>
        </w:tc>
        <w:tc>
          <w:tcPr>
            <w:tcW w:w="520" w:type="pct"/>
          </w:tcPr>
          <w:p w14:paraId="2C1EA71E" w14:textId="77777777" w:rsidR="00247AD2" w:rsidRPr="00672714" w:rsidRDefault="00247AD2" w:rsidP="00672714">
            <w:pPr>
              <w:pStyle w:val="BodyText"/>
              <w:rPr>
                <w:sz w:val="20"/>
                <w:szCs w:val="20"/>
              </w:rPr>
            </w:pPr>
            <w:r w:rsidRPr="00672714">
              <w:rPr>
                <w:sz w:val="20"/>
                <w:szCs w:val="20"/>
              </w:rPr>
              <w:t>1,477</w:t>
            </w:r>
          </w:p>
        </w:tc>
        <w:tc>
          <w:tcPr>
            <w:tcW w:w="620" w:type="pct"/>
          </w:tcPr>
          <w:p w14:paraId="2EFDEFA8" w14:textId="77777777" w:rsidR="00247AD2" w:rsidRPr="00672714" w:rsidRDefault="00247AD2" w:rsidP="00672714">
            <w:pPr>
              <w:pStyle w:val="BodyText"/>
              <w:rPr>
                <w:sz w:val="20"/>
                <w:szCs w:val="20"/>
              </w:rPr>
            </w:pPr>
            <w:r w:rsidRPr="00672714">
              <w:rPr>
                <w:sz w:val="20"/>
                <w:szCs w:val="20"/>
              </w:rPr>
              <w:t>108,945</w:t>
            </w:r>
          </w:p>
        </w:tc>
        <w:tc>
          <w:tcPr>
            <w:tcW w:w="421" w:type="pct"/>
          </w:tcPr>
          <w:p w14:paraId="5EDFDDFD" w14:textId="77777777" w:rsidR="00247AD2" w:rsidRPr="00672714" w:rsidRDefault="00247AD2" w:rsidP="00672714">
            <w:pPr>
              <w:pStyle w:val="BodyText"/>
              <w:rPr>
                <w:sz w:val="20"/>
                <w:szCs w:val="20"/>
              </w:rPr>
            </w:pPr>
            <w:r w:rsidRPr="00672714">
              <w:rPr>
                <w:sz w:val="20"/>
                <w:szCs w:val="20"/>
              </w:rPr>
              <w:t>27,224</w:t>
            </w:r>
          </w:p>
        </w:tc>
        <w:tc>
          <w:tcPr>
            <w:tcW w:w="397" w:type="pct"/>
          </w:tcPr>
          <w:p w14:paraId="4D542A92" w14:textId="77777777" w:rsidR="00247AD2" w:rsidRPr="00672714" w:rsidRDefault="00247AD2" w:rsidP="00672714">
            <w:pPr>
              <w:pStyle w:val="BodyText"/>
              <w:rPr>
                <w:sz w:val="20"/>
                <w:szCs w:val="20"/>
              </w:rPr>
            </w:pPr>
            <w:r w:rsidRPr="00672714">
              <w:rPr>
                <w:sz w:val="20"/>
                <w:szCs w:val="20"/>
              </w:rPr>
              <w:t>0</w:t>
            </w:r>
          </w:p>
        </w:tc>
        <w:tc>
          <w:tcPr>
            <w:tcW w:w="471" w:type="pct"/>
          </w:tcPr>
          <w:p w14:paraId="30F1FFF4" w14:textId="77777777" w:rsidR="00247AD2" w:rsidRPr="00672714" w:rsidRDefault="00247AD2" w:rsidP="00672714">
            <w:pPr>
              <w:pStyle w:val="BodyText"/>
              <w:rPr>
                <w:sz w:val="20"/>
                <w:szCs w:val="20"/>
              </w:rPr>
            </w:pPr>
            <w:r w:rsidRPr="00672714">
              <w:rPr>
                <w:sz w:val="20"/>
                <w:szCs w:val="20"/>
              </w:rPr>
              <w:t>0</w:t>
            </w:r>
          </w:p>
        </w:tc>
        <w:tc>
          <w:tcPr>
            <w:tcW w:w="537" w:type="pct"/>
          </w:tcPr>
          <w:p w14:paraId="4EF4F01B" w14:textId="77777777" w:rsidR="00247AD2" w:rsidRPr="00672714" w:rsidRDefault="00247AD2" w:rsidP="00672714">
            <w:pPr>
              <w:pStyle w:val="BodyText"/>
              <w:rPr>
                <w:sz w:val="20"/>
                <w:szCs w:val="20"/>
              </w:rPr>
            </w:pPr>
            <w:r w:rsidRPr="00672714">
              <w:rPr>
                <w:rStyle w:val="Bold"/>
                <w:sz w:val="20"/>
                <w:szCs w:val="20"/>
              </w:rPr>
              <w:t>879,568</w:t>
            </w:r>
          </w:p>
        </w:tc>
      </w:tr>
      <w:tr w:rsidR="00247AD2" w:rsidRPr="00672714" w14:paraId="513E6DB8" w14:textId="77777777" w:rsidTr="006A0585">
        <w:trPr>
          <w:trHeight w:val="566"/>
        </w:trPr>
        <w:tc>
          <w:tcPr>
            <w:tcW w:w="496" w:type="pct"/>
          </w:tcPr>
          <w:p w14:paraId="5922CC4F" w14:textId="77777777" w:rsidR="00247AD2" w:rsidRPr="00672714" w:rsidRDefault="00247AD2" w:rsidP="00672714">
            <w:pPr>
              <w:pStyle w:val="BodyText"/>
              <w:rPr>
                <w:sz w:val="20"/>
                <w:szCs w:val="20"/>
              </w:rPr>
            </w:pPr>
            <w:r w:rsidRPr="00672714">
              <w:rPr>
                <w:sz w:val="20"/>
                <w:szCs w:val="20"/>
              </w:rPr>
              <w:t>Chris Birrer</w:t>
            </w:r>
          </w:p>
        </w:tc>
        <w:tc>
          <w:tcPr>
            <w:tcW w:w="719" w:type="pct"/>
          </w:tcPr>
          <w:p w14:paraId="2704C785" w14:textId="77777777" w:rsidR="00247AD2" w:rsidRPr="00672714" w:rsidRDefault="00247AD2" w:rsidP="00672714">
            <w:pPr>
              <w:pStyle w:val="BodyText"/>
              <w:rPr>
                <w:sz w:val="20"/>
                <w:szCs w:val="20"/>
              </w:rPr>
            </w:pPr>
            <w:r w:rsidRPr="00672714">
              <w:rPr>
                <w:sz w:val="20"/>
                <w:szCs w:val="20"/>
              </w:rPr>
              <w:t>Deputy CEO Payments and Integrity</w:t>
            </w:r>
          </w:p>
        </w:tc>
        <w:tc>
          <w:tcPr>
            <w:tcW w:w="471" w:type="pct"/>
          </w:tcPr>
          <w:p w14:paraId="7D670477" w14:textId="77777777" w:rsidR="00247AD2" w:rsidRPr="00672714" w:rsidRDefault="00247AD2" w:rsidP="00672714">
            <w:pPr>
              <w:pStyle w:val="BodyText"/>
              <w:rPr>
                <w:sz w:val="20"/>
                <w:szCs w:val="20"/>
              </w:rPr>
            </w:pPr>
            <w:r w:rsidRPr="00672714">
              <w:rPr>
                <w:sz w:val="20"/>
                <w:szCs w:val="20"/>
              </w:rPr>
              <w:t>455,014</w:t>
            </w:r>
          </w:p>
        </w:tc>
        <w:tc>
          <w:tcPr>
            <w:tcW w:w="347" w:type="pct"/>
          </w:tcPr>
          <w:p w14:paraId="7423508C" w14:textId="77777777" w:rsidR="00247AD2" w:rsidRPr="00672714" w:rsidRDefault="00247AD2" w:rsidP="00672714">
            <w:pPr>
              <w:pStyle w:val="BodyText"/>
              <w:rPr>
                <w:sz w:val="20"/>
                <w:szCs w:val="20"/>
              </w:rPr>
            </w:pPr>
            <w:r w:rsidRPr="00672714">
              <w:rPr>
                <w:sz w:val="20"/>
                <w:szCs w:val="20"/>
              </w:rPr>
              <w:t>0</w:t>
            </w:r>
          </w:p>
        </w:tc>
        <w:tc>
          <w:tcPr>
            <w:tcW w:w="520" w:type="pct"/>
          </w:tcPr>
          <w:p w14:paraId="09D60CDD" w14:textId="77777777" w:rsidR="00247AD2" w:rsidRPr="00672714" w:rsidRDefault="00247AD2" w:rsidP="00672714">
            <w:pPr>
              <w:pStyle w:val="BodyText"/>
              <w:rPr>
                <w:sz w:val="20"/>
                <w:szCs w:val="20"/>
              </w:rPr>
            </w:pPr>
            <w:r w:rsidRPr="00672714">
              <w:rPr>
                <w:sz w:val="20"/>
                <w:szCs w:val="20"/>
              </w:rPr>
              <w:t>1,477</w:t>
            </w:r>
          </w:p>
        </w:tc>
        <w:tc>
          <w:tcPr>
            <w:tcW w:w="620" w:type="pct"/>
          </w:tcPr>
          <w:p w14:paraId="73B83374" w14:textId="77777777" w:rsidR="00247AD2" w:rsidRPr="00672714" w:rsidRDefault="00247AD2" w:rsidP="00672714">
            <w:pPr>
              <w:pStyle w:val="BodyText"/>
              <w:rPr>
                <w:sz w:val="20"/>
                <w:szCs w:val="20"/>
              </w:rPr>
            </w:pPr>
            <w:r w:rsidRPr="00672714">
              <w:rPr>
                <w:sz w:val="20"/>
                <w:szCs w:val="20"/>
              </w:rPr>
              <w:t>81,277</w:t>
            </w:r>
          </w:p>
        </w:tc>
        <w:tc>
          <w:tcPr>
            <w:tcW w:w="421" w:type="pct"/>
          </w:tcPr>
          <w:p w14:paraId="7C9AD9AE" w14:textId="77777777" w:rsidR="00247AD2" w:rsidRPr="00672714" w:rsidRDefault="00247AD2" w:rsidP="00672714">
            <w:pPr>
              <w:pStyle w:val="BodyText"/>
              <w:rPr>
                <w:sz w:val="20"/>
                <w:szCs w:val="20"/>
              </w:rPr>
            </w:pPr>
            <w:r w:rsidRPr="00672714">
              <w:rPr>
                <w:sz w:val="20"/>
                <w:szCs w:val="20"/>
              </w:rPr>
              <w:t>26,556</w:t>
            </w:r>
          </w:p>
        </w:tc>
        <w:tc>
          <w:tcPr>
            <w:tcW w:w="397" w:type="pct"/>
          </w:tcPr>
          <w:p w14:paraId="5B9DE1D1" w14:textId="77777777" w:rsidR="00247AD2" w:rsidRPr="00672714" w:rsidRDefault="00247AD2" w:rsidP="00672714">
            <w:pPr>
              <w:pStyle w:val="BodyText"/>
              <w:rPr>
                <w:sz w:val="20"/>
                <w:szCs w:val="20"/>
              </w:rPr>
            </w:pPr>
            <w:r w:rsidRPr="00672714">
              <w:rPr>
                <w:sz w:val="20"/>
                <w:szCs w:val="20"/>
              </w:rPr>
              <w:t>0</w:t>
            </w:r>
          </w:p>
        </w:tc>
        <w:tc>
          <w:tcPr>
            <w:tcW w:w="471" w:type="pct"/>
          </w:tcPr>
          <w:p w14:paraId="52ED07A2" w14:textId="77777777" w:rsidR="00247AD2" w:rsidRPr="00672714" w:rsidRDefault="00247AD2" w:rsidP="00672714">
            <w:pPr>
              <w:pStyle w:val="BodyText"/>
              <w:rPr>
                <w:sz w:val="20"/>
                <w:szCs w:val="20"/>
              </w:rPr>
            </w:pPr>
            <w:r w:rsidRPr="00672714">
              <w:rPr>
                <w:sz w:val="20"/>
                <w:szCs w:val="20"/>
              </w:rPr>
              <w:t>0</w:t>
            </w:r>
          </w:p>
        </w:tc>
        <w:tc>
          <w:tcPr>
            <w:tcW w:w="537" w:type="pct"/>
          </w:tcPr>
          <w:p w14:paraId="6A4AC397" w14:textId="77777777" w:rsidR="00247AD2" w:rsidRPr="00672714" w:rsidRDefault="00247AD2" w:rsidP="00672714">
            <w:pPr>
              <w:pStyle w:val="BodyText"/>
              <w:rPr>
                <w:sz w:val="20"/>
                <w:szCs w:val="20"/>
              </w:rPr>
            </w:pPr>
            <w:r w:rsidRPr="00672714">
              <w:rPr>
                <w:rStyle w:val="Bold"/>
                <w:sz w:val="20"/>
                <w:szCs w:val="20"/>
              </w:rPr>
              <w:t>564,324</w:t>
            </w:r>
          </w:p>
        </w:tc>
      </w:tr>
      <w:tr w:rsidR="00247AD2" w:rsidRPr="00672714" w14:paraId="5DE804BC" w14:textId="77777777" w:rsidTr="006A0585">
        <w:trPr>
          <w:trHeight w:val="566"/>
        </w:trPr>
        <w:tc>
          <w:tcPr>
            <w:tcW w:w="496" w:type="pct"/>
          </w:tcPr>
          <w:p w14:paraId="6303FAF7" w14:textId="77777777" w:rsidR="00247AD2" w:rsidRPr="00672714" w:rsidRDefault="00247AD2" w:rsidP="00672714">
            <w:pPr>
              <w:pStyle w:val="BodyText"/>
              <w:rPr>
                <w:sz w:val="20"/>
                <w:szCs w:val="20"/>
              </w:rPr>
            </w:pPr>
            <w:r w:rsidRPr="00672714">
              <w:rPr>
                <w:sz w:val="20"/>
                <w:szCs w:val="20"/>
              </w:rPr>
              <w:t>Charles McHardie</w:t>
            </w:r>
          </w:p>
        </w:tc>
        <w:tc>
          <w:tcPr>
            <w:tcW w:w="719" w:type="pct"/>
          </w:tcPr>
          <w:p w14:paraId="2ABFCEBE" w14:textId="77777777" w:rsidR="00247AD2" w:rsidRPr="00672714" w:rsidRDefault="00247AD2" w:rsidP="00672714">
            <w:pPr>
              <w:pStyle w:val="BodyText"/>
              <w:rPr>
                <w:sz w:val="20"/>
                <w:szCs w:val="20"/>
              </w:rPr>
            </w:pPr>
            <w:r w:rsidRPr="00672714">
              <w:rPr>
                <w:sz w:val="20"/>
                <w:szCs w:val="20"/>
              </w:rPr>
              <w:t>CIDO Technology and Digital Programs</w:t>
            </w:r>
          </w:p>
        </w:tc>
        <w:tc>
          <w:tcPr>
            <w:tcW w:w="471" w:type="pct"/>
          </w:tcPr>
          <w:p w14:paraId="1B6B0FEA" w14:textId="77777777" w:rsidR="00247AD2" w:rsidRPr="00672714" w:rsidRDefault="00247AD2" w:rsidP="00672714">
            <w:pPr>
              <w:pStyle w:val="BodyText"/>
              <w:rPr>
                <w:sz w:val="20"/>
                <w:szCs w:val="20"/>
              </w:rPr>
            </w:pPr>
            <w:r w:rsidRPr="00672714">
              <w:rPr>
                <w:sz w:val="20"/>
                <w:szCs w:val="20"/>
              </w:rPr>
              <w:t>551,814</w:t>
            </w:r>
          </w:p>
        </w:tc>
        <w:tc>
          <w:tcPr>
            <w:tcW w:w="347" w:type="pct"/>
          </w:tcPr>
          <w:p w14:paraId="754E4305" w14:textId="77777777" w:rsidR="00247AD2" w:rsidRPr="00672714" w:rsidRDefault="00247AD2" w:rsidP="00672714">
            <w:pPr>
              <w:pStyle w:val="BodyText"/>
              <w:rPr>
                <w:sz w:val="20"/>
                <w:szCs w:val="20"/>
              </w:rPr>
            </w:pPr>
            <w:r w:rsidRPr="00672714">
              <w:rPr>
                <w:sz w:val="20"/>
                <w:szCs w:val="20"/>
              </w:rPr>
              <w:t>0</w:t>
            </w:r>
          </w:p>
        </w:tc>
        <w:tc>
          <w:tcPr>
            <w:tcW w:w="520" w:type="pct"/>
          </w:tcPr>
          <w:p w14:paraId="566E0DCD" w14:textId="77777777" w:rsidR="00247AD2" w:rsidRPr="00672714" w:rsidRDefault="00247AD2" w:rsidP="00672714">
            <w:pPr>
              <w:pStyle w:val="BodyText"/>
              <w:rPr>
                <w:sz w:val="20"/>
                <w:szCs w:val="20"/>
              </w:rPr>
            </w:pPr>
            <w:r w:rsidRPr="00672714">
              <w:rPr>
                <w:sz w:val="20"/>
                <w:szCs w:val="20"/>
              </w:rPr>
              <w:t>1,477</w:t>
            </w:r>
          </w:p>
        </w:tc>
        <w:tc>
          <w:tcPr>
            <w:tcW w:w="620" w:type="pct"/>
          </w:tcPr>
          <w:p w14:paraId="57145C65" w14:textId="77777777" w:rsidR="00247AD2" w:rsidRPr="00672714" w:rsidRDefault="00247AD2" w:rsidP="00672714">
            <w:pPr>
              <w:pStyle w:val="BodyText"/>
              <w:rPr>
                <w:sz w:val="20"/>
                <w:szCs w:val="20"/>
              </w:rPr>
            </w:pPr>
            <w:r w:rsidRPr="00672714">
              <w:rPr>
                <w:sz w:val="20"/>
                <w:szCs w:val="20"/>
              </w:rPr>
              <w:t>82,881</w:t>
            </w:r>
          </w:p>
        </w:tc>
        <w:tc>
          <w:tcPr>
            <w:tcW w:w="421" w:type="pct"/>
          </w:tcPr>
          <w:p w14:paraId="43297040" w14:textId="77777777" w:rsidR="00247AD2" w:rsidRPr="00672714" w:rsidRDefault="00247AD2" w:rsidP="00672714">
            <w:pPr>
              <w:pStyle w:val="BodyText"/>
              <w:rPr>
                <w:sz w:val="20"/>
                <w:szCs w:val="20"/>
              </w:rPr>
            </w:pPr>
            <w:r w:rsidRPr="00672714">
              <w:rPr>
                <w:sz w:val="20"/>
                <w:szCs w:val="20"/>
              </w:rPr>
              <w:t>17,157</w:t>
            </w:r>
          </w:p>
        </w:tc>
        <w:tc>
          <w:tcPr>
            <w:tcW w:w="397" w:type="pct"/>
          </w:tcPr>
          <w:p w14:paraId="27C40DC2" w14:textId="77777777" w:rsidR="00247AD2" w:rsidRPr="00672714" w:rsidRDefault="00247AD2" w:rsidP="00672714">
            <w:pPr>
              <w:pStyle w:val="BodyText"/>
              <w:rPr>
                <w:sz w:val="20"/>
                <w:szCs w:val="20"/>
              </w:rPr>
            </w:pPr>
            <w:r w:rsidRPr="00672714">
              <w:rPr>
                <w:sz w:val="20"/>
                <w:szCs w:val="20"/>
              </w:rPr>
              <w:t>0</w:t>
            </w:r>
          </w:p>
        </w:tc>
        <w:tc>
          <w:tcPr>
            <w:tcW w:w="471" w:type="pct"/>
          </w:tcPr>
          <w:p w14:paraId="2750A265" w14:textId="77777777" w:rsidR="00247AD2" w:rsidRPr="00672714" w:rsidRDefault="00247AD2" w:rsidP="00672714">
            <w:pPr>
              <w:pStyle w:val="BodyText"/>
              <w:rPr>
                <w:sz w:val="20"/>
                <w:szCs w:val="20"/>
              </w:rPr>
            </w:pPr>
            <w:r w:rsidRPr="00672714">
              <w:rPr>
                <w:sz w:val="20"/>
                <w:szCs w:val="20"/>
              </w:rPr>
              <w:t>0</w:t>
            </w:r>
          </w:p>
        </w:tc>
        <w:tc>
          <w:tcPr>
            <w:tcW w:w="537" w:type="pct"/>
          </w:tcPr>
          <w:p w14:paraId="5B72CB24" w14:textId="77777777" w:rsidR="00247AD2" w:rsidRPr="00672714" w:rsidRDefault="00247AD2" w:rsidP="00672714">
            <w:pPr>
              <w:pStyle w:val="BodyText"/>
              <w:rPr>
                <w:sz w:val="20"/>
                <w:szCs w:val="20"/>
              </w:rPr>
            </w:pPr>
            <w:r w:rsidRPr="00672714">
              <w:rPr>
                <w:rStyle w:val="Bold"/>
                <w:sz w:val="20"/>
                <w:szCs w:val="20"/>
              </w:rPr>
              <w:t>653,329</w:t>
            </w:r>
          </w:p>
        </w:tc>
      </w:tr>
      <w:tr w:rsidR="00247AD2" w:rsidRPr="00672714" w14:paraId="58B1C2F8" w14:textId="77777777" w:rsidTr="006A0585">
        <w:trPr>
          <w:trHeight w:val="566"/>
        </w:trPr>
        <w:tc>
          <w:tcPr>
            <w:tcW w:w="496" w:type="pct"/>
          </w:tcPr>
          <w:p w14:paraId="290A8647" w14:textId="77777777" w:rsidR="00247AD2" w:rsidRPr="00672714" w:rsidRDefault="00247AD2" w:rsidP="00672714">
            <w:pPr>
              <w:pStyle w:val="BodyText"/>
              <w:rPr>
                <w:sz w:val="20"/>
                <w:szCs w:val="20"/>
              </w:rPr>
            </w:pPr>
            <w:r w:rsidRPr="00672714">
              <w:rPr>
                <w:sz w:val="20"/>
                <w:szCs w:val="20"/>
              </w:rPr>
              <w:t>Kirsty Faichney</w:t>
            </w:r>
          </w:p>
        </w:tc>
        <w:tc>
          <w:tcPr>
            <w:tcW w:w="719" w:type="pct"/>
          </w:tcPr>
          <w:p w14:paraId="13CE0D70" w14:textId="77777777" w:rsidR="00247AD2" w:rsidRPr="00672714" w:rsidRDefault="00247AD2" w:rsidP="00672714">
            <w:pPr>
              <w:pStyle w:val="BodyText"/>
              <w:rPr>
                <w:sz w:val="20"/>
                <w:szCs w:val="20"/>
              </w:rPr>
            </w:pPr>
            <w:r w:rsidRPr="00672714">
              <w:rPr>
                <w:sz w:val="20"/>
                <w:szCs w:val="20"/>
              </w:rPr>
              <w:t>Deputy CEO Program Design</w:t>
            </w:r>
          </w:p>
        </w:tc>
        <w:tc>
          <w:tcPr>
            <w:tcW w:w="471" w:type="pct"/>
          </w:tcPr>
          <w:p w14:paraId="62E64BA4" w14:textId="77777777" w:rsidR="00247AD2" w:rsidRPr="00672714" w:rsidRDefault="00247AD2" w:rsidP="00672714">
            <w:pPr>
              <w:pStyle w:val="BodyText"/>
              <w:rPr>
                <w:sz w:val="20"/>
                <w:szCs w:val="20"/>
              </w:rPr>
            </w:pPr>
            <w:r w:rsidRPr="00672714">
              <w:rPr>
                <w:sz w:val="20"/>
                <w:szCs w:val="20"/>
              </w:rPr>
              <w:t>444,621</w:t>
            </w:r>
          </w:p>
        </w:tc>
        <w:tc>
          <w:tcPr>
            <w:tcW w:w="347" w:type="pct"/>
          </w:tcPr>
          <w:p w14:paraId="37F0B722" w14:textId="77777777" w:rsidR="00247AD2" w:rsidRPr="00672714" w:rsidRDefault="00247AD2" w:rsidP="00672714">
            <w:pPr>
              <w:pStyle w:val="BodyText"/>
              <w:rPr>
                <w:sz w:val="20"/>
                <w:szCs w:val="20"/>
              </w:rPr>
            </w:pPr>
            <w:r w:rsidRPr="00672714">
              <w:rPr>
                <w:sz w:val="20"/>
                <w:szCs w:val="20"/>
              </w:rPr>
              <w:t>0</w:t>
            </w:r>
          </w:p>
        </w:tc>
        <w:tc>
          <w:tcPr>
            <w:tcW w:w="520" w:type="pct"/>
          </w:tcPr>
          <w:p w14:paraId="28AE640D" w14:textId="77777777" w:rsidR="00247AD2" w:rsidRPr="00672714" w:rsidRDefault="00247AD2" w:rsidP="00672714">
            <w:pPr>
              <w:pStyle w:val="BodyText"/>
              <w:rPr>
                <w:sz w:val="20"/>
                <w:szCs w:val="20"/>
              </w:rPr>
            </w:pPr>
            <w:r w:rsidRPr="00672714">
              <w:rPr>
                <w:sz w:val="20"/>
                <w:szCs w:val="20"/>
              </w:rPr>
              <w:t>1,477</w:t>
            </w:r>
          </w:p>
        </w:tc>
        <w:tc>
          <w:tcPr>
            <w:tcW w:w="620" w:type="pct"/>
          </w:tcPr>
          <w:p w14:paraId="45411240" w14:textId="77777777" w:rsidR="00247AD2" w:rsidRPr="00672714" w:rsidRDefault="00247AD2" w:rsidP="00672714">
            <w:pPr>
              <w:pStyle w:val="BodyText"/>
              <w:rPr>
                <w:sz w:val="20"/>
                <w:szCs w:val="20"/>
              </w:rPr>
            </w:pPr>
            <w:r w:rsidRPr="00672714">
              <w:rPr>
                <w:sz w:val="20"/>
                <w:szCs w:val="20"/>
              </w:rPr>
              <w:t>82,731</w:t>
            </w:r>
          </w:p>
        </w:tc>
        <w:tc>
          <w:tcPr>
            <w:tcW w:w="421" w:type="pct"/>
          </w:tcPr>
          <w:p w14:paraId="6C65FEAF" w14:textId="77777777" w:rsidR="00247AD2" w:rsidRPr="00672714" w:rsidRDefault="00247AD2" w:rsidP="00672714">
            <w:pPr>
              <w:pStyle w:val="BodyText"/>
              <w:rPr>
                <w:sz w:val="20"/>
                <w:szCs w:val="20"/>
              </w:rPr>
            </w:pPr>
            <w:r w:rsidRPr="00672714">
              <w:rPr>
                <w:sz w:val="20"/>
                <w:szCs w:val="20"/>
              </w:rPr>
              <w:t>17,463</w:t>
            </w:r>
          </w:p>
        </w:tc>
        <w:tc>
          <w:tcPr>
            <w:tcW w:w="397" w:type="pct"/>
          </w:tcPr>
          <w:p w14:paraId="1FE86CD2" w14:textId="77777777" w:rsidR="00247AD2" w:rsidRPr="00672714" w:rsidRDefault="00247AD2" w:rsidP="00672714">
            <w:pPr>
              <w:pStyle w:val="BodyText"/>
              <w:rPr>
                <w:sz w:val="20"/>
                <w:szCs w:val="20"/>
              </w:rPr>
            </w:pPr>
            <w:r w:rsidRPr="00672714">
              <w:rPr>
                <w:sz w:val="20"/>
                <w:szCs w:val="20"/>
              </w:rPr>
              <w:t>0</w:t>
            </w:r>
          </w:p>
        </w:tc>
        <w:tc>
          <w:tcPr>
            <w:tcW w:w="471" w:type="pct"/>
          </w:tcPr>
          <w:p w14:paraId="32A387D6" w14:textId="77777777" w:rsidR="00247AD2" w:rsidRPr="00672714" w:rsidRDefault="00247AD2" w:rsidP="00672714">
            <w:pPr>
              <w:pStyle w:val="BodyText"/>
              <w:rPr>
                <w:sz w:val="20"/>
                <w:szCs w:val="20"/>
              </w:rPr>
            </w:pPr>
            <w:r w:rsidRPr="00672714">
              <w:rPr>
                <w:sz w:val="20"/>
                <w:szCs w:val="20"/>
              </w:rPr>
              <w:t>0</w:t>
            </w:r>
          </w:p>
        </w:tc>
        <w:tc>
          <w:tcPr>
            <w:tcW w:w="537" w:type="pct"/>
          </w:tcPr>
          <w:p w14:paraId="469EE486" w14:textId="77777777" w:rsidR="00247AD2" w:rsidRPr="00672714" w:rsidRDefault="00247AD2" w:rsidP="00672714">
            <w:pPr>
              <w:pStyle w:val="BodyText"/>
              <w:rPr>
                <w:sz w:val="20"/>
                <w:szCs w:val="20"/>
              </w:rPr>
            </w:pPr>
            <w:r w:rsidRPr="00672714">
              <w:rPr>
                <w:rStyle w:val="Bold"/>
                <w:sz w:val="20"/>
                <w:szCs w:val="20"/>
              </w:rPr>
              <w:t>546,292</w:t>
            </w:r>
          </w:p>
        </w:tc>
      </w:tr>
      <w:tr w:rsidR="00247AD2" w:rsidRPr="00672714" w14:paraId="521EE77A" w14:textId="77777777" w:rsidTr="006A0585">
        <w:trPr>
          <w:trHeight w:val="566"/>
        </w:trPr>
        <w:tc>
          <w:tcPr>
            <w:tcW w:w="496" w:type="pct"/>
          </w:tcPr>
          <w:p w14:paraId="36917937" w14:textId="77777777" w:rsidR="00247AD2" w:rsidRPr="00672714" w:rsidRDefault="00247AD2" w:rsidP="00672714">
            <w:pPr>
              <w:pStyle w:val="BodyText"/>
              <w:rPr>
                <w:sz w:val="20"/>
                <w:szCs w:val="20"/>
              </w:rPr>
            </w:pPr>
            <w:r w:rsidRPr="00672714">
              <w:rPr>
                <w:sz w:val="20"/>
                <w:szCs w:val="20"/>
              </w:rPr>
              <w:t>Jonathon Thorpe</w:t>
            </w:r>
          </w:p>
        </w:tc>
        <w:tc>
          <w:tcPr>
            <w:tcW w:w="719" w:type="pct"/>
          </w:tcPr>
          <w:p w14:paraId="05E3F3A6" w14:textId="77777777" w:rsidR="00247AD2" w:rsidRPr="00672714" w:rsidRDefault="00247AD2" w:rsidP="00672714">
            <w:pPr>
              <w:pStyle w:val="BodyText"/>
              <w:rPr>
                <w:sz w:val="20"/>
                <w:szCs w:val="20"/>
              </w:rPr>
            </w:pPr>
            <w:r w:rsidRPr="00672714">
              <w:rPr>
                <w:sz w:val="20"/>
                <w:szCs w:val="20"/>
              </w:rPr>
              <w:t>Deputy CEO Service Delivery Excellence</w:t>
            </w:r>
          </w:p>
        </w:tc>
        <w:tc>
          <w:tcPr>
            <w:tcW w:w="471" w:type="pct"/>
          </w:tcPr>
          <w:p w14:paraId="1506D16B" w14:textId="77777777" w:rsidR="00247AD2" w:rsidRPr="00672714" w:rsidRDefault="00247AD2" w:rsidP="00672714">
            <w:pPr>
              <w:pStyle w:val="BodyText"/>
              <w:rPr>
                <w:sz w:val="20"/>
                <w:szCs w:val="20"/>
              </w:rPr>
            </w:pPr>
            <w:r w:rsidRPr="00672714">
              <w:rPr>
                <w:sz w:val="20"/>
                <w:szCs w:val="20"/>
              </w:rPr>
              <w:t>459,923</w:t>
            </w:r>
          </w:p>
        </w:tc>
        <w:tc>
          <w:tcPr>
            <w:tcW w:w="347" w:type="pct"/>
          </w:tcPr>
          <w:p w14:paraId="419CAC7E" w14:textId="77777777" w:rsidR="00247AD2" w:rsidRPr="00672714" w:rsidRDefault="00247AD2" w:rsidP="00672714">
            <w:pPr>
              <w:pStyle w:val="BodyText"/>
              <w:rPr>
                <w:sz w:val="20"/>
                <w:szCs w:val="20"/>
              </w:rPr>
            </w:pPr>
            <w:r w:rsidRPr="00672714">
              <w:rPr>
                <w:sz w:val="20"/>
                <w:szCs w:val="20"/>
              </w:rPr>
              <w:t>0</w:t>
            </w:r>
          </w:p>
        </w:tc>
        <w:tc>
          <w:tcPr>
            <w:tcW w:w="520" w:type="pct"/>
          </w:tcPr>
          <w:p w14:paraId="32924793" w14:textId="77777777" w:rsidR="00247AD2" w:rsidRPr="00672714" w:rsidRDefault="00247AD2" w:rsidP="00672714">
            <w:pPr>
              <w:pStyle w:val="BodyText"/>
              <w:rPr>
                <w:sz w:val="20"/>
                <w:szCs w:val="20"/>
              </w:rPr>
            </w:pPr>
            <w:r w:rsidRPr="00672714">
              <w:rPr>
                <w:sz w:val="20"/>
                <w:szCs w:val="20"/>
              </w:rPr>
              <w:t>1,477</w:t>
            </w:r>
          </w:p>
        </w:tc>
        <w:tc>
          <w:tcPr>
            <w:tcW w:w="620" w:type="pct"/>
          </w:tcPr>
          <w:p w14:paraId="30D09829" w14:textId="77777777" w:rsidR="00247AD2" w:rsidRPr="00672714" w:rsidRDefault="00247AD2" w:rsidP="00672714">
            <w:pPr>
              <w:pStyle w:val="BodyText"/>
              <w:rPr>
                <w:sz w:val="20"/>
                <w:szCs w:val="20"/>
              </w:rPr>
            </w:pPr>
            <w:r w:rsidRPr="00672714">
              <w:rPr>
                <w:sz w:val="20"/>
                <w:szCs w:val="20"/>
              </w:rPr>
              <w:t>73,435</w:t>
            </w:r>
          </w:p>
        </w:tc>
        <w:tc>
          <w:tcPr>
            <w:tcW w:w="421" w:type="pct"/>
          </w:tcPr>
          <w:p w14:paraId="4D6A3ADB" w14:textId="77777777" w:rsidR="00247AD2" w:rsidRPr="00672714" w:rsidRDefault="00247AD2" w:rsidP="00672714">
            <w:pPr>
              <w:pStyle w:val="BodyText"/>
              <w:rPr>
                <w:sz w:val="20"/>
                <w:szCs w:val="20"/>
              </w:rPr>
            </w:pPr>
            <w:r w:rsidRPr="00672714">
              <w:rPr>
                <w:sz w:val="20"/>
                <w:szCs w:val="20"/>
              </w:rPr>
              <w:t>35,667</w:t>
            </w:r>
          </w:p>
        </w:tc>
        <w:tc>
          <w:tcPr>
            <w:tcW w:w="397" w:type="pct"/>
          </w:tcPr>
          <w:p w14:paraId="7F60B4DA" w14:textId="77777777" w:rsidR="00247AD2" w:rsidRPr="00672714" w:rsidRDefault="00247AD2" w:rsidP="00672714">
            <w:pPr>
              <w:pStyle w:val="BodyText"/>
              <w:rPr>
                <w:sz w:val="20"/>
                <w:szCs w:val="20"/>
              </w:rPr>
            </w:pPr>
            <w:r w:rsidRPr="00672714">
              <w:rPr>
                <w:sz w:val="20"/>
                <w:szCs w:val="20"/>
              </w:rPr>
              <w:t>0</w:t>
            </w:r>
          </w:p>
        </w:tc>
        <w:tc>
          <w:tcPr>
            <w:tcW w:w="471" w:type="pct"/>
          </w:tcPr>
          <w:p w14:paraId="3C071278" w14:textId="77777777" w:rsidR="00247AD2" w:rsidRPr="00672714" w:rsidRDefault="00247AD2" w:rsidP="00672714">
            <w:pPr>
              <w:pStyle w:val="BodyText"/>
              <w:rPr>
                <w:sz w:val="20"/>
                <w:szCs w:val="20"/>
              </w:rPr>
            </w:pPr>
            <w:r w:rsidRPr="00672714">
              <w:rPr>
                <w:sz w:val="20"/>
                <w:szCs w:val="20"/>
              </w:rPr>
              <w:t>0</w:t>
            </w:r>
          </w:p>
        </w:tc>
        <w:tc>
          <w:tcPr>
            <w:tcW w:w="537" w:type="pct"/>
          </w:tcPr>
          <w:p w14:paraId="765C686C" w14:textId="77777777" w:rsidR="00247AD2" w:rsidRPr="00672714" w:rsidRDefault="00247AD2" w:rsidP="00672714">
            <w:pPr>
              <w:pStyle w:val="BodyText"/>
              <w:rPr>
                <w:sz w:val="20"/>
                <w:szCs w:val="20"/>
              </w:rPr>
            </w:pPr>
            <w:r w:rsidRPr="00672714">
              <w:rPr>
                <w:rStyle w:val="Bold"/>
                <w:sz w:val="20"/>
                <w:szCs w:val="20"/>
              </w:rPr>
              <w:t>570,501</w:t>
            </w:r>
          </w:p>
        </w:tc>
      </w:tr>
      <w:tr w:rsidR="00247AD2" w:rsidRPr="00672714" w14:paraId="70C7AFF8" w14:textId="77777777" w:rsidTr="006A0585">
        <w:trPr>
          <w:trHeight w:val="566"/>
        </w:trPr>
        <w:tc>
          <w:tcPr>
            <w:tcW w:w="496" w:type="pct"/>
          </w:tcPr>
          <w:p w14:paraId="06A3110F" w14:textId="77777777" w:rsidR="00247AD2" w:rsidRPr="00672714" w:rsidRDefault="00247AD2" w:rsidP="00672714">
            <w:pPr>
              <w:pStyle w:val="BodyText"/>
              <w:rPr>
                <w:sz w:val="20"/>
                <w:szCs w:val="20"/>
              </w:rPr>
            </w:pPr>
            <w:r w:rsidRPr="00672714">
              <w:rPr>
                <w:sz w:val="20"/>
                <w:szCs w:val="20"/>
              </w:rPr>
              <w:t xml:space="preserve">Susie </w:t>
            </w:r>
            <w:r w:rsidRPr="00672714">
              <w:rPr>
                <w:sz w:val="20"/>
                <w:szCs w:val="20"/>
              </w:rPr>
              <w:br/>
              <w:t>Smith</w:t>
            </w:r>
          </w:p>
        </w:tc>
        <w:tc>
          <w:tcPr>
            <w:tcW w:w="719" w:type="pct"/>
          </w:tcPr>
          <w:p w14:paraId="38D228D8" w14:textId="77777777" w:rsidR="00247AD2" w:rsidRPr="00672714" w:rsidRDefault="00247AD2" w:rsidP="00672714">
            <w:pPr>
              <w:pStyle w:val="BodyText"/>
              <w:rPr>
                <w:sz w:val="20"/>
                <w:szCs w:val="20"/>
              </w:rPr>
            </w:pPr>
            <w:r w:rsidRPr="00672714">
              <w:rPr>
                <w:sz w:val="20"/>
                <w:szCs w:val="20"/>
              </w:rPr>
              <w:t xml:space="preserve">Deputy CEO Strategy and Performance </w:t>
            </w:r>
          </w:p>
        </w:tc>
        <w:tc>
          <w:tcPr>
            <w:tcW w:w="471" w:type="pct"/>
          </w:tcPr>
          <w:p w14:paraId="7175A961" w14:textId="77777777" w:rsidR="00247AD2" w:rsidRPr="00672714" w:rsidRDefault="00247AD2" w:rsidP="00672714">
            <w:pPr>
              <w:pStyle w:val="BodyText"/>
              <w:rPr>
                <w:sz w:val="20"/>
                <w:szCs w:val="20"/>
              </w:rPr>
            </w:pPr>
            <w:r w:rsidRPr="00672714">
              <w:rPr>
                <w:sz w:val="20"/>
                <w:szCs w:val="20"/>
              </w:rPr>
              <w:t>436,860</w:t>
            </w:r>
          </w:p>
        </w:tc>
        <w:tc>
          <w:tcPr>
            <w:tcW w:w="347" w:type="pct"/>
          </w:tcPr>
          <w:p w14:paraId="49EFCFF2" w14:textId="77777777" w:rsidR="00247AD2" w:rsidRPr="00672714" w:rsidRDefault="00247AD2" w:rsidP="00672714">
            <w:pPr>
              <w:pStyle w:val="BodyText"/>
              <w:rPr>
                <w:sz w:val="20"/>
                <w:szCs w:val="20"/>
              </w:rPr>
            </w:pPr>
            <w:r w:rsidRPr="00672714">
              <w:rPr>
                <w:sz w:val="20"/>
                <w:szCs w:val="20"/>
              </w:rPr>
              <w:t>0</w:t>
            </w:r>
          </w:p>
        </w:tc>
        <w:tc>
          <w:tcPr>
            <w:tcW w:w="520" w:type="pct"/>
          </w:tcPr>
          <w:p w14:paraId="10094B5D" w14:textId="77777777" w:rsidR="00247AD2" w:rsidRPr="00672714" w:rsidRDefault="00247AD2" w:rsidP="00672714">
            <w:pPr>
              <w:pStyle w:val="BodyText"/>
              <w:rPr>
                <w:sz w:val="20"/>
                <w:szCs w:val="20"/>
              </w:rPr>
            </w:pPr>
            <w:r w:rsidRPr="00672714">
              <w:rPr>
                <w:sz w:val="20"/>
                <w:szCs w:val="20"/>
              </w:rPr>
              <w:t>1,477</w:t>
            </w:r>
          </w:p>
        </w:tc>
        <w:tc>
          <w:tcPr>
            <w:tcW w:w="620" w:type="pct"/>
          </w:tcPr>
          <w:p w14:paraId="4F9CD719" w14:textId="77777777" w:rsidR="00247AD2" w:rsidRPr="00672714" w:rsidRDefault="00247AD2" w:rsidP="00672714">
            <w:pPr>
              <w:pStyle w:val="BodyText"/>
              <w:rPr>
                <w:sz w:val="20"/>
                <w:szCs w:val="20"/>
              </w:rPr>
            </w:pPr>
            <w:r w:rsidRPr="00672714">
              <w:rPr>
                <w:sz w:val="20"/>
                <w:szCs w:val="20"/>
              </w:rPr>
              <w:t>82,406</w:t>
            </w:r>
          </w:p>
        </w:tc>
        <w:tc>
          <w:tcPr>
            <w:tcW w:w="421" w:type="pct"/>
          </w:tcPr>
          <w:p w14:paraId="4EF4A948" w14:textId="77777777" w:rsidR="00247AD2" w:rsidRPr="00672714" w:rsidRDefault="00247AD2" w:rsidP="00672714">
            <w:pPr>
              <w:pStyle w:val="BodyText"/>
              <w:rPr>
                <w:sz w:val="20"/>
                <w:szCs w:val="20"/>
              </w:rPr>
            </w:pPr>
            <w:r w:rsidRPr="00672714">
              <w:rPr>
                <w:sz w:val="20"/>
                <w:szCs w:val="20"/>
              </w:rPr>
              <w:t>25,260</w:t>
            </w:r>
          </w:p>
        </w:tc>
        <w:tc>
          <w:tcPr>
            <w:tcW w:w="397" w:type="pct"/>
          </w:tcPr>
          <w:p w14:paraId="1B0F08C6" w14:textId="77777777" w:rsidR="00247AD2" w:rsidRPr="00672714" w:rsidRDefault="00247AD2" w:rsidP="00672714">
            <w:pPr>
              <w:pStyle w:val="BodyText"/>
              <w:rPr>
                <w:sz w:val="20"/>
                <w:szCs w:val="20"/>
              </w:rPr>
            </w:pPr>
            <w:r w:rsidRPr="00672714">
              <w:rPr>
                <w:sz w:val="20"/>
                <w:szCs w:val="20"/>
              </w:rPr>
              <w:t>0</w:t>
            </w:r>
          </w:p>
        </w:tc>
        <w:tc>
          <w:tcPr>
            <w:tcW w:w="471" w:type="pct"/>
          </w:tcPr>
          <w:p w14:paraId="2AD050B3" w14:textId="77777777" w:rsidR="00247AD2" w:rsidRPr="00672714" w:rsidRDefault="00247AD2" w:rsidP="00672714">
            <w:pPr>
              <w:pStyle w:val="BodyText"/>
              <w:rPr>
                <w:sz w:val="20"/>
                <w:szCs w:val="20"/>
              </w:rPr>
            </w:pPr>
            <w:r w:rsidRPr="00672714">
              <w:rPr>
                <w:sz w:val="20"/>
                <w:szCs w:val="20"/>
              </w:rPr>
              <w:t>0</w:t>
            </w:r>
          </w:p>
        </w:tc>
        <w:tc>
          <w:tcPr>
            <w:tcW w:w="537" w:type="pct"/>
          </w:tcPr>
          <w:p w14:paraId="14B4A26B" w14:textId="77777777" w:rsidR="00247AD2" w:rsidRPr="00672714" w:rsidRDefault="00247AD2" w:rsidP="00672714">
            <w:pPr>
              <w:pStyle w:val="BodyText"/>
              <w:rPr>
                <w:sz w:val="20"/>
                <w:szCs w:val="20"/>
              </w:rPr>
            </w:pPr>
            <w:r w:rsidRPr="00672714">
              <w:rPr>
                <w:rStyle w:val="Bold"/>
                <w:sz w:val="20"/>
                <w:szCs w:val="20"/>
              </w:rPr>
              <w:t>546,004</w:t>
            </w:r>
          </w:p>
        </w:tc>
      </w:tr>
      <w:tr w:rsidR="00247AD2" w:rsidRPr="00672714" w14:paraId="442FB597" w14:textId="77777777" w:rsidTr="006A0585">
        <w:trPr>
          <w:trHeight w:val="566"/>
        </w:trPr>
        <w:tc>
          <w:tcPr>
            <w:tcW w:w="496" w:type="pct"/>
          </w:tcPr>
          <w:p w14:paraId="37B6B9C6" w14:textId="77777777" w:rsidR="00247AD2" w:rsidRPr="00672714" w:rsidRDefault="00247AD2" w:rsidP="00672714">
            <w:pPr>
              <w:pStyle w:val="BodyText"/>
              <w:rPr>
                <w:sz w:val="20"/>
                <w:szCs w:val="20"/>
              </w:rPr>
            </w:pPr>
            <w:r w:rsidRPr="00672714">
              <w:rPr>
                <w:sz w:val="20"/>
                <w:szCs w:val="20"/>
              </w:rPr>
              <w:lastRenderedPageBreak/>
              <w:t>Randall Brugeaud</w:t>
            </w:r>
          </w:p>
        </w:tc>
        <w:tc>
          <w:tcPr>
            <w:tcW w:w="719" w:type="pct"/>
          </w:tcPr>
          <w:p w14:paraId="7801C45B" w14:textId="77777777" w:rsidR="00247AD2" w:rsidRPr="00672714" w:rsidRDefault="00247AD2" w:rsidP="00672714">
            <w:pPr>
              <w:pStyle w:val="BodyText"/>
              <w:rPr>
                <w:sz w:val="20"/>
                <w:szCs w:val="20"/>
              </w:rPr>
            </w:pPr>
            <w:r w:rsidRPr="00672714">
              <w:rPr>
                <w:sz w:val="20"/>
                <w:szCs w:val="20"/>
              </w:rPr>
              <w:t>Chief Operating Officer</w:t>
            </w:r>
          </w:p>
        </w:tc>
        <w:tc>
          <w:tcPr>
            <w:tcW w:w="471" w:type="pct"/>
          </w:tcPr>
          <w:p w14:paraId="76D6D8AE" w14:textId="77777777" w:rsidR="00247AD2" w:rsidRPr="00672714" w:rsidRDefault="00247AD2" w:rsidP="00672714">
            <w:pPr>
              <w:pStyle w:val="BodyText"/>
              <w:rPr>
                <w:sz w:val="20"/>
                <w:szCs w:val="20"/>
              </w:rPr>
            </w:pPr>
            <w:r w:rsidRPr="00672714">
              <w:rPr>
                <w:sz w:val="20"/>
                <w:szCs w:val="20"/>
              </w:rPr>
              <w:t>503,528</w:t>
            </w:r>
          </w:p>
        </w:tc>
        <w:tc>
          <w:tcPr>
            <w:tcW w:w="347" w:type="pct"/>
          </w:tcPr>
          <w:p w14:paraId="2B4394B5" w14:textId="77777777" w:rsidR="00247AD2" w:rsidRPr="00672714" w:rsidRDefault="00247AD2" w:rsidP="00672714">
            <w:pPr>
              <w:pStyle w:val="BodyText"/>
              <w:rPr>
                <w:sz w:val="20"/>
                <w:szCs w:val="20"/>
              </w:rPr>
            </w:pPr>
            <w:r w:rsidRPr="00672714">
              <w:rPr>
                <w:sz w:val="20"/>
                <w:szCs w:val="20"/>
              </w:rPr>
              <w:t>0</w:t>
            </w:r>
          </w:p>
        </w:tc>
        <w:tc>
          <w:tcPr>
            <w:tcW w:w="520" w:type="pct"/>
          </w:tcPr>
          <w:p w14:paraId="5AACA338" w14:textId="77777777" w:rsidR="00247AD2" w:rsidRPr="00672714" w:rsidRDefault="00247AD2" w:rsidP="00672714">
            <w:pPr>
              <w:pStyle w:val="BodyText"/>
              <w:rPr>
                <w:sz w:val="20"/>
                <w:szCs w:val="20"/>
              </w:rPr>
            </w:pPr>
            <w:r w:rsidRPr="00672714">
              <w:rPr>
                <w:sz w:val="20"/>
                <w:szCs w:val="20"/>
              </w:rPr>
              <w:t>1,477</w:t>
            </w:r>
          </w:p>
        </w:tc>
        <w:tc>
          <w:tcPr>
            <w:tcW w:w="620" w:type="pct"/>
          </w:tcPr>
          <w:p w14:paraId="2BFE6F6A" w14:textId="77777777" w:rsidR="00247AD2" w:rsidRPr="00672714" w:rsidRDefault="00247AD2" w:rsidP="00672714">
            <w:pPr>
              <w:pStyle w:val="BodyText"/>
              <w:rPr>
                <w:sz w:val="20"/>
                <w:szCs w:val="20"/>
              </w:rPr>
            </w:pPr>
            <w:r w:rsidRPr="00672714">
              <w:rPr>
                <w:sz w:val="20"/>
                <w:szCs w:val="20"/>
              </w:rPr>
              <w:t>95,135</w:t>
            </w:r>
          </w:p>
        </w:tc>
        <w:tc>
          <w:tcPr>
            <w:tcW w:w="421" w:type="pct"/>
          </w:tcPr>
          <w:p w14:paraId="5B0507B4" w14:textId="77777777" w:rsidR="00247AD2" w:rsidRPr="00672714" w:rsidRDefault="00247AD2" w:rsidP="00672714">
            <w:pPr>
              <w:pStyle w:val="BodyText"/>
              <w:rPr>
                <w:sz w:val="20"/>
                <w:szCs w:val="20"/>
              </w:rPr>
            </w:pPr>
            <w:r w:rsidRPr="00672714">
              <w:rPr>
                <w:sz w:val="20"/>
                <w:szCs w:val="20"/>
              </w:rPr>
              <w:t>20,991</w:t>
            </w:r>
          </w:p>
        </w:tc>
        <w:tc>
          <w:tcPr>
            <w:tcW w:w="397" w:type="pct"/>
          </w:tcPr>
          <w:p w14:paraId="6B056831" w14:textId="77777777" w:rsidR="00247AD2" w:rsidRPr="00672714" w:rsidRDefault="00247AD2" w:rsidP="00672714">
            <w:pPr>
              <w:pStyle w:val="BodyText"/>
              <w:rPr>
                <w:sz w:val="20"/>
                <w:szCs w:val="20"/>
              </w:rPr>
            </w:pPr>
            <w:r w:rsidRPr="00672714">
              <w:rPr>
                <w:sz w:val="20"/>
                <w:szCs w:val="20"/>
              </w:rPr>
              <w:t>0</w:t>
            </w:r>
          </w:p>
        </w:tc>
        <w:tc>
          <w:tcPr>
            <w:tcW w:w="471" w:type="pct"/>
          </w:tcPr>
          <w:p w14:paraId="497B1DE8" w14:textId="77777777" w:rsidR="00247AD2" w:rsidRPr="00672714" w:rsidRDefault="00247AD2" w:rsidP="00672714">
            <w:pPr>
              <w:pStyle w:val="BodyText"/>
              <w:rPr>
                <w:sz w:val="20"/>
                <w:szCs w:val="20"/>
              </w:rPr>
            </w:pPr>
            <w:r w:rsidRPr="00672714">
              <w:rPr>
                <w:sz w:val="20"/>
                <w:szCs w:val="20"/>
              </w:rPr>
              <w:t>0</w:t>
            </w:r>
          </w:p>
        </w:tc>
        <w:tc>
          <w:tcPr>
            <w:tcW w:w="537" w:type="pct"/>
          </w:tcPr>
          <w:p w14:paraId="13371BBC" w14:textId="77777777" w:rsidR="00247AD2" w:rsidRPr="00672714" w:rsidRDefault="00247AD2" w:rsidP="00672714">
            <w:pPr>
              <w:pStyle w:val="BodyText"/>
              <w:rPr>
                <w:sz w:val="20"/>
                <w:szCs w:val="20"/>
              </w:rPr>
            </w:pPr>
            <w:r w:rsidRPr="00672714">
              <w:rPr>
                <w:rStyle w:val="Bold"/>
                <w:sz w:val="20"/>
                <w:szCs w:val="20"/>
              </w:rPr>
              <w:t>621,131</w:t>
            </w:r>
          </w:p>
        </w:tc>
      </w:tr>
      <w:tr w:rsidR="00247AD2" w:rsidRPr="00672714" w14:paraId="4C067005" w14:textId="77777777" w:rsidTr="006A0585">
        <w:trPr>
          <w:trHeight w:val="566"/>
        </w:trPr>
        <w:tc>
          <w:tcPr>
            <w:tcW w:w="496" w:type="pct"/>
          </w:tcPr>
          <w:p w14:paraId="755647D4" w14:textId="77777777" w:rsidR="00247AD2" w:rsidRPr="00672714" w:rsidRDefault="00247AD2" w:rsidP="00672714">
            <w:pPr>
              <w:pStyle w:val="BodyText"/>
              <w:rPr>
                <w:sz w:val="20"/>
                <w:szCs w:val="20"/>
              </w:rPr>
            </w:pPr>
            <w:r w:rsidRPr="00672714">
              <w:rPr>
                <w:sz w:val="20"/>
                <w:szCs w:val="20"/>
              </w:rPr>
              <w:t>Jarrod Howard</w:t>
            </w:r>
          </w:p>
        </w:tc>
        <w:tc>
          <w:tcPr>
            <w:tcW w:w="719" w:type="pct"/>
          </w:tcPr>
          <w:p w14:paraId="0A0E9864" w14:textId="77777777" w:rsidR="00247AD2" w:rsidRPr="00672714" w:rsidRDefault="00247AD2" w:rsidP="00672714">
            <w:pPr>
              <w:pStyle w:val="BodyText"/>
              <w:rPr>
                <w:sz w:val="20"/>
                <w:szCs w:val="20"/>
              </w:rPr>
            </w:pPr>
            <w:r w:rsidRPr="00672714">
              <w:rPr>
                <w:sz w:val="20"/>
                <w:szCs w:val="20"/>
              </w:rPr>
              <w:t>Deputy CEO Customer Service Delivery</w:t>
            </w:r>
          </w:p>
        </w:tc>
        <w:tc>
          <w:tcPr>
            <w:tcW w:w="471" w:type="pct"/>
          </w:tcPr>
          <w:p w14:paraId="6CF8D7EB" w14:textId="77777777" w:rsidR="00247AD2" w:rsidRPr="00672714" w:rsidRDefault="00247AD2" w:rsidP="00672714">
            <w:pPr>
              <w:pStyle w:val="BodyText"/>
              <w:rPr>
                <w:sz w:val="20"/>
                <w:szCs w:val="20"/>
              </w:rPr>
            </w:pPr>
            <w:r w:rsidRPr="00672714">
              <w:rPr>
                <w:sz w:val="20"/>
                <w:szCs w:val="20"/>
              </w:rPr>
              <w:t>364,350</w:t>
            </w:r>
          </w:p>
        </w:tc>
        <w:tc>
          <w:tcPr>
            <w:tcW w:w="347" w:type="pct"/>
          </w:tcPr>
          <w:p w14:paraId="218036ED" w14:textId="77777777" w:rsidR="00247AD2" w:rsidRPr="00672714" w:rsidRDefault="00247AD2" w:rsidP="00672714">
            <w:pPr>
              <w:pStyle w:val="BodyText"/>
              <w:rPr>
                <w:sz w:val="20"/>
                <w:szCs w:val="20"/>
              </w:rPr>
            </w:pPr>
            <w:r w:rsidRPr="00672714">
              <w:rPr>
                <w:sz w:val="20"/>
                <w:szCs w:val="20"/>
              </w:rPr>
              <w:t>0</w:t>
            </w:r>
          </w:p>
        </w:tc>
        <w:tc>
          <w:tcPr>
            <w:tcW w:w="520" w:type="pct"/>
          </w:tcPr>
          <w:p w14:paraId="4EC7F2F2" w14:textId="77777777" w:rsidR="00247AD2" w:rsidRPr="00672714" w:rsidRDefault="00247AD2" w:rsidP="00672714">
            <w:pPr>
              <w:pStyle w:val="BodyText"/>
              <w:rPr>
                <w:sz w:val="20"/>
                <w:szCs w:val="20"/>
              </w:rPr>
            </w:pPr>
            <w:r w:rsidRPr="00672714">
              <w:rPr>
                <w:sz w:val="20"/>
                <w:szCs w:val="20"/>
              </w:rPr>
              <w:t>1,217</w:t>
            </w:r>
          </w:p>
        </w:tc>
        <w:tc>
          <w:tcPr>
            <w:tcW w:w="620" w:type="pct"/>
          </w:tcPr>
          <w:p w14:paraId="67C00760" w14:textId="77777777" w:rsidR="00247AD2" w:rsidRPr="00672714" w:rsidRDefault="00247AD2" w:rsidP="00672714">
            <w:pPr>
              <w:pStyle w:val="BodyText"/>
              <w:rPr>
                <w:sz w:val="20"/>
                <w:szCs w:val="20"/>
              </w:rPr>
            </w:pPr>
            <w:r w:rsidRPr="00672714">
              <w:rPr>
                <w:sz w:val="20"/>
                <w:szCs w:val="20"/>
              </w:rPr>
              <w:t>56,666</w:t>
            </w:r>
          </w:p>
        </w:tc>
        <w:tc>
          <w:tcPr>
            <w:tcW w:w="421" w:type="pct"/>
          </w:tcPr>
          <w:p w14:paraId="4CE7E96E" w14:textId="77777777" w:rsidR="00247AD2" w:rsidRPr="00672714" w:rsidRDefault="00247AD2" w:rsidP="00672714">
            <w:pPr>
              <w:pStyle w:val="BodyText"/>
              <w:rPr>
                <w:sz w:val="20"/>
                <w:szCs w:val="20"/>
              </w:rPr>
            </w:pPr>
            <w:r w:rsidRPr="00672714">
              <w:rPr>
                <w:sz w:val="20"/>
                <w:szCs w:val="20"/>
              </w:rPr>
              <w:t>27,335</w:t>
            </w:r>
          </w:p>
        </w:tc>
        <w:tc>
          <w:tcPr>
            <w:tcW w:w="397" w:type="pct"/>
          </w:tcPr>
          <w:p w14:paraId="77F30EF4" w14:textId="77777777" w:rsidR="00247AD2" w:rsidRPr="00672714" w:rsidRDefault="00247AD2" w:rsidP="00672714">
            <w:pPr>
              <w:pStyle w:val="BodyText"/>
              <w:rPr>
                <w:sz w:val="20"/>
                <w:szCs w:val="20"/>
              </w:rPr>
            </w:pPr>
            <w:r w:rsidRPr="00672714">
              <w:rPr>
                <w:sz w:val="20"/>
                <w:szCs w:val="20"/>
              </w:rPr>
              <w:t>0</w:t>
            </w:r>
          </w:p>
        </w:tc>
        <w:tc>
          <w:tcPr>
            <w:tcW w:w="471" w:type="pct"/>
          </w:tcPr>
          <w:p w14:paraId="4291995B" w14:textId="77777777" w:rsidR="00247AD2" w:rsidRPr="00672714" w:rsidRDefault="00247AD2" w:rsidP="00672714">
            <w:pPr>
              <w:pStyle w:val="BodyText"/>
              <w:rPr>
                <w:sz w:val="20"/>
                <w:szCs w:val="20"/>
              </w:rPr>
            </w:pPr>
            <w:r w:rsidRPr="00672714">
              <w:rPr>
                <w:sz w:val="20"/>
                <w:szCs w:val="20"/>
              </w:rPr>
              <w:t>0</w:t>
            </w:r>
          </w:p>
        </w:tc>
        <w:tc>
          <w:tcPr>
            <w:tcW w:w="537" w:type="pct"/>
          </w:tcPr>
          <w:p w14:paraId="66B5157E" w14:textId="77777777" w:rsidR="00247AD2" w:rsidRPr="00672714" w:rsidRDefault="00247AD2" w:rsidP="00672714">
            <w:pPr>
              <w:pStyle w:val="BodyText"/>
              <w:rPr>
                <w:sz w:val="20"/>
                <w:szCs w:val="20"/>
              </w:rPr>
            </w:pPr>
            <w:r w:rsidRPr="00672714">
              <w:rPr>
                <w:rStyle w:val="Bold"/>
                <w:sz w:val="20"/>
                <w:szCs w:val="20"/>
              </w:rPr>
              <w:t>449,568</w:t>
            </w:r>
          </w:p>
        </w:tc>
      </w:tr>
      <w:tr w:rsidR="00247AD2" w:rsidRPr="00672714" w14:paraId="3A16308C" w14:textId="77777777" w:rsidTr="006A0585">
        <w:trPr>
          <w:trHeight w:val="566"/>
        </w:trPr>
        <w:tc>
          <w:tcPr>
            <w:tcW w:w="496" w:type="pct"/>
          </w:tcPr>
          <w:p w14:paraId="2E044337" w14:textId="77777777" w:rsidR="00247AD2" w:rsidRPr="00672714" w:rsidRDefault="00247AD2" w:rsidP="00672714">
            <w:pPr>
              <w:pStyle w:val="BodyText"/>
              <w:rPr>
                <w:sz w:val="20"/>
                <w:szCs w:val="20"/>
              </w:rPr>
            </w:pPr>
            <w:r w:rsidRPr="00672714">
              <w:rPr>
                <w:sz w:val="20"/>
                <w:szCs w:val="20"/>
              </w:rPr>
              <w:t>Bo Robertson</w:t>
            </w:r>
          </w:p>
        </w:tc>
        <w:tc>
          <w:tcPr>
            <w:tcW w:w="719" w:type="pct"/>
          </w:tcPr>
          <w:p w14:paraId="74934ED2" w14:textId="77777777" w:rsidR="00247AD2" w:rsidRPr="00672714" w:rsidRDefault="00247AD2" w:rsidP="00672714">
            <w:pPr>
              <w:pStyle w:val="BodyText"/>
              <w:rPr>
                <w:sz w:val="20"/>
                <w:szCs w:val="20"/>
              </w:rPr>
            </w:pPr>
            <w:r w:rsidRPr="00672714">
              <w:rPr>
                <w:sz w:val="20"/>
                <w:szCs w:val="20"/>
              </w:rPr>
              <w:t>Acting Deputy CEO Customer Service Delivery</w:t>
            </w:r>
          </w:p>
        </w:tc>
        <w:tc>
          <w:tcPr>
            <w:tcW w:w="471" w:type="pct"/>
          </w:tcPr>
          <w:p w14:paraId="5243D72F" w14:textId="77777777" w:rsidR="00247AD2" w:rsidRPr="00672714" w:rsidRDefault="00247AD2" w:rsidP="00672714">
            <w:pPr>
              <w:pStyle w:val="BodyText"/>
              <w:rPr>
                <w:sz w:val="20"/>
                <w:szCs w:val="20"/>
              </w:rPr>
            </w:pPr>
            <w:r w:rsidRPr="00672714">
              <w:rPr>
                <w:sz w:val="20"/>
                <w:szCs w:val="20"/>
              </w:rPr>
              <w:t>140,725</w:t>
            </w:r>
          </w:p>
        </w:tc>
        <w:tc>
          <w:tcPr>
            <w:tcW w:w="347" w:type="pct"/>
          </w:tcPr>
          <w:p w14:paraId="0FA2FA86" w14:textId="77777777" w:rsidR="00247AD2" w:rsidRPr="00672714" w:rsidRDefault="00247AD2" w:rsidP="00672714">
            <w:pPr>
              <w:pStyle w:val="BodyText"/>
              <w:rPr>
                <w:sz w:val="20"/>
                <w:szCs w:val="20"/>
              </w:rPr>
            </w:pPr>
            <w:r w:rsidRPr="00672714">
              <w:rPr>
                <w:sz w:val="20"/>
                <w:szCs w:val="20"/>
              </w:rPr>
              <w:t>0</w:t>
            </w:r>
          </w:p>
        </w:tc>
        <w:tc>
          <w:tcPr>
            <w:tcW w:w="520" w:type="pct"/>
          </w:tcPr>
          <w:p w14:paraId="7A718EFD" w14:textId="77777777" w:rsidR="00247AD2" w:rsidRPr="00672714" w:rsidRDefault="00247AD2" w:rsidP="00672714">
            <w:pPr>
              <w:pStyle w:val="BodyText"/>
              <w:rPr>
                <w:sz w:val="20"/>
                <w:szCs w:val="20"/>
              </w:rPr>
            </w:pPr>
            <w:r w:rsidRPr="00672714">
              <w:rPr>
                <w:sz w:val="20"/>
                <w:szCs w:val="20"/>
              </w:rPr>
              <w:t>10,549</w:t>
            </w:r>
          </w:p>
        </w:tc>
        <w:tc>
          <w:tcPr>
            <w:tcW w:w="620" w:type="pct"/>
          </w:tcPr>
          <w:p w14:paraId="71877578" w14:textId="77777777" w:rsidR="00247AD2" w:rsidRPr="00672714" w:rsidRDefault="00247AD2" w:rsidP="00672714">
            <w:pPr>
              <w:pStyle w:val="BodyText"/>
              <w:rPr>
                <w:sz w:val="20"/>
                <w:szCs w:val="20"/>
              </w:rPr>
            </w:pPr>
            <w:r w:rsidRPr="00672714">
              <w:rPr>
                <w:sz w:val="20"/>
                <w:szCs w:val="20"/>
              </w:rPr>
              <w:t>22,166</w:t>
            </w:r>
          </w:p>
        </w:tc>
        <w:tc>
          <w:tcPr>
            <w:tcW w:w="421" w:type="pct"/>
          </w:tcPr>
          <w:p w14:paraId="74B27CA5" w14:textId="77777777" w:rsidR="00247AD2" w:rsidRPr="00672714" w:rsidRDefault="00247AD2" w:rsidP="00672714">
            <w:pPr>
              <w:pStyle w:val="BodyText"/>
              <w:rPr>
                <w:sz w:val="20"/>
                <w:szCs w:val="20"/>
              </w:rPr>
            </w:pPr>
            <w:r w:rsidRPr="00672714">
              <w:rPr>
                <w:sz w:val="20"/>
                <w:szCs w:val="20"/>
              </w:rPr>
              <w:t>3,871</w:t>
            </w:r>
          </w:p>
        </w:tc>
        <w:tc>
          <w:tcPr>
            <w:tcW w:w="397" w:type="pct"/>
          </w:tcPr>
          <w:p w14:paraId="7E64B01C" w14:textId="77777777" w:rsidR="00247AD2" w:rsidRPr="00672714" w:rsidRDefault="00247AD2" w:rsidP="00672714">
            <w:pPr>
              <w:pStyle w:val="BodyText"/>
              <w:rPr>
                <w:sz w:val="20"/>
                <w:szCs w:val="20"/>
              </w:rPr>
            </w:pPr>
            <w:r w:rsidRPr="00672714">
              <w:rPr>
                <w:sz w:val="20"/>
                <w:szCs w:val="20"/>
              </w:rPr>
              <w:t>0</w:t>
            </w:r>
          </w:p>
        </w:tc>
        <w:tc>
          <w:tcPr>
            <w:tcW w:w="471" w:type="pct"/>
          </w:tcPr>
          <w:p w14:paraId="77C53135" w14:textId="77777777" w:rsidR="00247AD2" w:rsidRPr="00672714" w:rsidRDefault="00247AD2" w:rsidP="00672714">
            <w:pPr>
              <w:pStyle w:val="BodyText"/>
              <w:rPr>
                <w:sz w:val="20"/>
                <w:szCs w:val="20"/>
              </w:rPr>
            </w:pPr>
            <w:r w:rsidRPr="00672714">
              <w:rPr>
                <w:sz w:val="20"/>
                <w:szCs w:val="20"/>
              </w:rPr>
              <w:t>0</w:t>
            </w:r>
          </w:p>
        </w:tc>
        <w:tc>
          <w:tcPr>
            <w:tcW w:w="537" w:type="pct"/>
          </w:tcPr>
          <w:p w14:paraId="62FDB503" w14:textId="77777777" w:rsidR="00247AD2" w:rsidRPr="00672714" w:rsidRDefault="00247AD2" w:rsidP="00672714">
            <w:pPr>
              <w:pStyle w:val="BodyText"/>
              <w:rPr>
                <w:sz w:val="20"/>
                <w:szCs w:val="20"/>
              </w:rPr>
            </w:pPr>
            <w:r w:rsidRPr="00672714">
              <w:rPr>
                <w:rStyle w:val="Bold"/>
                <w:sz w:val="20"/>
                <w:szCs w:val="20"/>
              </w:rPr>
              <w:t>177,311</w:t>
            </w:r>
          </w:p>
        </w:tc>
      </w:tr>
      <w:tr w:rsidR="00247AD2" w:rsidRPr="00672714" w14:paraId="02CD9CDD" w14:textId="77777777" w:rsidTr="006A0585">
        <w:trPr>
          <w:trHeight w:val="566"/>
        </w:trPr>
        <w:tc>
          <w:tcPr>
            <w:tcW w:w="496" w:type="pct"/>
          </w:tcPr>
          <w:p w14:paraId="00513963" w14:textId="77777777" w:rsidR="00247AD2" w:rsidRPr="00672714" w:rsidRDefault="00247AD2" w:rsidP="00672714">
            <w:pPr>
              <w:pStyle w:val="BodyText"/>
              <w:rPr>
                <w:sz w:val="20"/>
                <w:szCs w:val="20"/>
              </w:rPr>
            </w:pPr>
            <w:r w:rsidRPr="00672714">
              <w:rPr>
                <w:sz w:val="20"/>
                <w:szCs w:val="20"/>
              </w:rPr>
              <w:t>Lisa Keeling</w:t>
            </w:r>
          </w:p>
        </w:tc>
        <w:tc>
          <w:tcPr>
            <w:tcW w:w="719" w:type="pct"/>
          </w:tcPr>
          <w:p w14:paraId="47134C3A" w14:textId="77777777" w:rsidR="00247AD2" w:rsidRPr="00672714" w:rsidRDefault="00247AD2" w:rsidP="00672714">
            <w:pPr>
              <w:pStyle w:val="BodyText"/>
              <w:rPr>
                <w:sz w:val="20"/>
                <w:szCs w:val="20"/>
              </w:rPr>
            </w:pPr>
            <w:r w:rsidRPr="00672714">
              <w:rPr>
                <w:sz w:val="20"/>
                <w:szCs w:val="20"/>
              </w:rPr>
              <w:t>Acting Deputy CEO Service Delivery Excellence</w:t>
            </w:r>
          </w:p>
        </w:tc>
        <w:tc>
          <w:tcPr>
            <w:tcW w:w="471" w:type="pct"/>
          </w:tcPr>
          <w:p w14:paraId="4A602EEE" w14:textId="77777777" w:rsidR="00247AD2" w:rsidRPr="00672714" w:rsidRDefault="00247AD2" w:rsidP="00672714">
            <w:pPr>
              <w:pStyle w:val="BodyText"/>
              <w:rPr>
                <w:sz w:val="20"/>
                <w:szCs w:val="20"/>
              </w:rPr>
            </w:pPr>
            <w:r w:rsidRPr="00672714">
              <w:rPr>
                <w:sz w:val="20"/>
                <w:szCs w:val="20"/>
              </w:rPr>
              <w:t>85,414</w:t>
            </w:r>
          </w:p>
        </w:tc>
        <w:tc>
          <w:tcPr>
            <w:tcW w:w="347" w:type="pct"/>
          </w:tcPr>
          <w:p w14:paraId="66F52ADD" w14:textId="77777777" w:rsidR="00247AD2" w:rsidRPr="00672714" w:rsidRDefault="00247AD2" w:rsidP="00672714">
            <w:pPr>
              <w:pStyle w:val="BodyText"/>
              <w:rPr>
                <w:sz w:val="20"/>
                <w:szCs w:val="20"/>
              </w:rPr>
            </w:pPr>
            <w:r w:rsidRPr="00672714">
              <w:rPr>
                <w:sz w:val="20"/>
                <w:szCs w:val="20"/>
              </w:rPr>
              <w:t>0</w:t>
            </w:r>
          </w:p>
        </w:tc>
        <w:tc>
          <w:tcPr>
            <w:tcW w:w="520" w:type="pct"/>
          </w:tcPr>
          <w:p w14:paraId="667A4849" w14:textId="77777777" w:rsidR="00247AD2" w:rsidRPr="00672714" w:rsidRDefault="00247AD2" w:rsidP="00672714">
            <w:pPr>
              <w:pStyle w:val="BodyText"/>
              <w:rPr>
                <w:sz w:val="20"/>
                <w:szCs w:val="20"/>
              </w:rPr>
            </w:pPr>
            <w:r w:rsidRPr="00672714">
              <w:rPr>
                <w:sz w:val="20"/>
                <w:szCs w:val="20"/>
              </w:rPr>
              <w:t>368</w:t>
            </w:r>
          </w:p>
        </w:tc>
        <w:tc>
          <w:tcPr>
            <w:tcW w:w="620" w:type="pct"/>
          </w:tcPr>
          <w:p w14:paraId="7C33F6DA" w14:textId="77777777" w:rsidR="00247AD2" w:rsidRPr="00672714" w:rsidRDefault="00247AD2" w:rsidP="00672714">
            <w:pPr>
              <w:pStyle w:val="BodyText"/>
              <w:rPr>
                <w:sz w:val="20"/>
                <w:szCs w:val="20"/>
              </w:rPr>
            </w:pPr>
            <w:r w:rsidRPr="00672714">
              <w:rPr>
                <w:sz w:val="20"/>
                <w:szCs w:val="20"/>
              </w:rPr>
              <w:t>15,001</w:t>
            </w:r>
          </w:p>
        </w:tc>
        <w:tc>
          <w:tcPr>
            <w:tcW w:w="421" w:type="pct"/>
          </w:tcPr>
          <w:p w14:paraId="7091FD55" w14:textId="77777777" w:rsidR="00247AD2" w:rsidRPr="00672714" w:rsidRDefault="00247AD2" w:rsidP="00672714">
            <w:pPr>
              <w:pStyle w:val="BodyText"/>
              <w:rPr>
                <w:sz w:val="20"/>
                <w:szCs w:val="20"/>
              </w:rPr>
            </w:pPr>
            <w:r w:rsidRPr="00672714">
              <w:rPr>
                <w:sz w:val="20"/>
                <w:szCs w:val="20"/>
              </w:rPr>
              <w:t>2,175</w:t>
            </w:r>
          </w:p>
        </w:tc>
        <w:tc>
          <w:tcPr>
            <w:tcW w:w="397" w:type="pct"/>
          </w:tcPr>
          <w:p w14:paraId="2BB094B3" w14:textId="77777777" w:rsidR="00247AD2" w:rsidRPr="00672714" w:rsidRDefault="00247AD2" w:rsidP="00672714">
            <w:pPr>
              <w:pStyle w:val="BodyText"/>
              <w:rPr>
                <w:sz w:val="20"/>
                <w:szCs w:val="20"/>
              </w:rPr>
            </w:pPr>
            <w:r w:rsidRPr="00672714">
              <w:rPr>
                <w:sz w:val="20"/>
                <w:szCs w:val="20"/>
              </w:rPr>
              <w:t>0</w:t>
            </w:r>
          </w:p>
        </w:tc>
        <w:tc>
          <w:tcPr>
            <w:tcW w:w="471" w:type="pct"/>
          </w:tcPr>
          <w:p w14:paraId="30456361" w14:textId="77777777" w:rsidR="00247AD2" w:rsidRPr="00672714" w:rsidRDefault="00247AD2" w:rsidP="00672714">
            <w:pPr>
              <w:pStyle w:val="BodyText"/>
              <w:rPr>
                <w:sz w:val="20"/>
                <w:szCs w:val="20"/>
              </w:rPr>
            </w:pPr>
            <w:r w:rsidRPr="00672714">
              <w:rPr>
                <w:sz w:val="20"/>
                <w:szCs w:val="20"/>
              </w:rPr>
              <w:t>0</w:t>
            </w:r>
          </w:p>
        </w:tc>
        <w:tc>
          <w:tcPr>
            <w:tcW w:w="537" w:type="pct"/>
          </w:tcPr>
          <w:p w14:paraId="71025D99" w14:textId="77777777" w:rsidR="00247AD2" w:rsidRPr="00672714" w:rsidRDefault="00247AD2" w:rsidP="00672714">
            <w:pPr>
              <w:pStyle w:val="BodyText"/>
              <w:rPr>
                <w:sz w:val="20"/>
                <w:szCs w:val="20"/>
              </w:rPr>
            </w:pPr>
            <w:r w:rsidRPr="00672714">
              <w:rPr>
                <w:rStyle w:val="Bold"/>
                <w:sz w:val="20"/>
                <w:szCs w:val="20"/>
              </w:rPr>
              <w:t>102,958</w:t>
            </w:r>
          </w:p>
        </w:tc>
      </w:tr>
      <w:tr w:rsidR="00247AD2" w:rsidRPr="00672714" w14:paraId="59411E91" w14:textId="77777777" w:rsidTr="006A0585">
        <w:trPr>
          <w:trHeight w:val="566"/>
        </w:trPr>
        <w:tc>
          <w:tcPr>
            <w:tcW w:w="496" w:type="pct"/>
          </w:tcPr>
          <w:p w14:paraId="25077B84" w14:textId="77777777" w:rsidR="00247AD2" w:rsidRPr="00672714" w:rsidRDefault="00247AD2" w:rsidP="00672714">
            <w:pPr>
              <w:pStyle w:val="BodyText"/>
              <w:rPr>
                <w:sz w:val="20"/>
                <w:szCs w:val="20"/>
              </w:rPr>
            </w:pPr>
            <w:r w:rsidRPr="00672714">
              <w:rPr>
                <w:rStyle w:val="Bold"/>
                <w:sz w:val="20"/>
                <w:szCs w:val="20"/>
              </w:rPr>
              <w:t>Total</w:t>
            </w:r>
          </w:p>
        </w:tc>
        <w:tc>
          <w:tcPr>
            <w:tcW w:w="719" w:type="pct"/>
          </w:tcPr>
          <w:p w14:paraId="2B1A3765" w14:textId="77777777" w:rsidR="00247AD2" w:rsidRPr="00672714" w:rsidRDefault="00247AD2" w:rsidP="00672714">
            <w:pPr>
              <w:pStyle w:val="BodyText"/>
              <w:rPr>
                <w:sz w:val="20"/>
                <w:szCs w:val="20"/>
              </w:rPr>
            </w:pPr>
            <w:r w:rsidRPr="00672714">
              <w:rPr>
                <w:rStyle w:val="Bold"/>
                <w:sz w:val="20"/>
                <w:szCs w:val="20"/>
              </w:rPr>
              <w:t>10</w:t>
            </w:r>
          </w:p>
        </w:tc>
        <w:tc>
          <w:tcPr>
            <w:tcW w:w="471" w:type="pct"/>
          </w:tcPr>
          <w:p w14:paraId="27CBF044" w14:textId="77777777" w:rsidR="00247AD2" w:rsidRPr="00672714" w:rsidRDefault="00247AD2" w:rsidP="00672714">
            <w:pPr>
              <w:pStyle w:val="BodyText"/>
              <w:rPr>
                <w:sz w:val="20"/>
                <w:szCs w:val="20"/>
              </w:rPr>
            </w:pPr>
            <w:r w:rsidRPr="00672714">
              <w:rPr>
                <w:rStyle w:val="Bold"/>
                <w:sz w:val="20"/>
                <w:szCs w:val="20"/>
              </w:rPr>
              <w:t>4,184,171</w:t>
            </w:r>
          </w:p>
        </w:tc>
        <w:tc>
          <w:tcPr>
            <w:tcW w:w="347" w:type="pct"/>
          </w:tcPr>
          <w:p w14:paraId="55CD1A9F" w14:textId="77777777" w:rsidR="00247AD2" w:rsidRPr="00672714" w:rsidRDefault="00247AD2" w:rsidP="00672714">
            <w:pPr>
              <w:pStyle w:val="BodyText"/>
              <w:rPr>
                <w:sz w:val="20"/>
                <w:szCs w:val="20"/>
              </w:rPr>
            </w:pPr>
            <w:r w:rsidRPr="00672714">
              <w:rPr>
                <w:rStyle w:val="Bold"/>
                <w:sz w:val="20"/>
                <w:szCs w:val="20"/>
              </w:rPr>
              <w:t>0</w:t>
            </w:r>
          </w:p>
        </w:tc>
        <w:tc>
          <w:tcPr>
            <w:tcW w:w="520" w:type="pct"/>
          </w:tcPr>
          <w:p w14:paraId="38832F43" w14:textId="77777777" w:rsidR="00247AD2" w:rsidRPr="00672714" w:rsidRDefault="00247AD2" w:rsidP="00672714">
            <w:pPr>
              <w:pStyle w:val="BodyText"/>
              <w:rPr>
                <w:sz w:val="20"/>
                <w:szCs w:val="20"/>
              </w:rPr>
            </w:pPr>
            <w:r w:rsidRPr="00672714">
              <w:rPr>
                <w:rStyle w:val="Bold"/>
                <w:sz w:val="20"/>
                <w:szCs w:val="20"/>
              </w:rPr>
              <w:t>22,475</w:t>
            </w:r>
          </w:p>
        </w:tc>
        <w:tc>
          <w:tcPr>
            <w:tcW w:w="620" w:type="pct"/>
          </w:tcPr>
          <w:p w14:paraId="1BB8ED97" w14:textId="77777777" w:rsidR="00247AD2" w:rsidRPr="00672714" w:rsidRDefault="00247AD2" w:rsidP="00672714">
            <w:pPr>
              <w:pStyle w:val="BodyText"/>
              <w:rPr>
                <w:sz w:val="20"/>
                <w:szCs w:val="20"/>
              </w:rPr>
            </w:pPr>
            <w:r w:rsidRPr="00672714">
              <w:rPr>
                <w:rStyle w:val="Bold"/>
                <w:sz w:val="20"/>
                <w:szCs w:val="20"/>
              </w:rPr>
              <w:t>700,642</w:t>
            </w:r>
          </w:p>
        </w:tc>
        <w:tc>
          <w:tcPr>
            <w:tcW w:w="421" w:type="pct"/>
          </w:tcPr>
          <w:p w14:paraId="207F81F0" w14:textId="77777777" w:rsidR="00247AD2" w:rsidRPr="00672714" w:rsidRDefault="00247AD2" w:rsidP="00672714">
            <w:pPr>
              <w:pStyle w:val="BodyText"/>
              <w:rPr>
                <w:sz w:val="20"/>
                <w:szCs w:val="20"/>
              </w:rPr>
            </w:pPr>
            <w:r w:rsidRPr="00672714">
              <w:rPr>
                <w:rStyle w:val="Bold"/>
                <w:sz w:val="20"/>
                <w:szCs w:val="20"/>
              </w:rPr>
              <w:t>203,699</w:t>
            </w:r>
          </w:p>
        </w:tc>
        <w:tc>
          <w:tcPr>
            <w:tcW w:w="397" w:type="pct"/>
          </w:tcPr>
          <w:p w14:paraId="56A8A3FC" w14:textId="77777777" w:rsidR="00247AD2" w:rsidRPr="00672714" w:rsidRDefault="00247AD2" w:rsidP="00672714">
            <w:pPr>
              <w:pStyle w:val="BodyText"/>
              <w:rPr>
                <w:sz w:val="20"/>
                <w:szCs w:val="20"/>
              </w:rPr>
            </w:pPr>
            <w:r w:rsidRPr="00672714">
              <w:rPr>
                <w:rStyle w:val="Bold"/>
                <w:sz w:val="20"/>
                <w:szCs w:val="20"/>
              </w:rPr>
              <w:t>0</w:t>
            </w:r>
          </w:p>
        </w:tc>
        <w:tc>
          <w:tcPr>
            <w:tcW w:w="471" w:type="pct"/>
          </w:tcPr>
          <w:p w14:paraId="1EA7E58C" w14:textId="77777777" w:rsidR="00247AD2" w:rsidRPr="00672714" w:rsidRDefault="00247AD2" w:rsidP="00672714">
            <w:pPr>
              <w:pStyle w:val="BodyText"/>
              <w:rPr>
                <w:sz w:val="20"/>
                <w:szCs w:val="20"/>
              </w:rPr>
            </w:pPr>
            <w:r w:rsidRPr="00672714">
              <w:rPr>
                <w:rStyle w:val="Bold"/>
                <w:sz w:val="20"/>
                <w:szCs w:val="20"/>
              </w:rPr>
              <w:t>0</w:t>
            </w:r>
          </w:p>
        </w:tc>
        <w:tc>
          <w:tcPr>
            <w:tcW w:w="537" w:type="pct"/>
          </w:tcPr>
          <w:p w14:paraId="2A1DEE06" w14:textId="77777777" w:rsidR="00247AD2" w:rsidRPr="00672714" w:rsidRDefault="00247AD2" w:rsidP="00672714">
            <w:pPr>
              <w:pStyle w:val="BodyText"/>
              <w:rPr>
                <w:sz w:val="20"/>
                <w:szCs w:val="20"/>
              </w:rPr>
            </w:pPr>
            <w:r w:rsidRPr="00672714">
              <w:rPr>
                <w:rStyle w:val="Bold"/>
                <w:sz w:val="20"/>
                <w:szCs w:val="20"/>
              </w:rPr>
              <w:t>5,110,987</w:t>
            </w:r>
          </w:p>
        </w:tc>
      </w:tr>
    </w:tbl>
    <w:p w14:paraId="218D3006" w14:textId="73E18878" w:rsidR="00247AD2" w:rsidRDefault="00247AD2" w:rsidP="00247AD2">
      <w:pPr>
        <w:pStyle w:val="ProductCode"/>
      </w:pPr>
      <w:r>
        <w:t>(a) Includes base salary, annual leave benefit, bonuses, allowances and other benefits.</w:t>
      </w:r>
    </w:p>
    <w:p w14:paraId="4078223B" w14:textId="03C5BF50" w:rsidR="00247AD2" w:rsidRDefault="00247AD2" w:rsidP="00247AD2">
      <w:pPr>
        <w:pStyle w:val="ProductCode"/>
      </w:pPr>
      <w:r>
        <w:t>(b) Includes contributed superannuation depending on the scheme the employee is in. Where an employee is in a defined contribution scheme, such as Public Sector Superannuation accumulation plan (PSSap), this will be the superannuation amount on the individual’s pay slip. Where an employee is in a defined benefits scheme, such as Public Sector Superannuation Scheme (PSS) and Commonwealth Superannuation Scheme (CSS), this will include the Notional Employer Contribution Amount and Employer Productivity Superannuation Contribution.</w:t>
      </w:r>
    </w:p>
    <w:p w14:paraId="5BC61948" w14:textId="110C977E" w:rsidR="00247AD2" w:rsidRDefault="00247AD2" w:rsidP="00247AD2">
      <w:pPr>
        <w:pStyle w:val="ProductCode"/>
      </w:pPr>
      <w:r>
        <w:t>(c) Includes motor vehicle allowance and other benefits such as the provision of a car park.</w:t>
      </w:r>
    </w:p>
    <w:p w14:paraId="59C4D5EB" w14:textId="7C280323" w:rsidR="00247AD2" w:rsidRDefault="00247AD2" w:rsidP="00247AD2">
      <w:pPr>
        <w:pStyle w:val="ProductCode"/>
      </w:pPr>
      <w:r>
        <w:t>(d) Figures are reported on an accrual basis and reference employee expenses incurred by the agency over the financial year.</w:t>
      </w:r>
    </w:p>
    <w:p w14:paraId="6F4F6E63" w14:textId="1F624CD6" w:rsidR="00247AD2" w:rsidRPr="00247AD2" w:rsidRDefault="00247AD2" w:rsidP="00247AD2">
      <w:pPr>
        <w:pStyle w:val="BodyText"/>
        <w:rPr>
          <w:b/>
          <w:bCs/>
        </w:rPr>
      </w:pPr>
      <w:r w:rsidRPr="00247AD2">
        <w:rPr>
          <w:b/>
          <w:bCs/>
        </w:rPr>
        <w:t>Table 59: Information about remuneration for senior executives 2024–25</w:t>
      </w:r>
    </w:p>
    <w:tbl>
      <w:tblPr>
        <w:tblStyle w:val="TableGrid"/>
        <w:tblW w:w="5000" w:type="pct"/>
        <w:tblLook w:val="04A0" w:firstRow="1" w:lastRow="0" w:firstColumn="1" w:lastColumn="0" w:noHBand="0" w:noVBand="1"/>
        <w:tblCaption w:val="Information about remuneration for senior executives 2024–25"/>
      </w:tblPr>
      <w:tblGrid>
        <w:gridCol w:w="1346"/>
        <w:gridCol w:w="1001"/>
        <w:gridCol w:w="917"/>
        <w:gridCol w:w="907"/>
        <w:gridCol w:w="1246"/>
        <w:gridCol w:w="1453"/>
        <w:gridCol w:w="879"/>
        <w:gridCol w:w="879"/>
        <w:gridCol w:w="1178"/>
        <w:gridCol w:w="1290"/>
      </w:tblGrid>
      <w:tr w:rsidR="00247AD2" w:rsidRPr="00672714" w14:paraId="56B82100" w14:textId="77777777" w:rsidTr="00672714">
        <w:trPr>
          <w:trHeight w:val="566"/>
          <w:tblHeader/>
        </w:trPr>
        <w:tc>
          <w:tcPr>
            <w:tcW w:w="623" w:type="pct"/>
          </w:tcPr>
          <w:p w14:paraId="554AB9E2" w14:textId="77777777" w:rsidR="00247AD2" w:rsidRPr="00672714" w:rsidRDefault="00247AD2" w:rsidP="00672714">
            <w:pPr>
              <w:pStyle w:val="BodyText"/>
              <w:rPr>
                <w:rFonts w:cs="Arial"/>
                <w:b/>
                <w:bCs/>
                <w:sz w:val="20"/>
                <w:szCs w:val="20"/>
              </w:rPr>
            </w:pPr>
            <w:r w:rsidRPr="00672714">
              <w:rPr>
                <w:rFonts w:cs="Arial"/>
                <w:b/>
                <w:bCs/>
                <w:sz w:val="20"/>
                <w:szCs w:val="20"/>
              </w:rPr>
              <w:lastRenderedPageBreak/>
              <w:t>Remuneration band</w:t>
            </w:r>
          </w:p>
        </w:tc>
        <w:tc>
          <w:tcPr>
            <w:tcW w:w="424" w:type="pct"/>
          </w:tcPr>
          <w:p w14:paraId="2EC9FEED" w14:textId="77777777" w:rsidR="00247AD2" w:rsidRPr="00672714" w:rsidRDefault="00247AD2" w:rsidP="00672714">
            <w:pPr>
              <w:pStyle w:val="BodyText"/>
              <w:rPr>
                <w:rFonts w:cs="Arial"/>
                <w:b/>
                <w:bCs/>
                <w:sz w:val="20"/>
                <w:szCs w:val="20"/>
              </w:rPr>
            </w:pPr>
            <w:r w:rsidRPr="00672714">
              <w:rPr>
                <w:rFonts w:cs="Arial"/>
                <w:b/>
                <w:bCs/>
                <w:sz w:val="20"/>
                <w:szCs w:val="20"/>
              </w:rPr>
              <w:t>Number of Senior Executive Staff</w:t>
            </w:r>
          </w:p>
        </w:tc>
        <w:tc>
          <w:tcPr>
            <w:tcW w:w="1387" w:type="pct"/>
            <w:gridSpan w:val="3"/>
          </w:tcPr>
          <w:p w14:paraId="16458C30" w14:textId="77777777" w:rsidR="00247AD2" w:rsidRPr="00672714" w:rsidRDefault="00247AD2" w:rsidP="00672714">
            <w:pPr>
              <w:pStyle w:val="BodyText"/>
              <w:rPr>
                <w:rFonts w:cs="Arial"/>
                <w:b/>
                <w:bCs/>
                <w:sz w:val="20"/>
                <w:szCs w:val="20"/>
              </w:rPr>
            </w:pPr>
            <w:r w:rsidRPr="00672714">
              <w:rPr>
                <w:rFonts w:cs="Arial"/>
                <w:b/>
                <w:bCs/>
                <w:sz w:val="20"/>
                <w:szCs w:val="20"/>
              </w:rPr>
              <w:t>Short-term benefits</w:t>
            </w:r>
            <w:r w:rsidRPr="00672714">
              <w:rPr>
                <w:rFonts w:cs="Arial"/>
                <w:b/>
                <w:bCs/>
                <w:sz w:val="20"/>
                <w:szCs w:val="20"/>
                <w:vertAlign w:val="superscript"/>
              </w:rPr>
              <w:t>(a)</w:t>
            </w:r>
          </w:p>
        </w:tc>
        <w:tc>
          <w:tcPr>
            <w:tcW w:w="624" w:type="pct"/>
          </w:tcPr>
          <w:p w14:paraId="051FC8DC" w14:textId="77777777" w:rsidR="00247AD2" w:rsidRPr="00672714" w:rsidRDefault="00247AD2" w:rsidP="00672714">
            <w:pPr>
              <w:pStyle w:val="BodyText"/>
              <w:rPr>
                <w:rFonts w:cs="Arial"/>
                <w:b/>
                <w:bCs/>
                <w:sz w:val="20"/>
                <w:szCs w:val="20"/>
              </w:rPr>
            </w:pPr>
            <w:r w:rsidRPr="00672714">
              <w:rPr>
                <w:rFonts w:cs="Arial"/>
                <w:b/>
                <w:bCs/>
                <w:sz w:val="20"/>
                <w:szCs w:val="20"/>
              </w:rPr>
              <w:t>Post-employment benefits</w:t>
            </w:r>
            <w:r w:rsidRPr="00672714">
              <w:rPr>
                <w:rFonts w:cs="Arial"/>
                <w:b/>
                <w:bCs/>
                <w:sz w:val="20"/>
                <w:szCs w:val="20"/>
                <w:vertAlign w:val="superscript"/>
              </w:rPr>
              <w:t>(b)</w:t>
            </w:r>
          </w:p>
        </w:tc>
        <w:tc>
          <w:tcPr>
            <w:tcW w:w="868" w:type="pct"/>
            <w:gridSpan w:val="2"/>
          </w:tcPr>
          <w:p w14:paraId="2F6954F9" w14:textId="77777777" w:rsidR="00247AD2" w:rsidRPr="00672714" w:rsidRDefault="00247AD2" w:rsidP="00672714">
            <w:pPr>
              <w:pStyle w:val="BodyText"/>
              <w:rPr>
                <w:rFonts w:cs="Arial"/>
                <w:b/>
                <w:bCs/>
                <w:sz w:val="20"/>
                <w:szCs w:val="20"/>
              </w:rPr>
            </w:pPr>
            <w:r w:rsidRPr="00672714">
              <w:rPr>
                <w:rFonts w:cs="Arial"/>
                <w:b/>
                <w:bCs/>
                <w:sz w:val="20"/>
                <w:szCs w:val="20"/>
              </w:rPr>
              <w:t>Other long-term benefits</w:t>
            </w:r>
          </w:p>
        </w:tc>
        <w:tc>
          <w:tcPr>
            <w:tcW w:w="519" w:type="pct"/>
          </w:tcPr>
          <w:p w14:paraId="76ED9F02" w14:textId="77777777" w:rsidR="00247AD2" w:rsidRPr="00672714" w:rsidRDefault="00247AD2" w:rsidP="00672714">
            <w:pPr>
              <w:pStyle w:val="BodyText"/>
              <w:rPr>
                <w:rFonts w:cs="Arial"/>
                <w:b/>
                <w:bCs/>
                <w:sz w:val="20"/>
                <w:szCs w:val="20"/>
              </w:rPr>
            </w:pPr>
            <w:r w:rsidRPr="00672714">
              <w:rPr>
                <w:rFonts w:cs="Arial"/>
                <w:b/>
                <w:bCs/>
                <w:sz w:val="20"/>
                <w:szCs w:val="20"/>
              </w:rPr>
              <w:t xml:space="preserve">Termination benefits </w:t>
            </w:r>
          </w:p>
        </w:tc>
        <w:tc>
          <w:tcPr>
            <w:tcW w:w="556" w:type="pct"/>
          </w:tcPr>
          <w:p w14:paraId="14FA05AB" w14:textId="77777777" w:rsidR="00247AD2" w:rsidRPr="00672714" w:rsidRDefault="00247AD2" w:rsidP="00672714">
            <w:pPr>
              <w:pStyle w:val="BodyText"/>
              <w:rPr>
                <w:rFonts w:cs="Arial"/>
                <w:b/>
                <w:bCs/>
                <w:sz w:val="20"/>
                <w:szCs w:val="20"/>
              </w:rPr>
            </w:pPr>
            <w:r w:rsidRPr="00672714">
              <w:rPr>
                <w:rFonts w:cs="Arial"/>
                <w:b/>
                <w:bCs/>
                <w:sz w:val="20"/>
                <w:szCs w:val="20"/>
              </w:rPr>
              <w:t xml:space="preserve">Total remuneration </w:t>
            </w:r>
            <w:r w:rsidRPr="00672714">
              <w:rPr>
                <w:rFonts w:cs="Arial"/>
                <w:b/>
                <w:bCs/>
                <w:sz w:val="20"/>
                <w:szCs w:val="20"/>
                <w:vertAlign w:val="superscript"/>
              </w:rPr>
              <w:t>(d)</w:t>
            </w:r>
          </w:p>
        </w:tc>
      </w:tr>
      <w:tr w:rsidR="00247AD2" w:rsidRPr="00672714" w14:paraId="0D49810A" w14:textId="77777777" w:rsidTr="00672714">
        <w:trPr>
          <w:trHeight w:val="566"/>
          <w:tblHeader/>
        </w:trPr>
        <w:tc>
          <w:tcPr>
            <w:tcW w:w="623" w:type="pct"/>
          </w:tcPr>
          <w:p w14:paraId="70D6D975" w14:textId="77777777" w:rsidR="00247AD2" w:rsidRPr="00672714" w:rsidRDefault="00247AD2" w:rsidP="00672714">
            <w:pPr>
              <w:pStyle w:val="BodyText"/>
              <w:rPr>
                <w:rFonts w:cs="Arial"/>
                <w:sz w:val="20"/>
                <w:szCs w:val="20"/>
              </w:rPr>
            </w:pPr>
          </w:p>
        </w:tc>
        <w:tc>
          <w:tcPr>
            <w:tcW w:w="424" w:type="pct"/>
          </w:tcPr>
          <w:p w14:paraId="7D61633F" w14:textId="77777777" w:rsidR="00247AD2" w:rsidRPr="00672714" w:rsidRDefault="00247AD2" w:rsidP="00672714">
            <w:pPr>
              <w:pStyle w:val="BodyText"/>
              <w:rPr>
                <w:rFonts w:cs="Arial"/>
                <w:sz w:val="20"/>
                <w:szCs w:val="20"/>
              </w:rPr>
            </w:pPr>
          </w:p>
        </w:tc>
        <w:tc>
          <w:tcPr>
            <w:tcW w:w="450" w:type="pct"/>
          </w:tcPr>
          <w:p w14:paraId="1C2970EF" w14:textId="77777777" w:rsidR="00247AD2" w:rsidRPr="00672714" w:rsidRDefault="00247AD2" w:rsidP="00672714">
            <w:pPr>
              <w:pStyle w:val="BodyText"/>
              <w:rPr>
                <w:rStyle w:val="Bold"/>
                <w:rFonts w:cs="Arial"/>
                <w:sz w:val="20"/>
                <w:szCs w:val="20"/>
              </w:rPr>
            </w:pPr>
            <w:r w:rsidRPr="00672714">
              <w:rPr>
                <w:rStyle w:val="Bold"/>
                <w:rFonts w:cs="Arial"/>
                <w:sz w:val="20"/>
                <w:szCs w:val="20"/>
              </w:rPr>
              <w:t xml:space="preserve">Average base salary </w:t>
            </w:r>
          </w:p>
          <w:p w14:paraId="7CDE3CD7" w14:textId="77777777" w:rsidR="00247AD2" w:rsidRPr="00672714" w:rsidRDefault="00247AD2" w:rsidP="00672714">
            <w:pPr>
              <w:pStyle w:val="BodyText"/>
              <w:rPr>
                <w:rFonts w:cs="Arial"/>
                <w:sz w:val="20"/>
                <w:szCs w:val="20"/>
              </w:rPr>
            </w:pPr>
            <w:r w:rsidRPr="00672714">
              <w:rPr>
                <w:rStyle w:val="Bold"/>
                <w:rFonts w:cs="Arial"/>
                <w:sz w:val="20"/>
                <w:szCs w:val="20"/>
              </w:rPr>
              <w:t>$</w:t>
            </w:r>
          </w:p>
        </w:tc>
        <w:tc>
          <w:tcPr>
            <w:tcW w:w="400" w:type="pct"/>
          </w:tcPr>
          <w:p w14:paraId="74D0F0E6" w14:textId="77777777" w:rsidR="00247AD2" w:rsidRPr="00672714" w:rsidRDefault="00247AD2" w:rsidP="00672714">
            <w:pPr>
              <w:pStyle w:val="BodyText"/>
              <w:rPr>
                <w:rStyle w:val="Bold"/>
                <w:rFonts w:cs="Arial"/>
                <w:sz w:val="20"/>
                <w:szCs w:val="20"/>
              </w:rPr>
            </w:pPr>
            <w:r w:rsidRPr="00672714">
              <w:rPr>
                <w:rStyle w:val="Bold"/>
                <w:rFonts w:cs="Arial"/>
                <w:sz w:val="20"/>
                <w:szCs w:val="20"/>
              </w:rPr>
              <w:t>Average bonuses</w:t>
            </w:r>
          </w:p>
          <w:p w14:paraId="0EB69DDF" w14:textId="77777777" w:rsidR="00247AD2" w:rsidRPr="00672714" w:rsidRDefault="00247AD2" w:rsidP="00672714">
            <w:pPr>
              <w:pStyle w:val="BodyText"/>
              <w:rPr>
                <w:rFonts w:cs="Arial"/>
                <w:sz w:val="20"/>
                <w:szCs w:val="20"/>
              </w:rPr>
            </w:pPr>
            <w:r w:rsidRPr="00672714">
              <w:rPr>
                <w:rStyle w:val="Bold"/>
                <w:rFonts w:cs="Arial"/>
                <w:sz w:val="20"/>
                <w:szCs w:val="20"/>
              </w:rPr>
              <w:t>$</w:t>
            </w:r>
          </w:p>
        </w:tc>
        <w:tc>
          <w:tcPr>
            <w:tcW w:w="537" w:type="pct"/>
          </w:tcPr>
          <w:p w14:paraId="0ED3204C" w14:textId="77777777" w:rsidR="00247AD2" w:rsidRPr="00672714" w:rsidRDefault="00247AD2" w:rsidP="00672714">
            <w:pPr>
              <w:pStyle w:val="BodyText"/>
              <w:rPr>
                <w:rStyle w:val="Bold"/>
                <w:rFonts w:cs="Arial"/>
                <w:sz w:val="20"/>
                <w:szCs w:val="20"/>
              </w:rPr>
            </w:pPr>
            <w:r w:rsidRPr="00672714">
              <w:rPr>
                <w:rStyle w:val="Bold"/>
                <w:rFonts w:cs="Arial"/>
                <w:sz w:val="20"/>
                <w:szCs w:val="20"/>
              </w:rPr>
              <w:t>Average other benefits and allowances</w:t>
            </w:r>
            <w:r w:rsidRPr="00672714">
              <w:rPr>
                <w:rStyle w:val="Bold"/>
                <w:rFonts w:cs="Arial"/>
                <w:sz w:val="20"/>
                <w:szCs w:val="20"/>
                <w:vertAlign w:val="superscript"/>
              </w:rPr>
              <w:t>(c)</w:t>
            </w:r>
            <w:r w:rsidRPr="00672714">
              <w:rPr>
                <w:rStyle w:val="Bold"/>
                <w:rFonts w:cs="Arial"/>
                <w:sz w:val="20"/>
                <w:szCs w:val="20"/>
              </w:rPr>
              <w:t xml:space="preserve"> </w:t>
            </w:r>
          </w:p>
          <w:p w14:paraId="548AC47F" w14:textId="77777777" w:rsidR="00247AD2" w:rsidRPr="00672714" w:rsidRDefault="00247AD2" w:rsidP="00672714">
            <w:pPr>
              <w:pStyle w:val="BodyText"/>
              <w:rPr>
                <w:rFonts w:cs="Arial"/>
                <w:sz w:val="20"/>
                <w:szCs w:val="20"/>
              </w:rPr>
            </w:pPr>
            <w:r w:rsidRPr="00672714">
              <w:rPr>
                <w:rStyle w:val="Bold"/>
                <w:rFonts w:cs="Arial"/>
                <w:sz w:val="20"/>
                <w:szCs w:val="20"/>
              </w:rPr>
              <w:t>$</w:t>
            </w:r>
          </w:p>
        </w:tc>
        <w:tc>
          <w:tcPr>
            <w:tcW w:w="624" w:type="pct"/>
          </w:tcPr>
          <w:p w14:paraId="6AA12183" w14:textId="77777777" w:rsidR="00247AD2" w:rsidRPr="00672714" w:rsidRDefault="00247AD2" w:rsidP="00672714">
            <w:pPr>
              <w:pStyle w:val="BodyText"/>
              <w:rPr>
                <w:rStyle w:val="Bold"/>
                <w:rFonts w:cs="Arial"/>
                <w:spacing w:val="-2"/>
                <w:sz w:val="20"/>
                <w:szCs w:val="20"/>
              </w:rPr>
            </w:pPr>
            <w:r w:rsidRPr="00672714">
              <w:rPr>
                <w:rStyle w:val="Bold"/>
                <w:rFonts w:cs="Arial"/>
                <w:spacing w:val="-2"/>
                <w:sz w:val="20"/>
                <w:szCs w:val="20"/>
              </w:rPr>
              <w:t>Average superannuation contributions</w:t>
            </w:r>
          </w:p>
          <w:p w14:paraId="428F9593" w14:textId="77777777" w:rsidR="00247AD2" w:rsidRPr="00672714" w:rsidRDefault="00247AD2" w:rsidP="00672714">
            <w:pPr>
              <w:pStyle w:val="BodyText"/>
              <w:rPr>
                <w:rFonts w:cs="Arial"/>
                <w:sz w:val="20"/>
                <w:szCs w:val="20"/>
              </w:rPr>
            </w:pPr>
            <w:r w:rsidRPr="00672714">
              <w:rPr>
                <w:rStyle w:val="Bold"/>
                <w:rFonts w:cs="Arial"/>
                <w:spacing w:val="-2"/>
                <w:sz w:val="20"/>
                <w:szCs w:val="20"/>
              </w:rPr>
              <w:t>$</w:t>
            </w:r>
          </w:p>
        </w:tc>
        <w:tc>
          <w:tcPr>
            <w:tcW w:w="425" w:type="pct"/>
          </w:tcPr>
          <w:p w14:paraId="196A1354" w14:textId="77777777" w:rsidR="00247AD2" w:rsidRPr="00672714" w:rsidRDefault="00247AD2" w:rsidP="00672714">
            <w:pPr>
              <w:pStyle w:val="BodyText"/>
              <w:rPr>
                <w:rStyle w:val="Bold"/>
                <w:rFonts w:cs="Arial"/>
                <w:sz w:val="20"/>
                <w:szCs w:val="20"/>
              </w:rPr>
            </w:pPr>
            <w:r w:rsidRPr="00672714">
              <w:rPr>
                <w:rStyle w:val="Bold"/>
                <w:rFonts w:cs="Arial"/>
                <w:sz w:val="20"/>
                <w:szCs w:val="20"/>
              </w:rPr>
              <w:t xml:space="preserve">Average long service leave </w:t>
            </w:r>
          </w:p>
          <w:p w14:paraId="157438B6" w14:textId="77777777" w:rsidR="00247AD2" w:rsidRPr="00672714" w:rsidRDefault="00247AD2" w:rsidP="00672714">
            <w:pPr>
              <w:pStyle w:val="BodyText"/>
              <w:rPr>
                <w:rFonts w:cs="Arial"/>
                <w:sz w:val="20"/>
                <w:szCs w:val="20"/>
              </w:rPr>
            </w:pPr>
            <w:r w:rsidRPr="00672714">
              <w:rPr>
                <w:rStyle w:val="Bold"/>
                <w:rFonts w:cs="Arial"/>
                <w:sz w:val="20"/>
                <w:szCs w:val="20"/>
              </w:rPr>
              <w:t>$</w:t>
            </w:r>
          </w:p>
        </w:tc>
        <w:tc>
          <w:tcPr>
            <w:tcW w:w="443" w:type="pct"/>
          </w:tcPr>
          <w:p w14:paraId="26B064A0" w14:textId="77777777" w:rsidR="00247AD2" w:rsidRPr="00672714" w:rsidRDefault="00247AD2" w:rsidP="00672714">
            <w:pPr>
              <w:pStyle w:val="BodyText"/>
              <w:rPr>
                <w:rStyle w:val="Bold"/>
                <w:rFonts w:cs="Arial"/>
                <w:sz w:val="20"/>
                <w:szCs w:val="20"/>
              </w:rPr>
            </w:pPr>
            <w:r w:rsidRPr="00672714">
              <w:rPr>
                <w:rStyle w:val="Bold"/>
                <w:rFonts w:cs="Arial"/>
                <w:sz w:val="20"/>
                <w:szCs w:val="20"/>
              </w:rPr>
              <w:t xml:space="preserve">Average other long-term benefits </w:t>
            </w:r>
          </w:p>
          <w:p w14:paraId="5811250A" w14:textId="77777777" w:rsidR="00247AD2" w:rsidRPr="00672714" w:rsidRDefault="00247AD2" w:rsidP="00672714">
            <w:pPr>
              <w:pStyle w:val="BodyText"/>
              <w:rPr>
                <w:rFonts w:cs="Arial"/>
                <w:sz w:val="20"/>
                <w:szCs w:val="20"/>
              </w:rPr>
            </w:pPr>
            <w:r w:rsidRPr="00672714">
              <w:rPr>
                <w:rStyle w:val="Bold"/>
                <w:rFonts w:cs="Arial"/>
                <w:sz w:val="20"/>
                <w:szCs w:val="20"/>
              </w:rPr>
              <w:t>$</w:t>
            </w:r>
          </w:p>
        </w:tc>
        <w:tc>
          <w:tcPr>
            <w:tcW w:w="519" w:type="pct"/>
          </w:tcPr>
          <w:p w14:paraId="24C6E573" w14:textId="77777777" w:rsidR="00247AD2" w:rsidRPr="00672714" w:rsidRDefault="00247AD2" w:rsidP="00672714">
            <w:pPr>
              <w:pStyle w:val="BodyText"/>
              <w:rPr>
                <w:rStyle w:val="Bold"/>
                <w:rFonts w:cs="Arial"/>
                <w:sz w:val="20"/>
                <w:szCs w:val="20"/>
              </w:rPr>
            </w:pPr>
            <w:r w:rsidRPr="00672714">
              <w:rPr>
                <w:rStyle w:val="Bold"/>
                <w:rFonts w:cs="Arial"/>
                <w:sz w:val="20"/>
                <w:szCs w:val="20"/>
              </w:rPr>
              <w:t>Average termination benefits</w:t>
            </w:r>
          </w:p>
          <w:p w14:paraId="7D5D2711" w14:textId="77777777" w:rsidR="00247AD2" w:rsidRPr="00672714" w:rsidRDefault="00247AD2" w:rsidP="00672714">
            <w:pPr>
              <w:pStyle w:val="BodyText"/>
              <w:rPr>
                <w:rFonts w:cs="Arial"/>
                <w:sz w:val="20"/>
                <w:szCs w:val="20"/>
              </w:rPr>
            </w:pPr>
            <w:r w:rsidRPr="00672714">
              <w:rPr>
                <w:rStyle w:val="Bold"/>
                <w:rFonts w:cs="Arial"/>
                <w:sz w:val="20"/>
                <w:szCs w:val="20"/>
              </w:rPr>
              <w:t>$</w:t>
            </w:r>
          </w:p>
        </w:tc>
        <w:tc>
          <w:tcPr>
            <w:tcW w:w="556" w:type="pct"/>
          </w:tcPr>
          <w:p w14:paraId="79B0C383" w14:textId="77777777" w:rsidR="00247AD2" w:rsidRPr="00672714" w:rsidRDefault="00247AD2" w:rsidP="00672714">
            <w:pPr>
              <w:pStyle w:val="BodyText"/>
              <w:rPr>
                <w:rFonts w:cs="Arial"/>
                <w:sz w:val="20"/>
                <w:szCs w:val="20"/>
              </w:rPr>
            </w:pPr>
            <w:r w:rsidRPr="00672714">
              <w:rPr>
                <w:rStyle w:val="Bold"/>
                <w:rFonts w:cs="Arial"/>
                <w:sz w:val="20"/>
                <w:szCs w:val="20"/>
              </w:rPr>
              <w:t>Average total remuneration $</w:t>
            </w:r>
          </w:p>
        </w:tc>
      </w:tr>
      <w:tr w:rsidR="00247AD2" w:rsidRPr="00672714" w14:paraId="439C2395" w14:textId="77777777" w:rsidTr="006A0585">
        <w:trPr>
          <w:trHeight w:val="566"/>
        </w:trPr>
        <w:tc>
          <w:tcPr>
            <w:tcW w:w="623" w:type="pct"/>
          </w:tcPr>
          <w:p w14:paraId="57E80744" w14:textId="77777777" w:rsidR="00247AD2" w:rsidRPr="00672714" w:rsidRDefault="00247AD2" w:rsidP="00672714">
            <w:pPr>
              <w:pStyle w:val="BodyText"/>
              <w:rPr>
                <w:rFonts w:cs="Arial"/>
                <w:sz w:val="20"/>
                <w:szCs w:val="20"/>
              </w:rPr>
            </w:pPr>
            <w:r w:rsidRPr="00672714">
              <w:rPr>
                <w:rFonts w:cs="Arial"/>
                <w:sz w:val="20"/>
                <w:szCs w:val="20"/>
              </w:rPr>
              <w:t xml:space="preserve">$0 – $220,000 </w:t>
            </w:r>
          </w:p>
        </w:tc>
        <w:tc>
          <w:tcPr>
            <w:tcW w:w="424" w:type="pct"/>
          </w:tcPr>
          <w:p w14:paraId="7B6BA31A" w14:textId="77777777" w:rsidR="00247AD2" w:rsidRPr="00672714" w:rsidRDefault="00247AD2" w:rsidP="00672714">
            <w:pPr>
              <w:pStyle w:val="BodyText"/>
              <w:rPr>
                <w:rFonts w:cs="Arial"/>
                <w:sz w:val="20"/>
                <w:szCs w:val="20"/>
              </w:rPr>
            </w:pPr>
            <w:r w:rsidRPr="00672714">
              <w:rPr>
                <w:rFonts w:cs="Arial"/>
                <w:sz w:val="20"/>
                <w:szCs w:val="20"/>
              </w:rPr>
              <w:t>30</w:t>
            </w:r>
          </w:p>
        </w:tc>
        <w:tc>
          <w:tcPr>
            <w:tcW w:w="450" w:type="pct"/>
          </w:tcPr>
          <w:p w14:paraId="6B5D0FC2" w14:textId="77777777" w:rsidR="00247AD2" w:rsidRPr="00672714" w:rsidRDefault="00247AD2" w:rsidP="00672714">
            <w:pPr>
              <w:pStyle w:val="BodyText"/>
              <w:rPr>
                <w:rFonts w:cs="Arial"/>
                <w:sz w:val="20"/>
                <w:szCs w:val="20"/>
              </w:rPr>
            </w:pPr>
            <w:r w:rsidRPr="00672714">
              <w:rPr>
                <w:rFonts w:cs="Arial"/>
                <w:sz w:val="20"/>
                <w:szCs w:val="20"/>
              </w:rPr>
              <w:t>73,000</w:t>
            </w:r>
          </w:p>
        </w:tc>
        <w:tc>
          <w:tcPr>
            <w:tcW w:w="400" w:type="pct"/>
          </w:tcPr>
          <w:p w14:paraId="6C32744B" w14:textId="77777777" w:rsidR="00247AD2" w:rsidRPr="00672714" w:rsidRDefault="00247AD2" w:rsidP="00672714">
            <w:pPr>
              <w:pStyle w:val="BodyText"/>
              <w:rPr>
                <w:rFonts w:cs="Arial"/>
                <w:sz w:val="20"/>
                <w:szCs w:val="20"/>
              </w:rPr>
            </w:pPr>
            <w:r w:rsidRPr="00672714">
              <w:rPr>
                <w:rFonts w:cs="Arial"/>
                <w:sz w:val="20"/>
                <w:szCs w:val="20"/>
              </w:rPr>
              <w:t>0</w:t>
            </w:r>
          </w:p>
        </w:tc>
        <w:tc>
          <w:tcPr>
            <w:tcW w:w="537" w:type="pct"/>
          </w:tcPr>
          <w:p w14:paraId="66A453F6" w14:textId="77777777" w:rsidR="00247AD2" w:rsidRPr="00672714" w:rsidRDefault="00247AD2" w:rsidP="00672714">
            <w:pPr>
              <w:pStyle w:val="BodyText"/>
              <w:rPr>
                <w:rFonts w:cs="Arial"/>
                <w:sz w:val="20"/>
                <w:szCs w:val="20"/>
              </w:rPr>
            </w:pPr>
            <w:r w:rsidRPr="00672714">
              <w:rPr>
                <w:rFonts w:cs="Arial"/>
                <w:sz w:val="20"/>
                <w:szCs w:val="20"/>
              </w:rPr>
              <w:t>1,246</w:t>
            </w:r>
          </w:p>
        </w:tc>
        <w:tc>
          <w:tcPr>
            <w:tcW w:w="624" w:type="pct"/>
          </w:tcPr>
          <w:p w14:paraId="4935E1CD" w14:textId="77777777" w:rsidR="00247AD2" w:rsidRPr="00672714" w:rsidRDefault="00247AD2" w:rsidP="00672714">
            <w:pPr>
              <w:pStyle w:val="BodyText"/>
              <w:rPr>
                <w:rFonts w:cs="Arial"/>
                <w:sz w:val="20"/>
                <w:szCs w:val="20"/>
              </w:rPr>
            </w:pPr>
            <w:r w:rsidRPr="00672714">
              <w:rPr>
                <w:rFonts w:cs="Arial"/>
                <w:sz w:val="20"/>
                <w:szCs w:val="20"/>
              </w:rPr>
              <w:t>15,493</w:t>
            </w:r>
          </w:p>
        </w:tc>
        <w:tc>
          <w:tcPr>
            <w:tcW w:w="425" w:type="pct"/>
          </w:tcPr>
          <w:p w14:paraId="332462B8" w14:textId="77777777" w:rsidR="00247AD2" w:rsidRPr="00672714" w:rsidRDefault="00247AD2" w:rsidP="00672714">
            <w:pPr>
              <w:pStyle w:val="BodyText"/>
              <w:rPr>
                <w:rFonts w:cs="Arial"/>
                <w:sz w:val="20"/>
                <w:szCs w:val="20"/>
              </w:rPr>
            </w:pPr>
            <w:r w:rsidRPr="00672714">
              <w:rPr>
                <w:rFonts w:cs="Arial"/>
                <w:sz w:val="20"/>
                <w:szCs w:val="20"/>
              </w:rPr>
              <w:t>6,578</w:t>
            </w:r>
          </w:p>
        </w:tc>
        <w:tc>
          <w:tcPr>
            <w:tcW w:w="443" w:type="pct"/>
          </w:tcPr>
          <w:p w14:paraId="15EC003E" w14:textId="77777777" w:rsidR="00247AD2" w:rsidRPr="00672714" w:rsidRDefault="00247AD2" w:rsidP="00672714">
            <w:pPr>
              <w:pStyle w:val="BodyText"/>
              <w:rPr>
                <w:rFonts w:cs="Arial"/>
                <w:sz w:val="20"/>
                <w:szCs w:val="20"/>
              </w:rPr>
            </w:pPr>
            <w:r w:rsidRPr="00672714">
              <w:rPr>
                <w:rFonts w:cs="Arial"/>
                <w:sz w:val="20"/>
                <w:szCs w:val="20"/>
              </w:rPr>
              <w:t>0</w:t>
            </w:r>
          </w:p>
        </w:tc>
        <w:tc>
          <w:tcPr>
            <w:tcW w:w="519" w:type="pct"/>
          </w:tcPr>
          <w:p w14:paraId="19D2045F" w14:textId="77777777" w:rsidR="00247AD2" w:rsidRPr="00672714" w:rsidRDefault="00247AD2" w:rsidP="00672714">
            <w:pPr>
              <w:pStyle w:val="BodyText"/>
              <w:rPr>
                <w:rFonts w:cs="Arial"/>
                <w:sz w:val="20"/>
                <w:szCs w:val="20"/>
              </w:rPr>
            </w:pPr>
            <w:r w:rsidRPr="00672714">
              <w:rPr>
                <w:rFonts w:cs="Arial"/>
                <w:sz w:val="20"/>
                <w:szCs w:val="20"/>
              </w:rPr>
              <w:t>0</w:t>
            </w:r>
          </w:p>
        </w:tc>
        <w:tc>
          <w:tcPr>
            <w:tcW w:w="556" w:type="pct"/>
          </w:tcPr>
          <w:p w14:paraId="28FE6CAE" w14:textId="77777777" w:rsidR="00247AD2" w:rsidRPr="00672714" w:rsidRDefault="00247AD2" w:rsidP="00672714">
            <w:pPr>
              <w:pStyle w:val="BodyText"/>
              <w:rPr>
                <w:rFonts w:cs="Arial"/>
                <w:sz w:val="20"/>
                <w:szCs w:val="20"/>
              </w:rPr>
            </w:pPr>
            <w:r w:rsidRPr="00672714">
              <w:rPr>
                <w:rStyle w:val="Bold"/>
                <w:rFonts w:cs="Arial"/>
                <w:sz w:val="20"/>
                <w:szCs w:val="20"/>
              </w:rPr>
              <w:t>$96,317</w:t>
            </w:r>
          </w:p>
        </w:tc>
      </w:tr>
      <w:tr w:rsidR="00247AD2" w:rsidRPr="00672714" w14:paraId="57637911" w14:textId="77777777" w:rsidTr="006A0585">
        <w:trPr>
          <w:trHeight w:val="566"/>
        </w:trPr>
        <w:tc>
          <w:tcPr>
            <w:tcW w:w="623" w:type="pct"/>
          </w:tcPr>
          <w:p w14:paraId="580DD2D6" w14:textId="77777777" w:rsidR="00247AD2" w:rsidRPr="00672714" w:rsidRDefault="00247AD2" w:rsidP="00672714">
            <w:pPr>
              <w:pStyle w:val="BodyText"/>
              <w:rPr>
                <w:rFonts w:cs="Arial"/>
                <w:sz w:val="20"/>
                <w:szCs w:val="20"/>
              </w:rPr>
            </w:pPr>
            <w:r w:rsidRPr="00672714">
              <w:rPr>
                <w:rFonts w:cs="Arial"/>
                <w:sz w:val="20"/>
                <w:szCs w:val="20"/>
              </w:rPr>
              <w:t xml:space="preserve">$220,001 – $245,000 </w:t>
            </w:r>
          </w:p>
        </w:tc>
        <w:tc>
          <w:tcPr>
            <w:tcW w:w="424" w:type="pct"/>
          </w:tcPr>
          <w:p w14:paraId="255E2F10" w14:textId="77777777" w:rsidR="00247AD2" w:rsidRPr="00672714" w:rsidRDefault="00247AD2" w:rsidP="00672714">
            <w:pPr>
              <w:pStyle w:val="BodyText"/>
              <w:rPr>
                <w:rFonts w:cs="Arial"/>
                <w:sz w:val="20"/>
                <w:szCs w:val="20"/>
              </w:rPr>
            </w:pPr>
            <w:r w:rsidRPr="00672714">
              <w:rPr>
                <w:rFonts w:cs="Arial"/>
                <w:sz w:val="20"/>
                <w:szCs w:val="20"/>
              </w:rPr>
              <w:t>3</w:t>
            </w:r>
          </w:p>
        </w:tc>
        <w:tc>
          <w:tcPr>
            <w:tcW w:w="450" w:type="pct"/>
          </w:tcPr>
          <w:p w14:paraId="2940520E" w14:textId="77777777" w:rsidR="00247AD2" w:rsidRPr="00672714" w:rsidRDefault="00247AD2" w:rsidP="00672714">
            <w:pPr>
              <w:pStyle w:val="BodyText"/>
              <w:rPr>
                <w:rFonts w:cs="Arial"/>
                <w:sz w:val="20"/>
                <w:szCs w:val="20"/>
              </w:rPr>
            </w:pPr>
            <w:r w:rsidRPr="00672714">
              <w:rPr>
                <w:rFonts w:cs="Arial"/>
                <w:sz w:val="20"/>
                <w:szCs w:val="20"/>
              </w:rPr>
              <w:t>191,132</w:t>
            </w:r>
          </w:p>
        </w:tc>
        <w:tc>
          <w:tcPr>
            <w:tcW w:w="400" w:type="pct"/>
          </w:tcPr>
          <w:p w14:paraId="2398A360" w14:textId="77777777" w:rsidR="00247AD2" w:rsidRPr="00672714" w:rsidRDefault="00247AD2" w:rsidP="00672714">
            <w:pPr>
              <w:pStyle w:val="BodyText"/>
              <w:rPr>
                <w:rFonts w:cs="Arial"/>
                <w:sz w:val="20"/>
                <w:szCs w:val="20"/>
              </w:rPr>
            </w:pPr>
            <w:r w:rsidRPr="00672714">
              <w:rPr>
                <w:rFonts w:cs="Arial"/>
                <w:sz w:val="20"/>
                <w:szCs w:val="20"/>
              </w:rPr>
              <w:t>0</w:t>
            </w:r>
          </w:p>
        </w:tc>
        <w:tc>
          <w:tcPr>
            <w:tcW w:w="537" w:type="pct"/>
          </w:tcPr>
          <w:p w14:paraId="31C06DDF" w14:textId="77777777" w:rsidR="00247AD2" w:rsidRPr="00672714" w:rsidRDefault="00247AD2" w:rsidP="00672714">
            <w:pPr>
              <w:pStyle w:val="BodyText"/>
              <w:rPr>
                <w:rFonts w:cs="Arial"/>
                <w:sz w:val="20"/>
                <w:szCs w:val="20"/>
              </w:rPr>
            </w:pPr>
            <w:r w:rsidRPr="00672714">
              <w:rPr>
                <w:rFonts w:cs="Arial"/>
                <w:sz w:val="20"/>
                <w:szCs w:val="20"/>
              </w:rPr>
              <w:t>1,507</w:t>
            </w:r>
          </w:p>
        </w:tc>
        <w:tc>
          <w:tcPr>
            <w:tcW w:w="624" w:type="pct"/>
          </w:tcPr>
          <w:p w14:paraId="3E43CF3D" w14:textId="77777777" w:rsidR="00247AD2" w:rsidRPr="00672714" w:rsidRDefault="00247AD2" w:rsidP="00672714">
            <w:pPr>
              <w:pStyle w:val="BodyText"/>
              <w:rPr>
                <w:rFonts w:cs="Arial"/>
                <w:sz w:val="20"/>
                <w:szCs w:val="20"/>
              </w:rPr>
            </w:pPr>
            <w:r w:rsidRPr="00672714">
              <w:rPr>
                <w:rFonts w:cs="Arial"/>
                <w:sz w:val="20"/>
                <w:szCs w:val="20"/>
              </w:rPr>
              <w:t>27,431</w:t>
            </w:r>
          </w:p>
        </w:tc>
        <w:tc>
          <w:tcPr>
            <w:tcW w:w="425" w:type="pct"/>
          </w:tcPr>
          <w:p w14:paraId="4A723F16" w14:textId="77777777" w:rsidR="00247AD2" w:rsidRPr="00672714" w:rsidRDefault="00247AD2" w:rsidP="00672714">
            <w:pPr>
              <w:pStyle w:val="BodyText"/>
              <w:rPr>
                <w:rFonts w:cs="Arial"/>
                <w:sz w:val="20"/>
                <w:szCs w:val="20"/>
              </w:rPr>
            </w:pPr>
            <w:r w:rsidRPr="00672714">
              <w:rPr>
                <w:rFonts w:cs="Arial"/>
                <w:sz w:val="20"/>
                <w:szCs w:val="20"/>
              </w:rPr>
              <w:t>20,544</w:t>
            </w:r>
          </w:p>
        </w:tc>
        <w:tc>
          <w:tcPr>
            <w:tcW w:w="443" w:type="pct"/>
          </w:tcPr>
          <w:p w14:paraId="1BEB065C" w14:textId="77777777" w:rsidR="00247AD2" w:rsidRPr="00672714" w:rsidRDefault="00247AD2" w:rsidP="00672714">
            <w:pPr>
              <w:pStyle w:val="BodyText"/>
              <w:rPr>
                <w:rFonts w:cs="Arial"/>
                <w:sz w:val="20"/>
                <w:szCs w:val="20"/>
              </w:rPr>
            </w:pPr>
            <w:r w:rsidRPr="00672714">
              <w:rPr>
                <w:rFonts w:cs="Arial"/>
                <w:sz w:val="20"/>
                <w:szCs w:val="20"/>
              </w:rPr>
              <w:t>0</w:t>
            </w:r>
          </w:p>
        </w:tc>
        <w:tc>
          <w:tcPr>
            <w:tcW w:w="519" w:type="pct"/>
          </w:tcPr>
          <w:p w14:paraId="225FC952" w14:textId="77777777" w:rsidR="00247AD2" w:rsidRPr="00672714" w:rsidRDefault="00247AD2" w:rsidP="00672714">
            <w:pPr>
              <w:pStyle w:val="BodyText"/>
              <w:rPr>
                <w:rFonts w:cs="Arial"/>
                <w:sz w:val="20"/>
                <w:szCs w:val="20"/>
              </w:rPr>
            </w:pPr>
            <w:r w:rsidRPr="00672714">
              <w:rPr>
                <w:rFonts w:cs="Arial"/>
                <w:sz w:val="20"/>
                <w:szCs w:val="20"/>
              </w:rPr>
              <w:t>0</w:t>
            </w:r>
          </w:p>
        </w:tc>
        <w:tc>
          <w:tcPr>
            <w:tcW w:w="556" w:type="pct"/>
          </w:tcPr>
          <w:p w14:paraId="4FBB16B8" w14:textId="77777777" w:rsidR="00247AD2" w:rsidRPr="00672714" w:rsidRDefault="00247AD2" w:rsidP="00672714">
            <w:pPr>
              <w:pStyle w:val="BodyText"/>
              <w:rPr>
                <w:rFonts w:cs="Arial"/>
                <w:sz w:val="20"/>
                <w:szCs w:val="20"/>
              </w:rPr>
            </w:pPr>
            <w:r w:rsidRPr="00672714">
              <w:rPr>
                <w:rStyle w:val="Bold"/>
                <w:rFonts w:cs="Arial"/>
                <w:sz w:val="20"/>
                <w:szCs w:val="20"/>
              </w:rPr>
              <w:t>$240,614</w:t>
            </w:r>
          </w:p>
        </w:tc>
      </w:tr>
      <w:tr w:rsidR="00247AD2" w:rsidRPr="00672714" w14:paraId="58F4488F" w14:textId="77777777" w:rsidTr="006A0585">
        <w:trPr>
          <w:trHeight w:val="566"/>
        </w:trPr>
        <w:tc>
          <w:tcPr>
            <w:tcW w:w="623" w:type="pct"/>
          </w:tcPr>
          <w:p w14:paraId="1E28746B" w14:textId="77777777" w:rsidR="00247AD2" w:rsidRPr="00672714" w:rsidRDefault="00247AD2" w:rsidP="00672714">
            <w:pPr>
              <w:pStyle w:val="BodyText"/>
              <w:rPr>
                <w:rFonts w:cs="Arial"/>
                <w:sz w:val="20"/>
                <w:szCs w:val="20"/>
              </w:rPr>
            </w:pPr>
            <w:r w:rsidRPr="00672714">
              <w:rPr>
                <w:rFonts w:cs="Arial"/>
                <w:sz w:val="20"/>
                <w:szCs w:val="20"/>
              </w:rPr>
              <w:t>$245,001 – $270,000</w:t>
            </w:r>
          </w:p>
        </w:tc>
        <w:tc>
          <w:tcPr>
            <w:tcW w:w="424" w:type="pct"/>
          </w:tcPr>
          <w:p w14:paraId="1106EE49" w14:textId="77777777" w:rsidR="00247AD2" w:rsidRPr="00672714" w:rsidRDefault="00247AD2" w:rsidP="00672714">
            <w:pPr>
              <w:pStyle w:val="BodyText"/>
              <w:rPr>
                <w:rFonts w:cs="Arial"/>
                <w:sz w:val="20"/>
                <w:szCs w:val="20"/>
              </w:rPr>
            </w:pPr>
            <w:r w:rsidRPr="00672714">
              <w:rPr>
                <w:rFonts w:cs="Arial"/>
                <w:sz w:val="20"/>
                <w:szCs w:val="20"/>
              </w:rPr>
              <w:t>12</w:t>
            </w:r>
          </w:p>
        </w:tc>
        <w:tc>
          <w:tcPr>
            <w:tcW w:w="450" w:type="pct"/>
          </w:tcPr>
          <w:p w14:paraId="51F02FF3" w14:textId="77777777" w:rsidR="00247AD2" w:rsidRPr="00672714" w:rsidRDefault="00247AD2" w:rsidP="00672714">
            <w:pPr>
              <w:pStyle w:val="BodyText"/>
              <w:rPr>
                <w:rFonts w:cs="Arial"/>
                <w:sz w:val="20"/>
                <w:szCs w:val="20"/>
              </w:rPr>
            </w:pPr>
            <w:r w:rsidRPr="00672714">
              <w:rPr>
                <w:rFonts w:cs="Arial"/>
                <w:sz w:val="20"/>
                <w:szCs w:val="20"/>
              </w:rPr>
              <w:t>213,111</w:t>
            </w:r>
          </w:p>
        </w:tc>
        <w:tc>
          <w:tcPr>
            <w:tcW w:w="400" w:type="pct"/>
          </w:tcPr>
          <w:p w14:paraId="066C576B" w14:textId="77777777" w:rsidR="00247AD2" w:rsidRPr="00672714" w:rsidRDefault="00247AD2" w:rsidP="00672714">
            <w:pPr>
              <w:pStyle w:val="BodyText"/>
              <w:rPr>
                <w:rFonts w:cs="Arial"/>
                <w:sz w:val="20"/>
                <w:szCs w:val="20"/>
              </w:rPr>
            </w:pPr>
            <w:r w:rsidRPr="00672714">
              <w:rPr>
                <w:rFonts w:cs="Arial"/>
                <w:sz w:val="20"/>
                <w:szCs w:val="20"/>
              </w:rPr>
              <w:t>0</w:t>
            </w:r>
          </w:p>
        </w:tc>
        <w:tc>
          <w:tcPr>
            <w:tcW w:w="537" w:type="pct"/>
          </w:tcPr>
          <w:p w14:paraId="05626B0F" w14:textId="77777777" w:rsidR="00247AD2" w:rsidRPr="00672714" w:rsidRDefault="00247AD2" w:rsidP="00672714">
            <w:pPr>
              <w:pStyle w:val="BodyText"/>
              <w:rPr>
                <w:rFonts w:cs="Arial"/>
                <w:sz w:val="20"/>
                <w:szCs w:val="20"/>
              </w:rPr>
            </w:pPr>
            <w:r w:rsidRPr="00672714">
              <w:rPr>
                <w:rFonts w:cs="Arial"/>
                <w:sz w:val="20"/>
                <w:szCs w:val="20"/>
              </w:rPr>
              <w:t>2,475</w:t>
            </w:r>
          </w:p>
        </w:tc>
        <w:tc>
          <w:tcPr>
            <w:tcW w:w="624" w:type="pct"/>
          </w:tcPr>
          <w:p w14:paraId="2BB1C0FE" w14:textId="77777777" w:rsidR="00247AD2" w:rsidRPr="00672714" w:rsidRDefault="00247AD2" w:rsidP="00672714">
            <w:pPr>
              <w:pStyle w:val="BodyText"/>
              <w:rPr>
                <w:rFonts w:cs="Arial"/>
                <w:sz w:val="20"/>
                <w:szCs w:val="20"/>
              </w:rPr>
            </w:pPr>
            <w:r w:rsidRPr="00672714">
              <w:rPr>
                <w:rFonts w:cs="Arial"/>
                <w:sz w:val="20"/>
                <w:szCs w:val="20"/>
              </w:rPr>
              <w:t>33,593</w:t>
            </w:r>
          </w:p>
        </w:tc>
        <w:tc>
          <w:tcPr>
            <w:tcW w:w="425" w:type="pct"/>
          </w:tcPr>
          <w:p w14:paraId="5D459FFF" w14:textId="77777777" w:rsidR="00247AD2" w:rsidRPr="00672714" w:rsidRDefault="00247AD2" w:rsidP="00672714">
            <w:pPr>
              <w:pStyle w:val="BodyText"/>
              <w:rPr>
                <w:rFonts w:cs="Arial"/>
                <w:sz w:val="20"/>
                <w:szCs w:val="20"/>
              </w:rPr>
            </w:pPr>
            <w:r w:rsidRPr="00672714">
              <w:rPr>
                <w:rFonts w:cs="Arial"/>
                <w:sz w:val="20"/>
                <w:szCs w:val="20"/>
              </w:rPr>
              <w:t>13,188</w:t>
            </w:r>
          </w:p>
        </w:tc>
        <w:tc>
          <w:tcPr>
            <w:tcW w:w="443" w:type="pct"/>
          </w:tcPr>
          <w:p w14:paraId="5317DDAA" w14:textId="77777777" w:rsidR="00247AD2" w:rsidRPr="00672714" w:rsidRDefault="00247AD2" w:rsidP="00672714">
            <w:pPr>
              <w:pStyle w:val="BodyText"/>
              <w:rPr>
                <w:rFonts w:cs="Arial"/>
                <w:sz w:val="20"/>
                <w:szCs w:val="20"/>
              </w:rPr>
            </w:pPr>
            <w:r w:rsidRPr="00672714">
              <w:rPr>
                <w:rFonts w:cs="Arial"/>
                <w:sz w:val="20"/>
                <w:szCs w:val="20"/>
              </w:rPr>
              <w:t>0</w:t>
            </w:r>
          </w:p>
        </w:tc>
        <w:tc>
          <w:tcPr>
            <w:tcW w:w="519" w:type="pct"/>
          </w:tcPr>
          <w:p w14:paraId="559FAF67" w14:textId="77777777" w:rsidR="00247AD2" w:rsidRPr="00672714" w:rsidRDefault="00247AD2" w:rsidP="00672714">
            <w:pPr>
              <w:pStyle w:val="BodyText"/>
              <w:rPr>
                <w:rFonts w:cs="Arial"/>
                <w:sz w:val="20"/>
                <w:szCs w:val="20"/>
              </w:rPr>
            </w:pPr>
            <w:r w:rsidRPr="00672714">
              <w:rPr>
                <w:rFonts w:cs="Arial"/>
                <w:sz w:val="20"/>
                <w:szCs w:val="20"/>
              </w:rPr>
              <w:t>0</w:t>
            </w:r>
          </w:p>
        </w:tc>
        <w:tc>
          <w:tcPr>
            <w:tcW w:w="556" w:type="pct"/>
          </w:tcPr>
          <w:p w14:paraId="6A18EACA" w14:textId="77777777" w:rsidR="00247AD2" w:rsidRPr="00672714" w:rsidRDefault="00247AD2" w:rsidP="00672714">
            <w:pPr>
              <w:pStyle w:val="BodyText"/>
              <w:rPr>
                <w:rFonts w:cs="Arial"/>
                <w:sz w:val="20"/>
                <w:szCs w:val="20"/>
              </w:rPr>
            </w:pPr>
            <w:r w:rsidRPr="00672714">
              <w:rPr>
                <w:rStyle w:val="Bold"/>
                <w:rFonts w:cs="Arial"/>
                <w:sz w:val="20"/>
                <w:szCs w:val="20"/>
              </w:rPr>
              <w:t>$262,367</w:t>
            </w:r>
          </w:p>
        </w:tc>
      </w:tr>
      <w:tr w:rsidR="00247AD2" w:rsidRPr="00672714" w14:paraId="443BFC27" w14:textId="77777777" w:rsidTr="006A0585">
        <w:trPr>
          <w:trHeight w:val="566"/>
        </w:trPr>
        <w:tc>
          <w:tcPr>
            <w:tcW w:w="623" w:type="pct"/>
          </w:tcPr>
          <w:p w14:paraId="2E90757C" w14:textId="77777777" w:rsidR="00247AD2" w:rsidRPr="00672714" w:rsidRDefault="00247AD2" w:rsidP="00672714">
            <w:pPr>
              <w:pStyle w:val="BodyText"/>
              <w:rPr>
                <w:rFonts w:cs="Arial"/>
                <w:sz w:val="20"/>
                <w:szCs w:val="20"/>
              </w:rPr>
            </w:pPr>
            <w:r w:rsidRPr="00672714">
              <w:rPr>
                <w:rFonts w:cs="Arial"/>
                <w:sz w:val="20"/>
                <w:szCs w:val="20"/>
              </w:rPr>
              <w:t>$270,001 – $295,000</w:t>
            </w:r>
          </w:p>
        </w:tc>
        <w:tc>
          <w:tcPr>
            <w:tcW w:w="424" w:type="pct"/>
          </w:tcPr>
          <w:p w14:paraId="76F7E039" w14:textId="77777777" w:rsidR="00247AD2" w:rsidRPr="00672714" w:rsidRDefault="00247AD2" w:rsidP="00672714">
            <w:pPr>
              <w:pStyle w:val="BodyText"/>
              <w:rPr>
                <w:rFonts w:cs="Arial"/>
                <w:sz w:val="20"/>
                <w:szCs w:val="20"/>
              </w:rPr>
            </w:pPr>
            <w:r w:rsidRPr="00672714">
              <w:rPr>
                <w:rFonts w:cs="Arial"/>
                <w:sz w:val="20"/>
                <w:szCs w:val="20"/>
              </w:rPr>
              <w:t>29</w:t>
            </w:r>
          </w:p>
        </w:tc>
        <w:tc>
          <w:tcPr>
            <w:tcW w:w="450" w:type="pct"/>
          </w:tcPr>
          <w:p w14:paraId="1E61E42B" w14:textId="77777777" w:rsidR="00247AD2" w:rsidRPr="00672714" w:rsidRDefault="00247AD2" w:rsidP="00672714">
            <w:pPr>
              <w:pStyle w:val="BodyText"/>
              <w:rPr>
                <w:rFonts w:cs="Arial"/>
                <w:sz w:val="20"/>
                <w:szCs w:val="20"/>
              </w:rPr>
            </w:pPr>
            <w:r w:rsidRPr="00672714">
              <w:rPr>
                <w:rFonts w:cs="Arial"/>
                <w:sz w:val="20"/>
                <w:szCs w:val="20"/>
              </w:rPr>
              <w:t>231,178</w:t>
            </w:r>
          </w:p>
        </w:tc>
        <w:tc>
          <w:tcPr>
            <w:tcW w:w="400" w:type="pct"/>
          </w:tcPr>
          <w:p w14:paraId="2C7B0A08" w14:textId="77777777" w:rsidR="00247AD2" w:rsidRPr="00672714" w:rsidRDefault="00247AD2" w:rsidP="00672714">
            <w:pPr>
              <w:pStyle w:val="BodyText"/>
              <w:rPr>
                <w:rFonts w:cs="Arial"/>
                <w:sz w:val="20"/>
                <w:szCs w:val="20"/>
              </w:rPr>
            </w:pPr>
            <w:r w:rsidRPr="00672714">
              <w:rPr>
                <w:rFonts w:cs="Arial"/>
                <w:sz w:val="20"/>
                <w:szCs w:val="20"/>
              </w:rPr>
              <w:t>0</w:t>
            </w:r>
          </w:p>
        </w:tc>
        <w:tc>
          <w:tcPr>
            <w:tcW w:w="537" w:type="pct"/>
          </w:tcPr>
          <w:p w14:paraId="073CA888" w14:textId="77777777" w:rsidR="00247AD2" w:rsidRPr="00672714" w:rsidRDefault="00247AD2" w:rsidP="00672714">
            <w:pPr>
              <w:pStyle w:val="BodyText"/>
              <w:rPr>
                <w:rFonts w:cs="Arial"/>
                <w:sz w:val="20"/>
                <w:szCs w:val="20"/>
              </w:rPr>
            </w:pPr>
            <w:r w:rsidRPr="00672714">
              <w:rPr>
                <w:rFonts w:cs="Arial"/>
                <w:sz w:val="20"/>
                <w:szCs w:val="20"/>
              </w:rPr>
              <w:t>1,730</w:t>
            </w:r>
          </w:p>
        </w:tc>
        <w:tc>
          <w:tcPr>
            <w:tcW w:w="624" w:type="pct"/>
          </w:tcPr>
          <w:p w14:paraId="3D1A11CB" w14:textId="77777777" w:rsidR="00247AD2" w:rsidRPr="00672714" w:rsidRDefault="00247AD2" w:rsidP="00672714">
            <w:pPr>
              <w:pStyle w:val="BodyText"/>
              <w:rPr>
                <w:rFonts w:cs="Arial"/>
                <w:sz w:val="20"/>
                <w:szCs w:val="20"/>
              </w:rPr>
            </w:pPr>
            <w:r w:rsidRPr="00672714">
              <w:rPr>
                <w:rFonts w:cs="Arial"/>
                <w:sz w:val="20"/>
                <w:szCs w:val="20"/>
              </w:rPr>
              <w:t>38,844</w:t>
            </w:r>
          </w:p>
        </w:tc>
        <w:tc>
          <w:tcPr>
            <w:tcW w:w="425" w:type="pct"/>
          </w:tcPr>
          <w:p w14:paraId="2C296EEA" w14:textId="77777777" w:rsidR="00247AD2" w:rsidRPr="00672714" w:rsidRDefault="00247AD2" w:rsidP="00672714">
            <w:pPr>
              <w:pStyle w:val="BodyText"/>
              <w:rPr>
                <w:rFonts w:cs="Arial"/>
                <w:sz w:val="20"/>
                <w:szCs w:val="20"/>
              </w:rPr>
            </w:pPr>
            <w:r w:rsidRPr="00672714">
              <w:rPr>
                <w:rFonts w:cs="Arial"/>
                <w:sz w:val="20"/>
                <w:szCs w:val="20"/>
              </w:rPr>
              <w:t>13,693</w:t>
            </w:r>
          </w:p>
        </w:tc>
        <w:tc>
          <w:tcPr>
            <w:tcW w:w="443" w:type="pct"/>
          </w:tcPr>
          <w:p w14:paraId="4C90DC80" w14:textId="77777777" w:rsidR="00247AD2" w:rsidRPr="00672714" w:rsidRDefault="00247AD2" w:rsidP="00672714">
            <w:pPr>
              <w:pStyle w:val="BodyText"/>
              <w:rPr>
                <w:rFonts w:cs="Arial"/>
                <w:sz w:val="20"/>
                <w:szCs w:val="20"/>
              </w:rPr>
            </w:pPr>
            <w:r w:rsidRPr="00672714">
              <w:rPr>
                <w:rFonts w:cs="Arial"/>
                <w:sz w:val="20"/>
                <w:szCs w:val="20"/>
              </w:rPr>
              <w:t>0</w:t>
            </w:r>
          </w:p>
        </w:tc>
        <w:tc>
          <w:tcPr>
            <w:tcW w:w="519" w:type="pct"/>
          </w:tcPr>
          <w:p w14:paraId="6C67FE01" w14:textId="77777777" w:rsidR="00247AD2" w:rsidRPr="00672714" w:rsidRDefault="00247AD2" w:rsidP="00672714">
            <w:pPr>
              <w:pStyle w:val="BodyText"/>
              <w:rPr>
                <w:rFonts w:cs="Arial"/>
                <w:sz w:val="20"/>
                <w:szCs w:val="20"/>
              </w:rPr>
            </w:pPr>
            <w:r w:rsidRPr="00672714">
              <w:rPr>
                <w:rFonts w:cs="Arial"/>
                <w:sz w:val="20"/>
                <w:szCs w:val="20"/>
              </w:rPr>
              <w:t>0</w:t>
            </w:r>
          </w:p>
        </w:tc>
        <w:tc>
          <w:tcPr>
            <w:tcW w:w="556" w:type="pct"/>
          </w:tcPr>
          <w:p w14:paraId="6C884E98" w14:textId="77777777" w:rsidR="00247AD2" w:rsidRPr="00672714" w:rsidRDefault="00247AD2" w:rsidP="00672714">
            <w:pPr>
              <w:pStyle w:val="BodyText"/>
              <w:rPr>
                <w:rFonts w:cs="Arial"/>
                <w:sz w:val="20"/>
                <w:szCs w:val="20"/>
              </w:rPr>
            </w:pPr>
            <w:r w:rsidRPr="00672714">
              <w:rPr>
                <w:rStyle w:val="Bold"/>
                <w:rFonts w:cs="Arial"/>
                <w:sz w:val="20"/>
                <w:szCs w:val="20"/>
              </w:rPr>
              <w:t>$285,445</w:t>
            </w:r>
          </w:p>
        </w:tc>
      </w:tr>
      <w:tr w:rsidR="00247AD2" w:rsidRPr="00672714" w14:paraId="2486A840" w14:textId="77777777" w:rsidTr="006A0585">
        <w:trPr>
          <w:trHeight w:val="566"/>
        </w:trPr>
        <w:tc>
          <w:tcPr>
            <w:tcW w:w="623" w:type="pct"/>
          </w:tcPr>
          <w:p w14:paraId="4C454367" w14:textId="77777777" w:rsidR="00247AD2" w:rsidRPr="00672714" w:rsidRDefault="00247AD2" w:rsidP="00672714">
            <w:pPr>
              <w:pStyle w:val="BodyText"/>
              <w:rPr>
                <w:rFonts w:cs="Arial"/>
                <w:sz w:val="20"/>
                <w:szCs w:val="20"/>
              </w:rPr>
            </w:pPr>
            <w:r w:rsidRPr="00672714">
              <w:rPr>
                <w:rFonts w:cs="Arial"/>
                <w:sz w:val="20"/>
                <w:szCs w:val="20"/>
              </w:rPr>
              <w:t>$295,001 – $320,000</w:t>
            </w:r>
          </w:p>
        </w:tc>
        <w:tc>
          <w:tcPr>
            <w:tcW w:w="424" w:type="pct"/>
          </w:tcPr>
          <w:p w14:paraId="18379B17" w14:textId="77777777" w:rsidR="00247AD2" w:rsidRPr="00672714" w:rsidRDefault="00247AD2" w:rsidP="00672714">
            <w:pPr>
              <w:pStyle w:val="BodyText"/>
              <w:rPr>
                <w:rFonts w:cs="Arial"/>
                <w:sz w:val="20"/>
                <w:szCs w:val="20"/>
              </w:rPr>
            </w:pPr>
            <w:r w:rsidRPr="00672714">
              <w:rPr>
                <w:rFonts w:cs="Arial"/>
                <w:sz w:val="20"/>
                <w:szCs w:val="20"/>
              </w:rPr>
              <w:t>33</w:t>
            </w:r>
          </w:p>
        </w:tc>
        <w:tc>
          <w:tcPr>
            <w:tcW w:w="450" w:type="pct"/>
          </w:tcPr>
          <w:p w14:paraId="28457E93" w14:textId="77777777" w:rsidR="00247AD2" w:rsidRPr="00672714" w:rsidRDefault="00247AD2" w:rsidP="00672714">
            <w:pPr>
              <w:pStyle w:val="BodyText"/>
              <w:rPr>
                <w:rFonts w:cs="Arial"/>
                <w:sz w:val="20"/>
                <w:szCs w:val="20"/>
              </w:rPr>
            </w:pPr>
            <w:r w:rsidRPr="00672714">
              <w:rPr>
                <w:rFonts w:cs="Arial"/>
                <w:sz w:val="20"/>
                <w:szCs w:val="20"/>
              </w:rPr>
              <w:t>248,096</w:t>
            </w:r>
          </w:p>
        </w:tc>
        <w:tc>
          <w:tcPr>
            <w:tcW w:w="400" w:type="pct"/>
          </w:tcPr>
          <w:p w14:paraId="0D15903E" w14:textId="77777777" w:rsidR="00247AD2" w:rsidRPr="00672714" w:rsidRDefault="00247AD2" w:rsidP="00672714">
            <w:pPr>
              <w:pStyle w:val="BodyText"/>
              <w:rPr>
                <w:rFonts w:cs="Arial"/>
                <w:sz w:val="20"/>
                <w:szCs w:val="20"/>
              </w:rPr>
            </w:pPr>
            <w:r w:rsidRPr="00672714">
              <w:rPr>
                <w:rFonts w:cs="Arial"/>
                <w:sz w:val="20"/>
                <w:szCs w:val="20"/>
              </w:rPr>
              <w:t>0</w:t>
            </w:r>
          </w:p>
        </w:tc>
        <w:tc>
          <w:tcPr>
            <w:tcW w:w="537" w:type="pct"/>
          </w:tcPr>
          <w:p w14:paraId="0F4B4EE7" w14:textId="77777777" w:rsidR="00247AD2" w:rsidRPr="00672714" w:rsidRDefault="00247AD2" w:rsidP="00672714">
            <w:pPr>
              <w:pStyle w:val="BodyText"/>
              <w:rPr>
                <w:rFonts w:cs="Arial"/>
                <w:sz w:val="20"/>
                <w:szCs w:val="20"/>
              </w:rPr>
            </w:pPr>
            <w:r w:rsidRPr="00672714">
              <w:rPr>
                <w:rFonts w:cs="Arial"/>
                <w:sz w:val="20"/>
                <w:szCs w:val="20"/>
              </w:rPr>
              <w:t>2,768</w:t>
            </w:r>
          </w:p>
        </w:tc>
        <w:tc>
          <w:tcPr>
            <w:tcW w:w="624" w:type="pct"/>
          </w:tcPr>
          <w:p w14:paraId="571EA61E" w14:textId="77777777" w:rsidR="00247AD2" w:rsidRPr="00672714" w:rsidRDefault="00247AD2" w:rsidP="00672714">
            <w:pPr>
              <w:pStyle w:val="BodyText"/>
              <w:rPr>
                <w:rFonts w:cs="Arial"/>
                <w:sz w:val="20"/>
                <w:szCs w:val="20"/>
              </w:rPr>
            </w:pPr>
            <w:r w:rsidRPr="00672714">
              <w:rPr>
                <w:rFonts w:cs="Arial"/>
                <w:sz w:val="20"/>
                <w:szCs w:val="20"/>
              </w:rPr>
              <w:t>43,663</w:t>
            </w:r>
          </w:p>
        </w:tc>
        <w:tc>
          <w:tcPr>
            <w:tcW w:w="425" w:type="pct"/>
          </w:tcPr>
          <w:p w14:paraId="4DD7C190" w14:textId="77777777" w:rsidR="00247AD2" w:rsidRPr="00672714" w:rsidRDefault="00247AD2" w:rsidP="00672714">
            <w:pPr>
              <w:pStyle w:val="BodyText"/>
              <w:rPr>
                <w:rFonts w:cs="Arial"/>
                <w:sz w:val="20"/>
                <w:szCs w:val="20"/>
              </w:rPr>
            </w:pPr>
            <w:r w:rsidRPr="00672714">
              <w:rPr>
                <w:rFonts w:cs="Arial"/>
                <w:sz w:val="20"/>
                <w:szCs w:val="20"/>
              </w:rPr>
              <w:t>13,373</w:t>
            </w:r>
          </w:p>
        </w:tc>
        <w:tc>
          <w:tcPr>
            <w:tcW w:w="443" w:type="pct"/>
          </w:tcPr>
          <w:p w14:paraId="69298408" w14:textId="77777777" w:rsidR="00247AD2" w:rsidRPr="00672714" w:rsidRDefault="00247AD2" w:rsidP="00672714">
            <w:pPr>
              <w:pStyle w:val="BodyText"/>
              <w:rPr>
                <w:rFonts w:cs="Arial"/>
                <w:sz w:val="20"/>
                <w:szCs w:val="20"/>
              </w:rPr>
            </w:pPr>
            <w:r w:rsidRPr="00672714">
              <w:rPr>
                <w:rFonts w:cs="Arial"/>
                <w:sz w:val="20"/>
                <w:szCs w:val="20"/>
              </w:rPr>
              <w:t>0</w:t>
            </w:r>
          </w:p>
        </w:tc>
        <w:tc>
          <w:tcPr>
            <w:tcW w:w="519" w:type="pct"/>
          </w:tcPr>
          <w:p w14:paraId="78BB151F" w14:textId="77777777" w:rsidR="00247AD2" w:rsidRPr="00672714" w:rsidRDefault="00247AD2" w:rsidP="00672714">
            <w:pPr>
              <w:pStyle w:val="BodyText"/>
              <w:rPr>
                <w:rFonts w:cs="Arial"/>
                <w:sz w:val="20"/>
                <w:szCs w:val="20"/>
              </w:rPr>
            </w:pPr>
            <w:r w:rsidRPr="00672714">
              <w:rPr>
                <w:rFonts w:cs="Arial"/>
                <w:sz w:val="20"/>
                <w:szCs w:val="20"/>
              </w:rPr>
              <w:t>0</w:t>
            </w:r>
          </w:p>
        </w:tc>
        <w:tc>
          <w:tcPr>
            <w:tcW w:w="556" w:type="pct"/>
          </w:tcPr>
          <w:p w14:paraId="3C264DE2" w14:textId="77777777" w:rsidR="00247AD2" w:rsidRPr="00672714" w:rsidRDefault="00247AD2" w:rsidP="00672714">
            <w:pPr>
              <w:pStyle w:val="BodyText"/>
              <w:rPr>
                <w:rFonts w:cs="Arial"/>
                <w:sz w:val="20"/>
                <w:szCs w:val="20"/>
              </w:rPr>
            </w:pPr>
            <w:r w:rsidRPr="00672714">
              <w:rPr>
                <w:rStyle w:val="Bold"/>
                <w:rFonts w:cs="Arial"/>
                <w:sz w:val="20"/>
                <w:szCs w:val="20"/>
              </w:rPr>
              <w:t>$307,900</w:t>
            </w:r>
          </w:p>
        </w:tc>
      </w:tr>
      <w:tr w:rsidR="00247AD2" w:rsidRPr="00672714" w14:paraId="4F462089" w14:textId="77777777" w:rsidTr="006A0585">
        <w:trPr>
          <w:trHeight w:val="566"/>
        </w:trPr>
        <w:tc>
          <w:tcPr>
            <w:tcW w:w="623" w:type="pct"/>
          </w:tcPr>
          <w:p w14:paraId="5CF16E39" w14:textId="77777777" w:rsidR="00247AD2" w:rsidRPr="00672714" w:rsidRDefault="00247AD2" w:rsidP="00672714">
            <w:pPr>
              <w:pStyle w:val="BodyText"/>
              <w:rPr>
                <w:rFonts w:cs="Arial"/>
                <w:sz w:val="20"/>
                <w:szCs w:val="20"/>
              </w:rPr>
            </w:pPr>
            <w:r w:rsidRPr="00672714">
              <w:rPr>
                <w:rFonts w:cs="Arial"/>
                <w:sz w:val="20"/>
                <w:szCs w:val="20"/>
              </w:rPr>
              <w:t>$320,001 – $345,000</w:t>
            </w:r>
          </w:p>
        </w:tc>
        <w:tc>
          <w:tcPr>
            <w:tcW w:w="424" w:type="pct"/>
          </w:tcPr>
          <w:p w14:paraId="351E6BC8" w14:textId="77777777" w:rsidR="00247AD2" w:rsidRPr="00672714" w:rsidRDefault="00247AD2" w:rsidP="00672714">
            <w:pPr>
              <w:pStyle w:val="BodyText"/>
              <w:rPr>
                <w:rFonts w:cs="Arial"/>
                <w:sz w:val="20"/>
                <w:szCs w:val="20"/>
              </w:rPr>
            </w:pPr>
            <w:r w:rsidRPr="00672714">
              <w:rPr>
                <w:rFonts w:cs="Arial"/>
                <w:sz w:val="20"/>
                <w:szCs w:val="20"/>
              </w:rPr>
              <w:t>36</w:t>
            </w:r>
          </w:p>
        </w:tc>
        <w:tc>
          <w:tcPr>
            <w:tcW w:w="450" w:type="pct"/>
          </w:tcPr>
          <w:p w14:paraId="6B19A0C9" w14:textId="77777777" w:rsidR="00247AD2" w:rsidRPr="00672714" w:rsidRDefault="00247AD2" w:rsidP="00672714">
            <w:pPr>
              <w:pStyle w:val="BodyText"/>
              <w:rPr>
                <w:rFonts w:cs="Arial"/>
                <w:sz w:val="20"/>
                <w:szCs w:val="20"/>
              </w:rPr>
            </w:pPr>
            <w:r w:rsidRPr="00672714">
              <w:rPr>
                <w:rFonts w:cs="Arial"/>
                <w:sz w:val="20"/>
                <w:szCs w:val="20"/>
              </w:rPr>
              <w:t>264,310</w:t>
            </w:r>
          </w:p>
        </w:tc>
        <w:tc>
          <w:tcPr>
            <w:tcW w:w="400" w:type="pct"/>
          </w:tcPr>
          <w:p w14:paraId="513A23A6" w14:textId="77777777" w:rsidR="00247AD2" w:rsidRPr="00672714" w:rsidRDefault="00247AD2" w:rsidP="00672714">
            <w:pPr>
              <w:pStyle w:val="BodyText"/>
              <w:rPr>
                <w:rFonts w:cs="Arial"/>
                <w:sz w:val="20"/>
                <w:szCs w:val="20"/>
              </w:rPr>
            </w:pPr>
            <w:r w:rsidRPr="00672714">
              <w:rPr>
                <w:rFonts w:cs="Arial"/>
                <w:sz w:val="20"/>
                <w:szCs w:val="20"/>
              </w:rPr>
              <w:t>0</w:t>
            </w:r>
          </w:p>
        </w:tc>
        <w:tc>
          <w:tcPr>
            <w:tcW w:w="537" w:type="pct"/>
          </w:tcPr>
          <w:p w14:paraId="3E766F0C" w14:textId="77777777" w:rsidR="00247AD2" w:rsidRPr="00672714" w:rsidRDefault="00247AD2" w:rsidP="00672714">
            <w:pPr>
              <w:pStyle w:val="BodyText"/>
              <w:rPr>
                <w:rFonts w:cs="Arial"/>
                <w:sz w:val="20"/>
                <w:szCs w:val="20"/>
              </w:rPr>
            </w:pPr>
            <w:r w:rsidRPr="00672714">
              <w:rPr>
                <w:rFonts w:cs="Arial"/>
                <w:sz w:val="20"/>
                <w:szCs w:val="20"/>
              </w:rPr>
              <w:t>4,395</w:t>
            </w:r>
          </w:p>
        </w:tc>
        <w:tc>
          <w:tcPr>
            <w:tcW w:w="624" w:type="pct"/>
          </w:tcPr>
          <w:p w14:paraId="608EEDBC" w14:textId="77777777" w:rsidR="00247AD2" w:rsidRPr="00672714" w:rsidRDefault="00247AD2" w:rsidP="00672714">
            <w:pPr>
              <w:pStyle w:val="BodyText"/>
              <w:rPr>
                <w:rFonts w:cs="Arial"/>
                <w:sz w:val="20"/>
                <w:szCs w:val="20"/>
              </w:rPr>
            </w:pPr>
            <w:r w:rsidRPr="00672714">
              <w:rPr>
                <w:rFonts w:cs="Arial"/>
                <w:sz w:val="20"/>
                <w:szCs w:val="20"/>
              </w:rPr>
              <w:t>44,720</w:t>
            </w:r>
          </w:p>
        </w:tc>
        <w:tc>
          <w:tcPr>
            <w:tcW w:w="425" w:type="pct"/>
          </w:tcPr>
          <w:p w14:paraId="66431EFC" w14:textId="77777777" w:rsidR="00247AD2" w:rsidRPr="00672714" w:rsidRDefault="00247AD2" w:rsidP="00672714">
            <w:pPr>
              <w:pStyle w:val="BodyText"/>
              <w:rPr>
                <w:rFonts w:cs="Arial"/>
                <w:sz w:val="20"/>
                <w:szCs w:val="20"/>
              </w:rPr>
            </w:pPr>
            <w:r w:rsidRPr="00672714">
              <w:rPr>
                <w:rFonts w:cs="Arial"/>
                <w:sz w:val="20"/>
                <w:szCs w:val="20"/>
              </w:rPr>
              <w:t>18,632</w:t>
            </w:r>
          </w:p>
        </w:tc>
        <w:tc>
          <w:tcPr>
            <w:tcW w:w="443" w:type="pct"/>
          </w:tcPr>
          <w:p w14:paraId="380893A5" w14:textId="77777777" w:rsidR="00247AD2" w:rsidRPr="00672714" w:rsidRDefault="00247AD2" w:rsidP="00672714">
            <w:pPr>
              <w:pStyle w:val="BodyText"/>
              <w:rPr>
                <w:rFonts w:cs="Arial"/>
                <w:sz w:val="20"/>
                <w:szCs w:val="20"/>
              </w:rPr>
            </w:pPr>
            <w:r w:rsidRPr="00672714">
              <w:rPr>
                <w:rFonts w:cs="Arial"/>
                <w:sz w:val="20"/>
                <w:szCs w:val="20"/>
              </w:rPr>
              <w:t>0</w:t>
            </w:r>
          </w:p>
        </w:tc>
        <w:tc>
          <w:tcPr>
            <w:tcW w:w="519" w:type="pct"/>
          </w:tcPr>
          <w:p w14:paraId="3C150293" w14:textId="77777777" w:rsidR="00247AD2" w:rsidRPr="00672714" w:rsidRDefault="00247AD2" w:rsidP="00672714">
            <w:pPr>
              <w:pStyle w:val="BodyText"/>
              <w:rPr>
                <w:rFonts w:cs="Arial"/>
                <w:sz w:val="20"/>
                <w:szCs w:val="20"/>
              </w:rPr>
            </w:pPr>
            <w:r w:rsidRPr="00672714">
              <w:rPr>
                <w:rFonts w:cs="Arial"/>
                <w:sz w:val="20"/>
                <w:szCs w:val="20"/>
              </w:rPr>
              <w:t>0</w:t>
            </w:r>
          </w:p>
        </w:tc>
        <w:tc>
          <w:tcPr>
            <w:tcW w:w="556" w:type="pct"/>
          </w:tcPr>
          <w:p w14:paraId="0D108EE2" w14:textId="77777777" w:rsidR="00247AD2" w:rsidRPr="00672714" w:rsidRDefault="00247AD2" w:rsidP="00672714">
            <w:pPr>
              <w:pStyle w:val="BodyText"/>
              <w:rPr>
                <w:rFonts w:cs="Arial"/>
                <w:sz w:val="20"/>
                <w:szCs w:val="20"/>
              </w:rPr>
            </w:pPr>
            <w:r w:rsidRPr="00672714">
              <w:rPr>
                <w:rStyle w:val="Bold"/>
                <w:rFonts w:cs="Arial"/>
                <w:sz w:val="20"/>
                <w:szCs w:val="20"/>
              </w:rPr>
              <w:t>$332,057</w:t>
            </w:r>
          </w:p>
        </w:tc>
      </w:tr>
      <w:tr w:rsidR="00247AD2" w:rsidRPr="00672714" w14:paraId="18E855D0" w14:textId="77777777" w:rsidTr="006A0585">
        <w:trPr>
          <w:trHeight w:val="566"/>
        </w:trPr>
        <w:tc>
          <w:tcPr>
            <w:tcW w:w="623" w:type="pct"/>
          </w:tcPr>
          <w:p w14:paraId="505AF698" w14:textId="77777777" w:rsidR="00247AD2" w:rsidRPr="00672714" w:rsidRDefault="00247AD2" w:rsidP="00672714">
            <w:pPr>
              <w:pStyle w:val="BodyText"/>
              <w:rPr>
                <w:rFonts w:cs="Arial"/>
                <w:sz w:val="20"/>
                <w:szCs w:val="20"/>
              </w:rPr>
            </w:pPr>
            <w:r w:rsidRPr="00672714">
              <w:rPr>
                <w:rFonts w:cs="Arial"/>
                <w:sz w:val="20"/>
                <w:szCs w:val="20"/>
              </w:rPr>
              <w:t>$345,001 – $370,000</w:t>
            </w:r>
          </w:p>
        </w:tc>
        <w:tc>
          <w:tcPr>
            <w:tcW w:w="424" w:type="pct"/>
          </w:tcPr>
          <w:p w14:paraId="4CB3025B" w14:textId="77777777" w:rsidR="00247AD2" w:rsidRPr="00672714" w:rsidRDefault="00247AD2" w:rsidP="00672714">
            <w:pPr>
              <w:pStyle w:val="BodyText"/>
              <w:rPr>
                <w:rFonts w:cs="Arial"/>
                <w:sz w:val="20"/>
                <w:szCs w:val="20"/>
              </w:rPr>
            </w:pPr>
            <w:r w:rsidRPr="00672714">
              <w:rPr>
                <w:rFonts w:cs="Arial"/>
                <w:sz w:val="20"/>
                <w:szCs w:val="20"/>
              </w:rPr>
              <w:t>19</w:t>
            </w:r>
          </w:p>
        </w:tc>
        <w:tc>
          <w:tcPr>
            <w:tcW w:w="450" w:type="pct"/>
          </w:tcPr>
          <w:p w14:paraId="0A6E2E6F" w14:textId="77777777" w:rsidR="00247AD2" w:rsidRPr="00672714" w:rsidRDefault="00247AD2" w:rsidP="00672714">
            <w:pPr>
              <w:pStyle w:val="BodyText"/>
              <w:rPr>
                <w:rFonts w:cs="Arial"/>
                <w:sz w:val="20"/>
                <w:szCs w:val="20"/>
              </w:rPr>
            </w:pPr>
            <w:r w:rsidRPr="00672714">
              <w:rPr>
                <w:rFonts w:cs="Arial"/>
                <w:sz w:val="20"/>
                <w:szCs w:val="20"/>
              </w:rPr>
              <w:t>$281,556</w:t>
            </w:r>
          </w:p>
        </w:tc>
        <w:tc>
          <w:tcPr>
            <w:tcW w:w="400" w:type="pct"/>
          </w:tcPr>
          <w:p w14:paraId="3FF815D7" w14:textId="77777777" w:rsidR="00247AD2" w:rsidRPr="00672714" w:rsidRDefault="00247AD2" w:rsidP="00672714">
            <w:pPr>
              <w:pStyle w:val="BodyText"/>
              <w:rPr>
                <w:rFonts w:cs="Arial"/>
                <w:sz w:val="20"/>
                <w:szCs w:val="20"/>
              </w:rPr>
            </w:pPr>
            <w:r w:rsidRPr="00672714">
              <w:rPr>
                <w:rFonts w:cs="Arial"/>
                <w:sz w:val="20"/>
                <w:szCs w:val="20"/>
              </w:rPr>
              <w:t>0</w:t>
            </w:r>
          </w:p>
        </w:tc>
        <w:tc>
          <w:tcPr>
            <w:tcW w:w="537" w:type="pct"/>
          </w:tcPr>
          <w:p w14:paraId="2B6AB7D1" w14:textId="77777777" w:rsidR="00247AD2" w:rsidRPr="00672714" w:rsidRDefault="00247AD2" w:rsidP="00672714">
            <w:pPr>
              <w:pStyle w:val="BodyText"/>
              <w:rPr>
                <w:rFonts w:cs="Arial"/>
                <w:sz w:val="20"/>
                <w:szCs w:val="20"/>
              </w:rPr>
            </w:pPr>
            <w:r w:rsidRPr="00672714">
              <w:rPr>
                <w:rFonts w:cs="Arial"/>
                <w:sz w:val="20"/>
                <w:szCs w:val="20"/>
              </w:rPr>
              <w:t>7,718</w:t>
            </w:r>
          </w:p>
        </w:tc>
        <w:tc>
          <w:tcPr>
            <w:tcW w:w="624" w:type="pct"/>
          </w:tcPr>
          <w:p w14:paraId="381A972E" w14:textId="77777777" w:rsidR="00247AD2" w:rsidRPr="00672714" w:rsidRDefault="00247AD2" w:rsidP="00672714">
            <w:pPr>
              <w:pStyle w:val="BodyText"/>
              <w:rPr>
                <w:rFonts w:cs="Arial"/>
                <w:sz w:val="20"/>
                <w:szCs w:val="20"/>
              </w:rPr>
            </w:pPr>
            <w:r w:rsidRPr="00672714">
              <w:rPr>
                <w:rFonts w:cs="Arial"/>
                <w:sz w:val="20"/>
                <w:szCs w:val="20"/>
              </w:rPr>
              <w:t>48,254</w:t>
            </w:r>
          </w:p>
        </w:tc>
        <w:tc>
          <w:tcPr>
            <w:tcW w:w="425" w:type="pct"/>
          </w:tcPr>
          <w:p w14:paraId="6F2699C6" w14:textId="77777777" w:rsidR="00247AD2" w:rsidRPr="00672714" w:rsidRDefault="00247AD2" w:rsidP="00672714">
            <w:pPr>
              <w:pStyle w:val="BodyText"/>
              <w:rPr>
                <w:rFonts w:cs="Arial"/>
                <w:sz w:val="20"/>
                <w:szCs w:val="20"/>
              </w:rPr>
            </w:pPr>
            <w:r w:rsidRPr="00672714">
              <w:rPr>
                <w:rFonts w:cs="Arial"/>
                <w:sz w:val="20"/>
                <w:szCs w:val="20"/>
              </w:rPr>
              <w:t>15,768</w:t>
            </w:r>
          </w:p>
        </w:tc>
        <w:tc>
          <w:tcPr>
            <w:tcW w:w="443" w:type="pct"/>
          </w:tcPr>
          <w:p w14:paraId="36E62782" w14:textId="77777777" w:rsidR="00247AD2" w:rsidRPr="00672714" w:rsidRDefault="00247AD2" w:rsidP="00672714">
            <w:pPr>
              <w:pStyle w:val="BodyText"/>
              <w:rPr>
                <w:rFonts w:cs="Arial"/>
                <w:sz w:val="20"/>
                <w:szCs w:val="20"/>
              </w:rPr>
            </w:pPr>
            <w:r w:rsidRPr="00672714">
              <w:rPr>
                <w:rFonts w:cs="Arial"/>
                <w:sz w:val="20"/>
                <w:szCs w:val="20"/>
              </w:rPr>
              <w:t>0</w:t>
            </w:r>
          </w:p>
        </w:tc>
        <w:tc>
          <w:tcPr>
            <w:tcW w:w="519" w:type="pct"/>
          </w:tcPr>
          <w:p w14:paraId="36867354" w14:textId="77777777" w:rsidR="00247AD2" w:rsidRPr="00672714" w:rsidRDefault="00247AD2" w:rsidP="00672714">
            <w:pPr>
              <w:pStyle w:val="BodyText"/>
              <w:rPr>
                <w:rFonts w:cs="Arial"/>
                <w:sz w:val="20"/>
                <w:szCs w:val="20"/>
              </w:rPr>
            </w:pPr>
            <w:r w:rsidRPr="00672714">
              <w:rPr>
                <w:rFonts w:cs="Arial"/>
                <w:sz w:val="20"/>
                <w:szCs w:val="20"/>
              </w:rPr>
              <w:t>0</w:t>
            </w:r>
          </w:p>
        </w:tc>
        <w:tc>
          <w:tcPr>
            <w:tcW w:w="556" w:type="pct"/>
          </w:tcPr>
          <w:p w14:paraId="5F0333D5" w14:textId="77777777" w:rsidR="00247AD2" w:rsidRPr="00672714" w:rsidRDefault="00247AD2" w:rsidP="00672714">
            <w:pPr>
              <w:pStyle w:val="BodyText"/>
              <w:rPr>
                <w:rFonts w:cs="Arial"/>
                <w:sz w:val="20"/>
                <w:szCs w:val="20"/>
              </w:rPr>
            </w:pPr>
            <w:r w:rsidRPr="00672714">
              <w:rPr>
                <w:rStyle w:val="Bold"/>
                <w:rFonts w:cs="Arial"/>
                <w:sz w:val="20"/>
                <w:szCs w:val="20"/>
              </w:rPr>
              <w:t>$353,296</w:t>
            </w:r>
          </w:p>
        </w:tc>
      </w:tr>
      <w:tr w:rsidR="00247AD2" w:rsidRPr="00672714" w14:paraId="0FAB280F" w14:textId="77777777" w:rsidTr="006A0585">
        <w:trPr>
          <w:trHeight w:val="566"/>
        </w:trPr>
        <w:tc>
          <w:tcPr>
            <w:tcW w:w="623" w:type="pct"/>
          </w:tcPr>
          <w:p w14:paraId="2430C177" w14:textId="77777777" w:rsidR="00247AD2" w:rsidRPr="00672714" w:rsidRDefault="00247AD2" w:rsidP="00672714">
            <w:pPr>
              <w:pStyle w:val="BodyText"/>
              <w:rPr>
                <w:rFonts w:cs="Arial"/>
                <w:sz w:val="20"/>
                <w:szCs w:val="20"/>
              </w:rPr>
            </w:pPr>
            <w:r w:rsidRPr="00672714">
              <w:rPr>
                <w:rFonts w:cs="Arial"/>
                <w:sz w:val="20"/>
                <w:szCs w:val="20"/>
              </w:rPr>
              <w:t>$370,001 – $395,000</w:t>
            </w:r>
          </w:p>
        </w:tc>
        <w:tc>
          <w:tcPr>
            <w:tcW w:w="424" w:type="pct"/>
          </w:tcPr>
          <w:p w14:paraId="7D7AAED8" w14:textId="77777777" w:rsidR="00247AD2" w:rsidRPr="00672714" w:rsidRDefault="00247AD2" w:rsidP="00672714">
            <w:pPr>
              <w:pStyle w:val="BodyText"/>
              <w:rPr>
                <w:rFonts w:cs="Arial"/>
                <w:sz w:val="20"/>
                <w:szCs w:val="20"/>
              </w:rPr>
            </w:pPr>
            <w:r w:rsidRPr="00672714">
              <w:rPr>
                <w:rFonts w:cs="Arial"/>
                <w:sz w:val="20"/>
                <w:szCs w:val="20"/>
              </w:rPr>
              <w:t>6</w:t>
            </w:r>
          </w:p>
        </w:tc>
        <w:tc>
          <w:tcPr>
            <w:tcW w:w="450" w:type="pct"/>
          </w:tcPr>
          <w:p w14:paraId="669292A5" w14:textId="77777777" w:rsidR="00247AD2" w:rsidRPr="00672714" w:rsidRDefault="00247AD2" w:rsidP="00672714">
            <w:pPr>
              <w:pStyle w:val="BodyText"/>
              <w:rPr>
                <w:rFonts w:cs="Arial"/>
                <w:sz w:val="20"/>
                <w:szCs w:val="20"/>
              </w:rPr>
            </w:pPr>
            <w:r w:rsidRPr="00672714">
              <w:rPr>
                <w:rFonts w:cs="Arial"/>
                <w:sz w:val="20"/>
                <w:szCs w:val="20"/>
              </w:rPr>
              <w:t>313,171</w:t>
            </w:r>
          </w:p>
        </w:tc>
        <w:tc>
          <w:tcPr>
            <w:tcW w:w="400" w:type="pct"/>
          </w:tcPr>
          <w:p w14:paraId="2010BFA6" w14:textId="77777777" w:rsidR="00247AD2" w:rsidRPr="00672714" w:rsidRDefault="00247AD2" w:rsidP="00672714">
            <w:pPr>
              <w:pStyle w:val="BodyText"/>
              <w:rPr>
                <w:rFonts w:cs="Arial"/>
                <w:sz w:val="20"/>
                <w:szCs w:val="20"/>
              </w:rPr>
            </w:pPr>
            <w:r w:rsidRPr="00672714">
              <w:rPr>
                <w:rFonts w:cs="Arial"/>
                <w:sz w:val="20"/>
                <w:szCs w:val="20"/>
              </w:rPr>
              <w:t>0</w:t>
            </w:r>
          </w:p>
        </w:tc>
        <w:tc>
          <w:tcPr>
            <w:tcW w:w="537" w:type="pct"/>
          </w:tcPr>
          <w:p w14:paraId="3D9518E0" w14:textId="77777777" w:rsidR="00247AD2" w:rsidRPr="00672714" w:rsidRDefault="00247AD2" w:rsidP="00672714">
            <w:pPr>
              <w:pStyle w:val="BodyText"/>
              <w:rPr>
                <w:rFonts w:cs="Arial"/>
                <w:sz w:val="20"/>
                <w:szCs w:val="20"/>
              </w:rPr>
            </w:pPr>
            <w:r w:rsidRPr="00672714">
              <w:rPr>
                <w:rFonts w:cs="Arial"/>
                <w:sz w:val="20"/>
                <w:szCs w:val="20"/>
              </w:rPr>
              <w:t>6,023</w:t>
            </w:r>
          </w:p>
        </w:tc>
        <w:tc>
          <w:tcPr>
            <w:tcW w:w="624" w:type="pct"/>
          </w:tcPr>
          <w:p w14:paraId="1BE80D7D" w14:textId="77777777" w:rsidR="00247AD2" w:rsidRPr="00672714" w:rsidRDefault="00247AD2" w:rsidP="00672714">
            <w:pPr>
              <w:pStyle w:val="BodyText"/>
              <w:rPr>
                <w:rFonts w:cs="Arial"/>
                <w:sz w:val="20"/>
                <w:szCs w:val="20"/>
              </w:rPr>
            </w:pPr>
            <w:r w:rsidRPr="00672714">
              <w:rPr>
                <w:rFonts w:cs="Arial"/>
                <w:sz w:val="20"/>
                <w:szCs w:val="20"/>
              </w:rPr>
              <w:t>52,993</w:t>
            </w:r>
          </w:p>
        </w:tc>
        <w:tc>
          <w:tcPr>
            <w:tcW w:w="425" w:type="pct"/>
          </w:tcPr>
          <w:p w14:paraId="305A2C28" w14:textId="77777777" w:rsidR="00247AD2" w:rsidRPr="00672714" w:rsidRDefault="00247AD2" w:rsidP="00672714">
            <w:pPr>
              <w:pStyle w:val="BodyText"/>
              <w:rPr>
                <w:rFonts w:cs="Arial"/>
                <w:sz w:val="20"/>
                <w:szCs w:val="20"/>
              </w:rPr>
            </w:pPr>
            <w:r w:rsidRPr="00672714">
              <w:rPr>
                <w:rFonts w:cs="Arial"/>
                <w:sz w:val="20"/>
                <w:szCs w:val="20"/>
              </w:rPr>
              <w:t>15,038</w:t>
            </w:r>
          </w:p>
        </w:tc>
        <w:tc>
          <w:tcPr>
            <w:tcW w:w="443" w:type="pct"/>
          </w:tcPr>
          <w:p w14:paraId="0E5CD9C5" w14:textId="77777777" w:rsidR="00247AD2" w:rsidRPr="00672714" w:rsidRDefault="00247AD2" w:rsidP="00672714">
            <w:pPr>
              <w:pStyle w:val="BodyText"/>
              <w:rPr>
                <w:rFonts w:cs="Arial"/>
                <w:sz w:val="20"/>
                <w:szCs w:val="20"/>
              </w:rPr>
            </w:pPr>
            <w:r w:rsidRPr="00672714">
              <w:rPr>
                <w:rFonts w:cs="Arial"/>
                <w:sz w:val="20"/>
                <w:szCs w:val="20"/>
              </w:rPr>
              <w:t>0</w:t>
            </w:r>
          </w:p>
        </w:tc>
        <w:tc>
          <w:tcPr>
            <w:tcW w:w="519" w:type="pct"/>
          </w:tcPr>
          <w:p w14:paraId="1B1B08E0" w14:textId="77777777" w:rsidR="00247AD2" w:rsidRPr="00672714" w:rsidRDefault="00247AD2" w:rsidP="00672714">
            <w:pPr>
              <w:pStyle w:val="BodyText"/>
              <w:rPr>
                <w:rFonts w:cs="Arial"/>
                <w:sz w:val="20"/>
                <w:szCs w:val="20"/>
              </w:rPr>
            </w:pPr>
            <w:r w:rsidRPr="00672714">
              <w:rPr>
                <w:rFonts w:cs="Arial"/>
                <w:sz w:val="20"/>
                <w:szCs w:val="20"/>
              </w:rPr>
              <w:t>0</w:t>
            </w:r>
          </w:p>
        </w:tc>
        <w:tc>
          <w:tcPr>
            <w:tcW w:w="556" w:type="pct"/>
          </w:tcPr>
          <w:p w14:paraId="77303697" w14:textId="77777777" w:rsidR="00247AD2" w:rsidRPr="00672714" w:rsidRDefault="00247AD2" w:rsidP="00672714">
            <w:pPr>
              <w:pStyle w:val="BodyText"/>
              <w:rPr>
                <w:rFonts w:cs="Arial"/>
                <w:sz w:val="20"/>
                <w:szCs w:val="20"/>
              </w:rPr>
            </w:pPr>
            <w:r w:rsidRPr="00672714">
              <w:rPr>
                <w:rStyle w:val="Bold"/>
                <w:rFonts w:cs="Arial"/>
                <w:sz w:val="20"/>
                <w:szCs w:val="20"/>
              </w:rPr>
              <w:t>387,225</w:t>
            </w:r>
          </w:p>
        </w:tc>
      </w:tr>
      <w:tr w:rsidR="00247AD2" w:rsidRPr="00672714" w14:paraId="4A3ED80F" w14:textId="77777777" w:rsidTr="006A0585">
        <w:trPr>
          <w:trHeight w:val="566"/>
        </w:trPr>
        <w:tc>
          <w:tcPr>
            <w:tcW w:w="623" w:type="pct"/>
          </w:tcPr>
          <w:p w14:paraId="342C7BD3" w14:textId="77777777" w:rsidR="00247AD2" w:rsidRPr="00672714" w:rsidRDefault="00247AD2" w:rsidP="00672714">
            <w:pPr>
              <w:pStyle w:val="BodyText"/>
              <w:rPr>
                <w:rFonts w:cs="Arial"/>
                <w:sz w:val="20"/>
                <w:szCs w:val="20"/>
              </w:rPr>
            </w:pPr>
            <w:r w:rsidRPr="00672714">
              <w:rPr>
                <w:rFonts w:cs="Arial"/>
                <w:sz w:val="20"/>
                <w:szCs w:val="20"/>
              </w:rPr>
              <w:t>$395,001 – $420,000</w:t>
            </w:r>
          </w:p>
        </w:tc>
        <w:tc>
          <w:tcPr>
            <w:tcW w:w="424" w:type="pct"/>
          </w:tcPr>
          <w:p w14:paraId="29972638" w14:textId="77777777" w:rsidR="00247AD2" w:rsidRPr="00672714" w:rsidRDefault="00247AD2" w:rsidP="00672714">
            <w:pPr>
              <w:pStyle w:val="BodyText"/>
              <w:rPr>
                <w:rFonts w:cs="Arial"/>
                <w:sz w:val="20"/>
                <w:szCs w:val="20"/>
              </w:rPr>
            </w:pPr>
            <w:r w:rsidRPr="00672714">
              <w:rPr>
                <w:rFonts w:cs="Arial"/>
                <w:sz w:val="20"/>
                <w:szCs w:val="20"/>
              </w:rPr>
              <w:t>7</w:t>
            </w:r>
          </w:p>
        </w:tc>
        <w:tc>
          <w:tcPr>
            <w:tcW w:w="450" w:type="pct"/>
          </w:tcPr>
          <w:p w14:paraId="26A200A5" w14:textId="77777777" w:rsidR="00247AD2" w:rsidRPr="00672714" w:rsidRDefault="00247AD2" w:rsidP="00672714">
            <w:pPr>
              <w:pStyle w:val="BodyText"/>
              <w:rPr>
                <w:rFonts w:cs="Arial"/>
                <w:sz w:val="20"/>
                <w:szCs w:val="20"/>
              </w:rPr>
            </w:pPr>
            <w:r w:rsidRPr="00672714">
              <w:rPr>
                <w:rFonts w:cs="Arial"/>
                <w:sz w:val="20"/>
                <w:szCs w:val="20"/>
              </w:rPr>
              <w:t>317,917</w:t>
            </w:r>
          </w:p>
        </w:tc>
        <w:tc>
          <w:tcPr>
            <w:tcW w:w="400" w:type="pct"/>
          </w:tcPr>
          <w:p w14:paraId="2FFF8CAA" w14:textId="77777777" w:rsidR="00247AD2" w:rsidRPr="00672714" w:rsidRDefault="00247AD2" w:rsidP="00672714">
            <w:pPr>
              <w:pStyle w:val="BodyText"/>
              <w:rPr>
                <w:rFonts w:cs="Arial"/>
                <w:sz w:val="20"/>
                <w:szCs w:val="20"/>
              </w:rPr>
            </w:pPr>
            <w:r w:rsidRPr="00672714">
              <w:rPr>
                <w:rFonts w:cs="Arial"/>
                <w:sz w:val="20"/>
                <w:szCs w:val="20"/>
              </w:rPr>
              <w:t>0</w:t>
            </w:r>
          </w:p>
        </w:tc>
        <w:tc>
          <w:tcPr>
            <w:tcW w:w="537" w:type="pct"/>
          </w:tcPr>
          <w:p w14:paraId="79C41D9C" w14:textId="77777777" w:rsidR="00247AD2" w:rsidRPr="00672714" w:rsidRDefault="00247AD2" w:rsidP="00672714">
            <w:pPr>
              <w:pStyle w:val="BodyText"/>
              <w:rPr>
                <w:rFonts w:cs="Arial"/>
                <w:sz w:val="20"/>
                <w:szCs w:val="20"/>
              </w:rPr>
            </w:pPr>
            <w:r w:rsidRPr="00672714">
              <w:rPr>
                <w:rFonts w:cs="Arial"/>
                <w:sz w:val="20"/>
                <w:szCs w:val="20"/>
              </w:rPr>
              <w:t>5,733</w:t>
            </w:r>
          </w:p>
        </w:tc>
        <w:tc>
          <w:tcPr>
            <w:tcW w:w="624" w:type="pct"/>
          </w:tcPr>
          <w:p w14:paraId="73B0F14A" w14:textId="77777777" w:rsidR="00247AD2" w:rsidRPr="00672714" w:rsidRDefault="00247AD2" w:rsidP="00672714">
            <w:pPr>
              <w:pStyle w:val="BodyText"/>
              <w:rPr>
                <w:rFonts w:cs="Arial"/>
                <w:sz w:val="20"/>
                <w:szCs w:val="20"/>
              </w:rPr>
            </w:pPr>
            <w:r w:rsidRPr="00672714">
              <w:rPr>
                <w:rFonts w:cs="Arial"/>
                <w:sz w:val="20"/>
                <w:szCs w:val="20"/>
              </w:rPr>
              <w:t>58,127</w:t>
            </w:r>
          </w:p>
        </w:tc>
        <w:tc>
          <w:tcPr>
            <w:tcW w:w="425" w:type="pct"/>
          </w:tcPr>
          <w:p w14:paraId="66259B64" w14:textId="77777777" w:rsidR="00247AD2" w:rsidRPr="00672714" w:rsidRDefault="00247AD2" w:rsidP="00672714">
            <w:pPr>
              <w:pStyle w:val="BodyText"/>
              <w:rPr>
                <w:rFonts w:cs="Arial"/>
                <w:sz w:val="20"/>
                <w:szCs w:val="20"/>
              </w:rPr>
            </w:pPr>
            <w:r w:rsidRPr="00672714">
              <w:rPr>
                <w:rFonts w:cs="Arial"/>
                <w:sz w:val="20"/>
                <w:szCs w:val="20"/>
              </w:rPr>
              <w:t>22,346</w:t>
            </w:r>
          </w:p>
        </w:tc>
        <w:tc>
          <w:tcPr>
            <w:tcW w:w="443" w:type="pct"/>
          </w:tcPr>
          <w:p w14:paraId="4BC740BE" w14:textId="77777777" w:rsidR="00247AD2" w:rsidRPr="00672714" w:rsidRDefault="00247AD2" w:rsidP="00672714">
            <w:pPr>
              <w:pStyle w:val="BodyText"/>
              <w:rPr>
                <w:rFonts w:cs="Arial"/>
                <w:sz w:val="20"/>
                <w:szCs w:val="20"/>
              </w:rPr>
            </w:pPr>
            <w:r w:rsidRPr="00672714">
              <w:rPr>
                <w:rFonts w:cs="Arial"/>
                <w:sz w:val="20"/>
                <w:szCs w:val="20"/>
              </w:rPr>
              <w:t>0</w:t>
            </w:r>
          </w:p>
        </w:tc>
        <w:tc>
          <w:tcPr>
            <w:tcW w:w="519" w:type="pct"/>
          </w:tcPr>
          <w:p w14:paraId="360B84B4" w14:textId="77777777" w:rsidR="00247AD2" w:rsidRPr="00672714" w:rsidRDefault="00247AD2" w:rsidP="00672714">
            <w:pPr>
              <w:pStyle w:val="BodyText"/>
              <w:rPr>
                <w:rFonts w:cs="Arial"/>
                <w:sz w:val="20"/>
                <w:szCs w:val="20"/>
              </w:rPr>
            </w:pPr>
            <w:r w:rsidRPr="00672714">
              <w:rPr>
                <w:rFonts w:cs="Arial"/>
                <w:sz w:val="20"/>
                <w:szCs w:val="20"/>
              </w:rPr>
              <w:t>0</w:t>
            </w:r>
          </w:p>
        </w:tc>
        <w:tc>
          <w:tcPr>
            <w:tcW w:w="556" w:type="pct"/>
          </w:tcPr>
          <w:p w14:paraId="72EEB266" w14:textId="77777777" w:rsidR="00247AD2" w:rsidRPr="00672714" w:rsidRDefault="00247AD2" w:rsidP="00672714">
            <w:pPr>
              <w:pStyle w:val="BodyText"/>
              <w:rPr>
                <w:rFonts w:cs="Arial"/>
                <w:sz w:val="20"/>
                <w:szCs w:val="20"/>
              </w:rPr>
            </w:pPr>
            <w:r w:rsidRPr="00672714">
              <w:rPr>
                <w:rStyle w:val="Bold"/>
                <w:rFonts w:cs="Arial"/>
                <w:sz w:val="20"/>
                <w:szCs w:val="20"/>
              </w:rPr>
              <w:t>404,123</w:t>
            </w:r>
          </w:p>
        </w:tc>
      </w:tr>
      <w:tr w:rsidR="00247AD2" w:rsidRPr="00672714" w14:paraId="3924B3B9" w14:textId="77777777" w:rsidTr="006A0585">
        <w:trPr>
          <w:trHeight w:val="558"/>
        </w:trPr>
        <w:tc>
          <w:tcPr>
            <w:tcW w:w="623" w:type="pct"/>
          </w:tcPr>
          <w:p w14:paraId="67F38B97" w14:textId="77777777" w:rsidR="00247AD2" w:rsidRPr="00672714" w:rsidRDefault="00247AD2" w:rsidP="00672714">
            <w:pPr>
              <w:pStyle w:val="BodyText"/>
              <w:rPr>
                <w:rFonts w:cs="Arial"/>
                <w:sz w:val="20"/>
                <w:szCs w:val="20"/>
              </w:rPr>
            </w:pPr>
            <w:r w:rsidRPr="00672714">
              <w:rPr>
                <w:rFonts w:cs="Arial"/>
                <w:sz w:val="20"/>
                <w:szCs w:val="20"/>
              </w:rPr>
              <w:t>$420,001 – $445,000</w:t>
            </w:r>
          </w:p>
        </w:tc>
        <w:tc>
          <w:tcPr>
            <w:tcW w:w="424" w:type="pct"/>
          </w:tcPr>
          <w:p w14:paraId="053F1F63" w14:textId="77777777" w:rsidR="00247AD2" w:rsidRPr="00672714" w:rsidRDefault="00247AD2" w:rsidP="00672714">
            <w:pPr>
              <w:pStyle w:val="BodyText"/>
              <w:rPr>
                <w:rFonts w:cs="Arial"/>
                <w:sz w:val="20"/>
                <w:szCs w:val="20"/>
              </w:rPr>
            </w:pPr>
            <w:r w:rsidRPr="00672714">
              <w:rPr>
                <w:rFonts w:cs="Arial"/>
                <w:sz w:val="20"/>
                <w:szCs w:val="20"/>
              </w:rPr>
              <w:t>7</w:t>
            </w:r>
          </w:p>
        </w:tc>
        <w:tc>
          <w:tcPr>
            <w:tcW w:w="450" w:type="pct"/>
          </w:tcPr>
          <w:p w14:paraId="61A3D249" w14:textId="77777777" w:rsidR="00247AD2" w:rsidRPr="00672714" w:rsidRDefault="00247AD2" w:rsidP="00672714">
            <w:pPr>
              <w:pStyle w:val="BodyText"/>
              <w:rPr>
                <w:rFonts w:cs="Arial"/>
                <w:sz w:val="20"/>
                <w:szCs w:val="20"/>
              </w:rPr>
            </w:pPr>
            <w:r w:rsidRPr="00672714">
              <w:rPr>
                <w:rFonts w:cs="Arial"/>
                <w:sz w:val="20"/>
                <w:szCs w:val="20"/>
              </w:rPr>
              <w:t>348,481</w:t>
            </w:r>
          </w:p>
        </w:tc>
        <w:tc>
          <w:tcPr>
            <w:tcW w:w="400" w:type="pct"/>
          </w:tcPr>
          <w:p w14:paraId="64C712A2" w14:textId="77777777" w:rsidR="00247AD2" w:rsidRPr="00672714" w:rsidRDefault="00247AD2" w:rsidP="00672714">
            <w:pPr>
              <w:pStyle w:val="BodyText"/>
              <w:rPr>
                <w:rFonts w:cs="Arial"/>
                <w:sz w:val="20"/>
                <w:szCs w:val="20"/>
              </w:rPr>
            </w:pPr>
            <w:r w:rsidRPr="00672714">
              <w:rPr>
                <w:rFonts w:cs="Arial"/>
                <w:sz w:val="20"/>
                <w:szCs w:val="20"/>
              </w:rPr>
              <w:t>0</w:t>
            </w:r>
          </w:p>
        </w:tc>
        <w:tc>
          <w:tcPr>
            <w:tcW w:w="537" w:type="pct"/>
          </w:tcPr>
          <w:p w14:paraId="4422C211" w14:textId="77777777" w:rsidR="00247AD2" w:rsidRPr="00672714" w:rsidRDefault="00247AD2" w:rsidP="00672714">
            <w:pPr>
              <w:pStyle w:val="BodyText"/>
              <w:rPr>
                <w:rFonts w:cs="Arial"/>
                <w:sz w:val="20"/>
                <w:szCs w:val="20"/>
              </w:rPr>
            </w:pPr>
            <w:r w:rsidRPr="00672714">
              <w:rPr>
                <w:rFonts w:cs="Arial"/>
                <w:sz w:val="20"/>
                <w:szCs w:val="20"/>
              </w:rPr>
              <w:t>4,293</w:t>
            </w:r>
          </w:p>
        </w:tc>
        <w:tc>
          <w:tcPr>
            <w:tcW w:w="624" w:type="pct"/>
          </w:tcPr>
          <w:p w14:paraId="047BF1A0" w14:textId="77777777" w:rsidR="00247AD2" w:rsidRPr="00672714" w:rsidRDefault="00247AD2" w:rsidP="00672714">
            <w:pPr>
              <w:pStyle w:val="BodyText"/>
              <w:rPr>
                <w:rFonts w:cs="Arial"/>
                <w:sz w:val="20"/>
                <w:szCs w:val="20"/>
              </w:rPr>
            </w:pPr>
            <w:r w:rsidRPr="00672714">
              <w:rPr>
                <w:rFonts w:cs="Arial"/>
                <w:sz w:val="20"/>
                <w:szCs w:val="20"/>
              </w:rPr>
              <w:t>59,611</w:t>
            </w:r>
          </w:p>
        </w:tc>
        <w:tc>
          <w:tcPr>
            <w:tcW w:w="425" w:type="pct"/>
          </w:tcPr>
          <w:p w14:paraId="21F14CBC" w14:textId="77777777" w:rsidR="00247AD2" w:rsidRPr="00672714" w:rsidRDefault="00247AD2" w:rsidP="00672714">
            <w:pPr>
              <w:pStyle w:val="BodyText"/>
              <w:rPr>
                <w:rFonts w:cs="Arial"/>
                <w:sz w:val="20"/>
                <w:szCs w:val="20"/>
              </w:rPr>
            </w:pPr>
            <w:r w:rsidRPr="00672714">
              <w:rPr>
                <w:rFonts w:cs="Arial"/>
                <w:sz w:val="20"/>
                <w:szCs w:val="20"/>
              </w:rPr>
              <w:t>19,843</w:t>
            </w:r>
          </w:p>
        </w:tc>
        <w:tc>
          <w:tcPr>
            <w:tcW w:w="443" w:type="pct"/>
          </w:tcPr>
          <w:p w14:paraId="41199852" w14:textId="77777777" w:rsidR="00247AD2" w:rsidRPr="00672714" w:rsidRDefault="00247AD2" w:rsidP="00672714">
            <w:pPr>
              <w:pStyle w:val="BodyText"/>
              <w:rPr>
                <w:rFonts w:cs="Arial"/>
                <w:sz w:val="20"/>
                <w:szCs w:val="20"/>
              </w:rPr>
            </w:pPr>
            <w:r w:rsidRPr="00672714">
              <w:rPr>
                <w:rFonts w:cs="Arial"/>
                <w:sz w:val="20"/>
                <w:szCs w:val="20"/>
              </w:rPr>
              <w:t>0</w:t>
            </w:r>
          </w:p>
        </w:tc>
        <w:tc>
          <w:tcPr>
            <w:tcW w:w="519" w:type="pct"/>
          </w:tcPr>
          <w:p w14:paraId="0DF55B55" w14:textId="77777777" w:rsidR="00247AD2" w:rsidRPr="00672714" w:rsidRDefault="00247AD2" w:rsidP="00672714">
            <w:pPr>
              <w:pStyle w:val="BodyText"/>
              <w:rPr>
                <w:rFonts w:cs="Arial"/>
                <w:sz w:val="20"/>
                <w:szCs w:val="20"/>
              </w:rPr>
            </w:pPr>
            <w:r w:rsidRPr="00672714">
              <w:rPr>
                <w:rFonts w:cs="Arial"/>
                <w:sz w:val="20"/>
                <w:szCs w:val="20"/>
              </w:rPr>
              <w:t>0</w:t>
            </w:r>
          </w:p>
        </w:tc>
        <w:tc>
          <w:tcPr>
            <w:tcW w:w="556" w:type="pct"/>
          </w:tcPr>
          <w:p w14:paraId="18BD81AE" w14:textId="77777777" w:rsidR="00247AD2" w:rsidRPr="00672714" w:rsidRDefault="00247AD2" w:rsidP="00672714">
            <w:pPr>
              <w:pStyle w:val="BodyText"/>
              <w:rPr>
                <w:rFonts w:cs="Arial"/>
                <w:sz w:val="20"/>
                <w:szCs w:val="20"/>
              </w:rPr>
            </w:pPr>
            <w:r w:rsidRPr="00672714">
              <w:rPr>
                <w:rStyle w:val="Bold"/>
                <w:rFonts w:cs="Arial"/>
                <w:sz w:val="20"/>
                <w:szCs w:val="20"/>
              </w:rPr>
              <w:t>432,228</w:t>
            </w:r>
          </w:p>
        </w:tc>
      </w:tr>
      <w:tr w:rsidR="00247AD2" w:rsidRPr="00672714" w14:paraId="527FFF8E" w14:textId="77777777" w:rsidTr="006A0585">
        <w:trPr>
          <w:trHeight w:val="558"/>
        </w:trPr>
        <w:tc>
          <w:tcPr>
            <w:tcW w:w="623" w:type="pct"/>
          </w:tcPr>
          <w:p w14:paraId="500F8CEF" w14:textId="77777777" w:rsidR="00247AD2" w:rsidRPr="00672714" w:rsidRDefault="00247AD2" w:rsidP="00672714">
            <w:pPr>
              <w:pStyle w:val="BodyText"/>
              <w:rPr>
                <w:rFonts w:cs="Arial"/>
                <w:sz w:val="20"/>
                <w:szCs w:val="20"/>
              </w:rPr>
            </w:pPr>
            <w:r w:rsidRPr="00672714">
              <w:rPr>
                <w:rFonts w:cs="Arial"/>
                <w:sz w:val="20"/>
                <w:szCs w:val="20"/>
              </w:rPr>
              <w:t>$445,001 – $470,000</w:t>
            </w:r>
          </w:p>
        </w:tc>
        <w:tc>
          <w:tcPr>
            <w:tcW w:w="424" w:type="pct"/>
          </w:tcPr>
          <w:p w14:paraId="7F9E86A9" w14:textId="77777777" w:rsidR="00247AD2" w:rsidRPr="00672714" w:rsidRDefault="00247AD2" w:rsidP="00672714">
            <w:pPr>
              <w:pStyle w:val="BodyText"/>
              <w:rPr>
                <w:rFonts w:cs="Arial"/>
                <w:sz w:val="20"/>
                <w:szCs w:val="20"/>
              </w:rPr>
            </w:pPr>
            <w:r w:rsidRPr="00672714">
              <w:rPr>
                <w:rFonts w:cs="Arial"/>
                <w:sz w:val="20"/>
                <w:szCs w:val="20"/>
              </w:rPr>
              <w:t>1</w:t>
            </w:r>
          </w:p>
        </w:tc>
        <w:tc>
          <w:tcPr>
            <w:tcW w:w="450" w:type="pct"/>
          </w:tcPr>
          <w:p w14:paraId="7FA0F96D" w14:textId="77777777" w:rsidR="00247AD2" w:rsidRPr="00672714" w:rsidRDefault="00247AD2" w:rsidP="00672714">
            <w:pPr>
              <w:pStyle w:val="BodyText"/>
              <w:rPr>
                <w:rFonts w:cs="Arial"/>
                <w:sz w:val="20"/>
                <w:szCs w:val="20"/>
              </w:rPr>
            </w:pPr>
            <w:r w:rsidRPr="00672714">
              <w:rPr>
                <w:rFonts w:cs="Arial"/>
                <w:sz w:val="20"/>
                <w:szCs w:val="20"/>
              </w:rPr>
              <w:t>365,708</w:t>
            </w:r>
          </w:p>
        </w:tc>
        <w:tc>
          <w:tcPr>
            <w:tcW w:w="400" w:type="pct"/>
          </w:tcPr>
          <w:p w14:paraId="5D8DCA80" w14:textId="77777777" w:rsidR="00247AD2" w:rsidRPr="00672714" w:rsidRDefault="00247AD2" w:rsidP="00672714">
            <w:pPr>
              <w:pStyle w:val="BodyText"/>
              <w:rPr>
                <w:rFonts w:cs="Arial"/>
                <w:sz w:val="20"/>
                <w:szCs w:val="20"/>
              </w:rPr>
            </w:pPr>
            <w:r w:rsidRPr="00672714">
              <w:rPr>
                <w:rFonts w:cs="Arial"/>
                <w:sz w:val="20"/>
                <w:szCs w:val="20"/>
              </w:rPr>
              <w:t>0</w:t>
            </w:r>
          </w:p>
        </w:tc>
        <w:tc>
          <w:tcPr>
            <w:tcW w:w="537" w:type="pct"/>
          </w:tcPr>
          <w:p w14:paraId="239E6CBD" w14:textId="77777777" w:rsidR="00247AD2" w:rsidRPr="00672714" w:rsidRDefault="00247AD2" w:rsidP="00672714">
            <w:pPr>
              <w:pStyle w:val="BodyText"/>
              <w:rPr>
                <w:rFonts w:cs="Arial"/>
                <w:sz w:val="20"/>
                <w:szCs w:val="20"/>
              </w:rPr>
            </w:pPr>
            <w:r w:rsidRPr="00672714">
              <w:rPr>
                <w:rFonts w:cs="Arial"/>
                <w:sz w:val="20"/>
                <w:szCs w:val="20"/>
              </w:rPr>
              <w:t>1,415</w:t>
            </w:r>
          </w:p>
        </w:tc>
        <w:tc>
          <w:tcPr>
            <w:tcW w:w="624" w:type="pct"/>
          </w:tcPr>
          <w:p w14:paraId="0FBE5924" w14:textId="77777777" w:rsidR="00247AD2" w:rsidRPr="00672714" w:rsidRDefault="00247AD2" w:rsidP="00672714">
            <w:pPr>
              <w:pStyle w:val="BodyText"/>
              <w:rPr>
                <w:rFonts w:cs="Arial"/>
                <w:sz w:val="20"/>
                <w:szCs w:val="20"/>
              </w:rPr>
            </w:pPr>
            <w:r w:rsidRPr="00672714">
              <w:rPr>
                <w:rFonts w:cs="Arial"/>
                <w:sz w:val="20"/>
                <w:szCs w:val="20"/>
              </w:rPr>
              <w:t>61,978</w:t>
            </w:r>
          </w:p>
        </w:tc>
        <w:tc>
          <w:tcPr>
            <w:tcW w:w="425" w:type="pct"/>
          </w:tcPr>
          <w:p w14:paraId="146E82B0" w14:textId="77777777" w:rsidR="00247AD2" w:rsidRPr="00672714" w:rsidRDefault="00247AD2" w:rsidP="00672714">
            <w:pPr>
              <w:pStyle w:val="BodyText"/>
              <w:rPr>
                <w:rFonts w:cs="Arial"/>
                <w:sz w:val="20"/>
                <w:szCs w:val="20"/>
              </w:rPr>
            </w:pPr>
            <w:r w:rsidRPr="00672714">
              <w:rPr>
                <w:rFonts w:cs="Arial"/>
                <w:sz w:val="20"/>
                <w:szCs w:val="20"/>
              </w:rPr>
              <w:t>21,009</w:t>
            </w:r>
          </w:p>
        </w:tc>
        <w:tc>
          <w:tcPr>
            <w:tcW w:w="443" w:type="pct"/>
          </w:tcPr>
          <w:p w14:paraId="6E984DC9" w14:textId="77777777" w:rsidR="00247AD2" w:rsidRPr="00672714" w:rsidRDefault="00247AD2" w:rsidP="00672714">
            <w:pPr>
              <w:pStyle w:val="BodyText"/>
              <w:rPr>
                <w:rFonts w:cs="Arial"/>
                <w:sz w:val="20"/>
                <w:szCs w:val="20"/>
              </w:rPr>
            </w:pPr>
            <w:r w:rsidRPr="00672714">
              <w:rPr>
                <w:rFonts w:cs="Arial"/>
                <w:sz w:val="20"/>
                <w:szCs w:val="20"/>
              </w:rPr>
              <w:t>0</w:t>
            </w:r>
          </w:p>
        </w:tc>
        <w:tc>
          <w:tcPr>
            <w:tcW w:w="519" w:type="pct"/>
          </w:tcPr>
          <w:p w14:paraId="63ED0C88" w14:textId="77777777" w:rsidR="00247AD2" w:rsidRPr="00672714" w:rsidRDefault="00247AD2" w:rsidP="00672714">
            <w:pPr>
              <w:pStyle w:val="BodyText"/>
              <w:rPr>
                <w:rFonts w:cs="Arial"/>
                <w:sz w:val="20"/>
                <w:szCs w:val="20"/>
              </w:rPr>
            </w:pPr>
            <w:r w:rsidRPr="00672714">
              <w:rPr>
                <w:rFonts w:cs="Arial"/>
                <w:sz w:val="20"/>
                <w:szCs w:val="20"/>
              </w:rPr>
              <w:t>0</w:t>
            </w:r>
          </w:p>
        </w:tc>
        <w:tc>
          <w:tcPr>
            <w:tcW w:w="556" w:type="pct"/>
          </w:tcPr>
          <w:p w14:paraId="1806A8A2" w14:textId="77777777" w:rsidR="00247AD2" w:rsidRPr="00672714" w:rsidRDefault="00247AD2" w:rsidP="00672714">
            <w:pPr>
              <w:pStyle w:val="BodyText"/>
              <w:rPr>
                <w:rFonts w:cs="Arial"/>
                <w:sz w:val="20"/>
                <w:szCs w:val="20"/>
              </w:rPr>
            </w:pPr>
            <w:r w:rsidRPr="00672714">
              <w:rPr>
                <w:rStyle w:val="Bold"/>
                <w:rFonts w:cs="Arial"/>
                <w:sz w:val="20"/>
                <w:szCs w:val="20"/>
              </w:rPr>
              <w:t>450,110</w:t>
            </w:r>
          </w:p>
        </w:tc>
      </w:tr>
      <w:tr w:rsidR="00247AD2" w:rsidRPr="00672714" w14:paraId="166424C1" w14:textId="77777777" w:rsidTr="006A0585">
        <w:trPr>
          <w:trHeight w:val="558"/>
        </w:trPr>
        <w:tc>
          <w:tcPr>
            <w:tcW w:w="623" w:type="pct"/>
          </w:tcPr>
          <w:p w14:paraId="137BC6FA" w14:textId="77777777" w:rsidR="00247AD2" w:rsidRPr="00672714" w:rsidRDefault="00247AD2" w:rsidP="00672714">
            <w:pPr>
              <w:pStyle w:val="BodyText"/>
              <w:rPr>
                <w:rFonts w:cs="Arial"/>
                <w:sz w:val="20"/>
                <w:szCs w:val="20"/>
              </w:rPr>
            </w:pPr>
            <w:r w:rsidRPr="00672714">
              <w:rPr>
                <w:rFonts w:cs="Arial"/>
                <w:sz w:val="20"/>
                <w:szCs w:val="20"/>
              </w:rPr>
              <w:t>$470,001 – $495,000</w:t>
            </w:r>
          </w:p>
        </w:tc>
        <w:tc>
          <w:tcPr>
            <w:tcW w:w="424" w:type="pct"/>
          </w:tcPr>
          <w:p w14:paraId="0E8D16E0" w14:textId="77777777" w:rsidR="00247AD2" w:rsidRPr="00672714" w:rsidRDefault="00247AD2" w:rsidP="00672714">
            <w:pPr>
              <w:pStyle w:val="BodyText"/>
              <w:rPr>
                <w:rFonts w:cs="Arial"/>
                <w:sz w:val="20"/>
                <w:szCs w:val="20"/>
              </w:rPr>
            </w:pPr>
            <w:r w:rsidRPr="00672714">
              <w:rPr>
                <w:rFonts w:cs="Arial"/>
                <w:sz w:val="20"/>
                <w:szCs w:val="20"/>
              </w:rPr>
              <w:t>1</w:t>
            </w:r>
          </w:p>
        </w:tc>
        <w:tc>
          <w:tcPr>
            <w:tcW w:w="450" w:type="pct"/>
          </w:tcPr>
          <w:p w14:paraId="55B34FBD" w14:textId="77777777" w:rsidR="00247AD2" w:rsidRPr="00672714" w:rsidRDefault="00247AD2" w:rsidP="00672714">
            <w:pPr>
              <w:pStyle w:val="BodyText"/>
              <w:rPr>
                <w:rFonts w:cs="Arial"/>
                <w:sz w:val="20"/>
                <w:szCs w:val="20"/>
              </w:rPr>
            </w:pPr>
            <w:r w:rsidRPr="00672714">
              <w:rPr>
                <w:rFonts w:cs="Arial"/>
                <w:sz w:val="20"/>
                <w:szCs w:val="20"/>
              </w:rPr>
              <w:t>379,592</w:t>
            </w:r>
          </w:p>
        </w:tc>
        <w:tc>
          <w:tcPr>
            <w:tcW w:w="400" w:type="pct"/>
          </w:tcPr>
          <w:p w14:paraId="5B06E09F" w14:textId="77777777" w:rsidR="00247AD2" w:rsidRPr="00672714" w:rsidRDefault="00247AD2" w:rsidP="00672714">
            <w:pPr>
              <w:pStyle w:val="BodyText"/>
              <w:rPr>
                <w:rFonts w:cs="Arial"/>
                <w:sz w:val="20"/>
                <w:szCs w:val="20"/>
              </w:rPr>
            </w:pPr>
            <w:r w:rsidRPr="00672714">
              <w:rPr>
                <w:rFonts w:cs="Arial"/>
                <w:sz w:val="20"/>
                <w:szCs w:val="20"/>
              </w:rPr>
              <w:t>0</w:t>
            </w:r>
          </w:p>
        </w:tc>
        <w:tc>
          <w:tcPr>
            <w:tcW w:w="537" w:type="pct"/>
          </w:tcPr>
          <w:p w14:paraId="31E4213C" w14:textId="77777777" w:rsidR="00247AD2" w:rsidRPr="00672714" w:rsidRDefault="00247AD2" w:rsidP="00672714">
            <w:pPr>
              <w:pStyle w:val="BodyText"/>
              <w:rPr>
                <w:rFonts w:cs="Arial"/>
                <w:sz w:val="20"/>
                <w:szCs w:val="20"/>
              </w:rPr>
            </w:pPr>
            <w:r w:rsidRPr="00672714">
              <w:rPr>
                <w:rFonts w:cs="Arial"/>
                <w:sz w:val="20"/>
                <w:szCs w:val="20"/>
              </w:rPr>
              <w:t>20,415</w:t>
            </w:r>
          </w:p>
        </w:tc>
        <w:tc>
          <w:tcPr>
            <w:tcW w:w="624" w:type="pct"/>
          </w:tcPr>
          <w:p w14:paraId="17DBBCBD" w14:textId="77777777" w:rsidR="00247AD2" w:rsidRPr="00672714" w:rsidRDefault="00247AD2" w:rsidP="00672714">
            <w:pPr>
              <w:pStyle w:val="BodyText"/>
              <w:rPr>
                <w:rFonts w:cs="Arial"/>
                <w:sz w:val="20"/>
                <w:szCs w:val="20"/>
              </w:rPr>
            </w:pPr>
            <w:r w:rsidRPr="00672714">
              <w:rPr>
                <w:rFonts w:cs="Arial"/>
                <w:sz w:val="20"/>
                <w:szCs w:val="20"/>
              </w:rPr>
              <w:t>67,631</w:t>
            </w:r>
          </w:p>
        </w:tc>
        <w:tc>
          <w:tcPr>
            <w:tcW w:w="425" w:type="pct"/>
          </w:tcPr>
          <w:p w14:paraId="63E44C24" w14:textId="77777777" w:rsidR="00247AD2" w:rsidRPr="00672714" w:rsidRDefault="00247AD2" w:rsidP="00672714">
            <w:pPr>
              <w:pStyle w:val="BodyText"/>
              <w:rPr>
                <w:rFonts w:cs="Arial"/>
                <w:sz w:val="20"/>
                <w:szCs w:val="20"/>
              </w:rPr>
            </w:pPr>
            <w:r w:rsidRPr="00672714">
              <w:rPr>
                <w:rFonts w:cs="Arial"/>
                <w:sz w:val="20"/>
                <w:szCs w:val="20"/>
              </w:rPr>
              <w:t>21,092</w:t>
            </w:r>
          </w:p>
        </w:tc>
        <w:tc>
          <w:tcPr>
            <w:tcW w:w="443" w:type="pct"/>
          </w:tcPr>
          <w:p w14:paraId="4849E4BC" w14:textId="77777777" w:rsidR="00247AD2" w:rsidRPr="00672714" w:rsidRDefault="00247AD2" w:rsidP="00672714">
            <w:pPr>
              <w:pStyle w:val="BodyText"/>
              <w:rPr>
                <w:rFonts w:cs="Arial"/>
                <w:sz w:val="20"/>
                <w:szCs w:val="20"/>
              </w:rPr>
            </w:pPr>
            <w:r w:rsidRPr="00672714">
              <w:rPr>
                <w:rFonts w:cs="Arial"/>
                <w:sz w:val="20"/>
                <w:szCs w:val="20"/>
              </w:rPr>
              <w:t>0</w:t>
            </w:r>
          </w:p>
        </w:tc>
        <w:tc>
          <w:tcPr>
            <w:tcW w:w="519" w:type="pct"/>
          </w:tcPr>
          <w:p w14:paraId="55D8CA1A" w14:textId="77777777" w:rsidR="00247AD2" w:rsidRPr="00672714" w:rsidRDefault="00247AD2" w:rsidP="00672714">
            <w:pPr>
              <w:pStyle w:val="BodyText"/>
              <w:rPr>
                <w:rFonts w:cs="Arial"/>
                <w:sz w:val="20"/>
                <w:szCs w:val="20"/>
              </w:rPr>
            </w:pPr>
            <w:r w:rsidRPr="00672714">
              <w:rPr>
                <w:rFonts w:cs="Arial"/>
                <w:sz w:val="20"/>
                <w:szCs w:val="20"/>
              </w:rPr>
              <w:t>0</w:t>
            </w:r>
          </w:p>
        </w:tc>
        <w:tc>
          <w:tcPr>
            <w:tcW w:w="556" w:type="pct"/>
          </w:tcPr>
          <w:p w14:paraId="78CE1E0F" w14:textId="77777777" w:rsidR="00247AD2" w:rsidRPr="00672714" w:rsidRDefault="00247AD2" w:rsidP="00672714">
            <w:pPr>
              <w:pStyle w:val="BodyText"/>
              <w:rPr>
                <w:rFonts w:cs="Arial"/>
                <w:sz w:val="20"/>
                <w:szCs w:val="20"/>
              </w:rPr>
            </w:pPr>
            <w:r w:rsidRPr="00672714">
              <w:rPr>
                <w:rStyle w:val="Bold"/>
                <w:rFonts w:cs="Arial"/>
                <w:sz w:val="20"/>
                <w:szCs w:val="20"/>
              </w:rPr>
              <w:t>488,730</w:t>
            </w:r>
          </w:p>
        </w:tc>
      </w:tr>
    </w:tbl>
    <w:p w14:paraId="0991512E" w14:textId="075C2288" w:rsidR="00247AD2" w:rsidRDefault="00247AD2" w:rsidP="00247AD2">
      <w:pPr>
        <w:pStyle w:val="ProductCode"/>
      </w:pPr>
      <w:r>
        <w:t xml:space="preserve">(a) Includes base salary, annual leave benefit, bonuses, allowances, and other benefits. </w:t>
      </w:r>
    </w:p>
    <w:p w14:paraId="26E41752" w14:textId="09764775" w:rsidR="00247AD2" w:rsidRDefault="00247AD2" w:rsidP="00247AD2">
      <w:pPr>
        <w:pStyle w:val="ProductCode"/>
      </w:pPr>
      <w:r>
        <w:t xml:space="preserve">(b) Includes contributed superannuation depending on the employee’s scheme. When an employee is in a defined contribution scheme, such as PSSap, this will be the superannuation amount on the individual’s pay slip. When an employee </w:t>
      </w:r>
      <w:r>
        <w:lastRenderedPageBreak/>
        <w:t xml:space="preserve">is in a defined benefits scheme, such as PSS and CSS, this will include the Notional Employer Contribution Amount and Employer Productivity Superannuation Contribution. </w:t>
      </w:r>
    </w:p>
    <w:p w14:paraId="175F74D1" w14:textId="2D71C340" w:rsidR="00247AD2" w:rsidRDefault="00247AD2" w:rsidP="00247AD2">
      <w:pPr>
        <w:pStyle w:val="ProductCode"/>
      </w:pPr>
      <w:r>
        <w:t xml:space="preserve">(c) Includes motor vehicle allowance and other benefits such as the provision of a car park, where applicable. </w:t>
      </w:r>
    </w:p>
    <w:p w14:paraId="4411291A" w14:textId="6DA87EA6" w:rsidR="00247AD2" w:rsidRDefault="00247AD2" w:rsidP="00247AD2">
      <w:pPr>
        <w:pStyle w:val="ProductCode"/>
      </w:pPr>
      <w:r>
        <w:t xml:space="preserve">(d) Figures are reported on an accrual basis and reference employee expenses incurred by the agency over the financial year. </w:t>
      </w:r>
    </w:p>
    <w:p w14:paraId="6162A69B" w14:textId="13AA108A" w:rsidR="00247AD2" w:rsidRPr="00247AD2" w:rsidRDefault="00247AD2" w:rsidP="00247AD2">
      <w:pPr>
        <w:pStyle w:val="BodyText"/>
        <w:rPr>
          <w:b/>
          <w:bCs/>
        </w:rPr>
      </w:pPr>
      <w:r w:rsidRPr="00247AD2">
        <w:rPr>
          <w:b/>
          <w:bCs/>
        </w:rPr>
        <w:t>Table 60: Information about remuneration for other highly paid staff 2024–25</w:t>
      </w:r>
    </w:p>
    <w:tbl>
      <w:tblPr>
        <w:tblStyle w:val="TableGrid"/>
        <w:tblW w:w="5000" w:type="pct"/>
        <w:tblLook w:val="04A0" w:firstRow="1" w:lastRow="0" w:firstColumn="1" w:lastColumn="0" w:noHBand="0" w:noVBand="1"/>
        <w:tblCaption w:val="Information about remuneration for other highly paid staff 2024–25"/>
      </w:tblPr>
      <w:tblGrid>
        <w:gridCol w:w="1370"/>
        <w:gridCol w:w="864"/>
        <w:gridCol w:w="894"/>
        <w:gridCol w:w="922"/>
        <w:gridCol w:w="1268"/>
        <w:gridCol w:w="1479"/>
        <w:gridCol w:w="894"/>
        <w:gridCol w:w="894"/>
        <w:gridCol w:w="1198"/>
        <w:gridCol w:w="1313"/>
      </w:tblGrid>
      <w:tr w:rsidR="00247AD2" w:rsidRPr="00672714" w14:paraId="55F6394E" w14:textId="77777777" w:rsidTr="00672714">
        <w:trPr>
          <w:trHeight w:val="566"/>
          <w:tblHeader/>
        </w:trPr>
        <w:tc>
          <w:tcPr>
            <w:tcW w:w="574" w:type="pct"/>
          </w:tcPr>
          <w:p w14:paraId="209E722F" w14:textId="77777777" w:rsidR="00247AD2" w:rsidRPr="00672714" w:rsidRDefault="00247AD2" w:rsidP="00672714">
            <w:pPr>
              <w:pStyle w:val="BodyText"/>
              <w:rPr>
                <w:b/>
                <w:bCs/>
                <w:sz w:val="20"/>
                <w:szCs w:val="20"/>
              </w:rPr>
            </w:pPr>
            <w:r w:rsidRPr="00672714">
              <w:rPr>
                <w:b/>
                <w:bCs/>
                <w:sz w:val="20"/>
                <w:szCs w:val="20"/>
              </w:rPr>
              <w:t>Remuneration band</w:t>
            </w:r>
          </w:p>
        </w:tc>
        <w:tc>
          <w:tcPr>
            <w:tcW w:w="549" w:type="pct"/>
          </w:tcPr>
          <w:p w14:paraId="798F41CC" w14:textId="77777777" w:rsidR="00247AD2" w:rsidRPr="00672714" w:rsidRDefault="00247AD2" w:rsidP="00672714">
            <w:pPr>
              <w:pStyle w:val="BodyText"/>
              <w:rPr>
                <w:b/>
                <w:bCs/>
                <w:sz w:val="20"/>
                <w:szCs w:val="20"/>
              </w:rPr>
            </w:pPr>
            <w:r w:rsidRPr="00672714">
              <w:rPr>
                <w:b/>
                <w:bCs/>
                <w:sz w:val="20"/>
                <w:szCs w:val="20"/>
              </w:rPr>
              <w:t>Number other highly paid staff</w:t>
            </w:r>
          </w:p>
        </w:tc>
        <w:tc>
          <w:tcPr>
            <w:tcW w:w="1341" w:type="pct"/>
            <w:gridSpan w:val="3"/>
          </w:tcPr>
          <w:p w14:paraId="07DC2F51" w14:textId="77777777" w:rsidR="00247AD2" w:rsidRPr="00672714" w:rsidRDefault="00247AD2" w:rsidP="00672714">
            <w:pPr>
              <w:pStyle w:val="BodyText"/>
              <w:rPr>
                <w:b/>
                <w:bCs/>
                <w:sz w:val="20"/>
                <w:szCs w:val="20"/>
              </w:rPr>
            </w:pPr>
            <w:r w:rsidRPr="00672714">
              <w:rPr>
                <w:b/>
                <w:bCs/>
                <w:sz w:val="20"/>
                <w:szCs w:val="20"/>
              </w:rPr>
              <w:t>Short-term benefits</w:t>
            </w:r>
            <w:r w:rsidRPr="00672714">
              <w:rPr>
                <w:b/>
                <w:bCs/>
                <w:sz w:val="20"/>
                <w:szCs w:val="20"/>
                <w:vertAlign w:val="superscript"/>
              </w:rPr>
              <w:t>(a)</w:t>
            </w:r>
          </w:p>
        </w:tc>
        <w:tc>
          <w:tcPr>
            <w:tcW w:w="649" w:type="pct"/>
          </w:tcPr>
          <w:p w14:paraId="250FE1D0" w14:textId="77777777" w:rsidR="00247AD2" w:rsidRPr="00672714" w:rsidRDefault="00247AD2" w:rsidP="00672714">
            <w:pPr>
              <w:pStyle w:val="BodyText"/>
              <w:rPr>
                <w:b/>
                <w:bCs/>
                <w:sz w:val="20"/>
                <w:szCs w:val="20"/>
              </w:rPr>
            </w:pPr>
            <w:r w:rsidRPr="00672714">
              <w:rPr>
                <w:b/>
                <w:bCs/>
                <w:sz w:val="20"/>
                <w:szCs w:val="20"/>
              </w:rPr>
              <w:t>Post-employment benefits</w:t>
            </w:r>
            <w:r w:rsidRPr="00672714">
              <w:rPr>
                <w:b/>
                <w:bCs/>
                <w:sz w:val="20"/>
                <w:szCs w:val="20"/>
                <w:vertAlign w:val="superscript"/>
              </w:rPr>
              <w:t>(b)</w:t>
            </w:r>
          </w:p>
        </w:tc>
        <w:tc>
          <w:tcPr>
            <w:tcW w:w="815" w:type="pct"/>
            <w:gridSpan w:val="2"/>
          </w:tcPr>
          <w:p w14:paraId="6D56A28E" w14:textId="77777777" w:rsidR="00247AD2" w:rsidRPr="00672714" w:rsidRDefault="00247AD2" w:rsidP="00672714">
            <w:pPr>
              <w:pStyle w:val="BodyText"/>
              <w:rPr>
                <w:b/>
                <w:bCs/>
                <w:sz w:val="20"/>
                <w:szCs w:val="20"/>
              </w:rPr>
            </w:pPr>
            <w:r w:rsidRPr="00672714">
              <w:rPr>
                <w:b/>
                <w:bCs/>
                <w:sz w:val="20"/>
                <w:szCs w:val="20"/>
              </w:rPr>
              <w:t>Other long-term benefits</w:t>
            </w:r>
          </w:p>
        </w:tc>
        <w:tc>
          <w:tcPr>
            <w:tcW w:w="518" w:type="pct"/>
          </w:tcPr>
          <w:p w14:paraId="2FA7120E" w14:textId="77777777" w:rsidR="00247AD2" w:rsidRPr="00672714" w:rsidRDefault="00247AD2" w:rsidP="00672714">
            <w:pPr>
              <w:pStyle w:val="BodyText"/>
              <w:rPr>
                <w:b/>
                <w:bCs/>
                <w:sz w:val="20"/>
                <w:szCs w:val="20"/>
              </w:rPr>
            </w:pPr>
            <w:r w:rsidRPr="00672714">
              <w:rPr>
                <w:b/>
                <w:bCs/>
                <w:sz w:val="20"/>
                <w:szCs w:val="20"/>
              </w:rPr>
              <w:t xml:space="preserve">Termination benefits </w:t>
            </w:r>
          </w:p>
        </w:tc>
        <w:tc>
          <w:tcPr>
            <w:tcW w:w="555" w:type="pct"/>
          </w:tcPr>
          <w:p w14:paraId="376C6F4A" w14:textId="77777777" w:rsidR="00247AD2" w:rsidRPr="00672714" w:rsidRDefault="00247AD2" w:rsidP="00672714">
            <w:pPr>
              <w:pStyle w:val="BodyText"/>
              <w:rPr>
                <w:b/>
                <w:bCs/>
                <w:sz w:val="20"/>
                <w:szCs w:val="20"/>
              </w:rPr>
            </w:pPr>
            <w:r w:rsidRPr="00672714">
              <w:rPr>
                <w:b/>
                <w:bCs/>
                <w:sz w:val="20"/>
                <w:szCs w:val="20"/>
              </w:rPr>
              <w:t xml:space="preserve">Total remuneration </w:t>
            </w:r>
            <w:r w:rsidRPr="00672714">
              <w:rPr>
                <w:b/>
                <w:bCs/>
                <w:sz w:val="20"/>
                <w:szCs w:val="20"/>
                <w:vertAlign w:val="superscript"/>
              </w:rPr>
              <w:t>(d)</w:t>
            </w:r>
          </w:p>
        </w:tc>
      </w:tr>
      <w:tr w:rsidR="00247AD2" w:rsidRPr="00672714" w14:paraId="66320C21" w14:textId="77777777" w:rsidTr="00672714">
        <w:trPr>
          <w:trHeight w:val="566"/>
          <w:tblHeader/>
        </w:trPr>
        <w:tc>
          <w:tcPr>
            <w:tcW w:w="574" w:type="pct"/>
          </w:tcPr>
          <w:p w14:paraId="620153DA" w14:textId="77777777" w:rsidR="00247AD2" w:rsidRPr="00672714" w:rsidRDefault="00247AD2" w:rsidP="00672714">
            <w:pPr>
              <w:pStyle w:val="BodyText"/>
              <w:rPr>
                <w:rFonts w:ascii="Roboto-Medium" w:hAnsi="Roboto-Medium" w:cstheme="minorBidi"/>
                <w:sz w:val="20"/>
                <w:szCs w:val="20"/>
              </w:rPr>
            </w:pPr>
          </w:p>
        </w:tc>
        <w:tc>
          <w:tcPr>
            <w:tcW w:w="549" w:type="pct"/>
          </w:tcPr>
          <w:p w14:paraId="67FACF53" w14:textId="77777777" w:rsidR="00247AD2" w:rsidRPr="00672714" w:rsidRDefault="00247AD2" w:rsidP="00672714">
            <w:pPr>
              <w:pStyle w:val="BodyText"/>
              <w:rPr>
                <w:rFonts w:ascii="Roboto-Medium" w:hAnsi="Roboto-Medium" w:cstheme="minorBidi"/>
                <w:sz w:val="20"/>
                <w:szCs w:val="20"/>
              </w:rPr>
            </w:pPr>
          </w:p>
        </w:tc>
        <w:tc>
          <w:tcPr>
            <w:tcW w:w="399" w:type="pct"/>
          </w:tcPr>
          <w:p w14:paraId="1BF08A08" w14:textId="77777777" w:rsidR="00247AD2" w:rsidRPr="00672714" w:rsidRDefault="00247AD2" w:rsidP="00672714">
            <w:pPr>
              <w:pStyle w:val="BodyText"/>
              <w:rPr>
                <w:rStyle w:val="Bold"/>
                <w:sz w:val="20"/>
                <w:szCs w:val="20"/>
              </w:rPr>
            </w:pPr>
            <w:r w:rsidRPr="00672714">
              <w:rPr>
                <w:rStyle w:val="Bold"/>
                <w:sz w:val="20"/>
                <w:szCs w:val="20"/>
              </w:rPr>
              <w:t xml:space="preserve">Average base salary </w:t>
            </w:r>
          </w:p>
          <w:p w14:paraId="75EC1771" w14:textId="77777777" w:rsidR="00247AD2" w:rsidRPr="00672714" w:rsidRDefault="00247AD2" w:rsidP="00672714">
            <w:pPr>
              <w:pStyle w:val="BodyText"/>
              <w:rPr>
                <w:sz w:val="20"/>
                <w:szCs w:val="20"/>
              </w:rPr>
            </w:pPr>
            <w:r w:rsidRPr="00672714">
              <w:rPr>
                <w:rStyle w:val="Bold"/>
                <w:sz w:val="20"/>
                <w:szCs w:val="20"/>
              </w:rPr>
              <w:t>$</w:t>
            </w:r>
          </w:p>
        </w:tc>
        <w:tc>
          <w:tcPr>
            <w:tcW w:w="393" w:type="pct"/>
          </w:tcPr>
          <w:p w14:paraId="7D4C2F47" w14:textId="77777777" w:rsidR="00247AD2" w:rsidRPr="00672714" w:rsidRDefault="00247AD2" w:rsidP="00672714">
            <w:pPr>
              <w:pStyle w:val="BodyText"/>
              <w:rPr>
                <w:rStyle w:val="Bold"/>
                <w:sz w:val="20"/>
                <w:szCs w:val="20"/>
              </w:rPr>
            </w:pPr>
            <w:r w:rsidRPr="00672714">
              <w:rPr>
                <w:rStyle w:val="Bold"/>
                <w:sz w:val="20"/>
                <w:szCs w:val="20"/>
              </w:rPr>
              <w:t>Average bonuses</w:t>
            </w:r>
          </w:p>
          <w:p w14:paraId="6EBE9FEA" w14:textId="77777777" w:rsidR="00247AD2" w:rsidRPr="00672714" w:rsidRDefault="00247AD2" w:rsidP="00672714">
            <w:pPr>
              <w:pStyle w:val="BodyText"/>
              <w:rPr>
                <w:sz w:val="20"/>
                <w:szCs w:val="20"/>
              </w:rPr>
            </w:pPr>
            <w:r w:rsidRPr="00672714">
              <w:rPr>
                <w:rStyle w:val="Bold"/>
                <w:sz w:val="20"/>
                <w:szCs w:val="20"/>
              </w:rPr>
              <w:t>$</w:t>
            </w:r>
          </w:p>
        </w:tc>
        <w:tc>
          <w:tcPr>
            <w:tcW w:w="549" w:type="pct"/>
          </w:tcPr>
          <w:p w14:paraId="2209CE38" w14:textId="77777777" w:rsidR="00247AD2" w:rsidRPr="00672714" w:rsidRDefault="00247AD2" w:rsidP="00672714">
            <w:pPr>
              <w:pStyle w:val="BodyText"/>
              <w:rPr>
                <w:rStyle w:val="Bold"/>
                <w:sz w:val="20"/>
                <w:szCs w:val="20"/>
              </w:rPr>
            </w:pPr>
            <w:r w:rsidRPr="00672714">
              <w:rPr>
                <w:rStyle w:val="Bold"/>
                <w:sz w:val="20"/>
                <w:szCs w:val="20"/>
              </w:rPr>
              <w:t>Average other benefits and allowances</w:t>
            </w:r>
            <w:r w:rsidRPr="00672714">
              <w:rPr>
                <w:rStyle w:val="Bold"/>
                <w:sz w:val="20"/>
                <w:szCs w:val="20"/>
                <w:vertAlign w:val="superscript"/>
              </w:rPr>
              <w:t>(c)</w:t>
            </w:r>
            <w:r w:rsidRPr="00672714">
              <w:rPr>
                <w:rStyle w:val="Bold"/>
                <w:sz w:val="20"/>
                <w:szCs w:val="20"/>
              </w:rPr>
              <w:t xml:space="preserve"> </w:t>
            </w:r>
          </w:p>
          <w:p w14:paraId="6D38F7B5" w14:textId="77777777" w:rsidR="00247AD2" w:rsidRPr="00672714" w:rsidRDefault="00247AD2" w:rsidP="00672714">
            <w:pPr>
              <w:pStyle w:val="BodyText"/>
              <w:rPr>
                <w:sz w:val="20"/>
                <w:szCs w:val="20"/>
              </w:rPr>
            </w:pPr>
            <w:r w:rsidRPr="00672714">
              <w:rPr>
                <w:rStyle w:val="Bold"/>
                <w:sz w:val="20"/>
                <w:szCs w:val="20"/>
              </w:rPr>
              <w:t>$</w:t>
            </w:r>
          </w:p>
        </w:tc>
        <w:tc>
          <w:tcPr>
            <w:tcW w:w="649" w:type="pct"/>
          </w:tcPr>
          <w:p w14:paraId="3D83D1E4" w14:textId="77777777" w:rsidR="00247AD2" w:rsidRPr="00672714" w:rsidRDefault="00247AD2" w:rsidP="00672714">
            <w:pPr>
              <w:pStyle w:val="BodyText"/>
              <w:rPr>
                <w:rStyle w:val="Bold"/>
                <w:spacing w:val="-2"/>
                <w:sz w:val="20"/>
                <w:szCs w:val="20"/>
              </w:rPr>
            </w:pPr>
            <w:r w:rsidRPr="00672714">
              <w:rPr>
                <w:rStyle w:val="Bold"/>
                <w:spacing w:val="-2"/>
                <w:sz w:val="20"/>
                <w:szCs w:val="20"/>
              </w:rPr>
              <w:t>Average superannuation contributions</w:t>
            </w:r>
          </w:p>
          <w:p w14:paraId="0517EA7A" w14:textId="77777777" w:rsidR="00247AD2" w:rsidRPr="00672714" w:rsidRDefault="00247AD2" w:rsidP="00672714">
            <w:pPr>
              <w:pStyle w:val="BodyText"/>
              <w:rPr>
                <w:sz w:val="20"/>
                <w:szCs w:val="20"/>
              </w:rPr>
            </w:pPr>
            <w:r w:rsidRPr="00672714">
              <w:rPr>
                <w:rStyle w:val="Bold"/>
                <w:spacing w:val="-2"/>
                <w:sz w:val="20"/>
                <w:szCs w:val="20"/>
              </w:rPr>
              <w:t>$</w:t>
            </w:r>
          </w:p>
        </w:tc>
        <w:tc>
          <w:tcPr>
            <w:tcW w:w="381" w:type="pct"/>
          </w:tcPr>
          <w:p w14:paraId="018B0B36" w14:textId="77777777" w:rsidR="00247AD2" w:rsidRPr="00672714" w:rsidRDefault="00247AD2" w:rsidP="00672714">
            <w:pPr>
              <w:pStyle w:val="BodyText"/>
              <w:rPr>
                <w:rStyle w:val="Bold"/>
                <w:sz w:val="20"/>
                <w:szCs w:val="20"/>
              </w:rPr>
            </w:pPr>
            <w:r w:rsidRPr="00672714">
              <w:rPr>
                <w:rStyle w:val="Bold"/>
                <w:sz w:val="20"/>
                <w:szCs w:val="20"/>
              </w:rPr>
              <w:t xml:space="preserve">Average long service leave </w:t>
            </w:r>
          </w:p>
          <w:p w14:paraId="4E39D5A2" w14:textId="77777777" w:rsidR="00247AD2" w:rsidRPr="00672714" w:rsidRDefault="00247AD2" w:rsidP="00672714">
            <w:pPr>
              <w:pStyle w:val="BodyText"/>
              <w:rPr>
                <w:sz w:val="20"/>
                <w:szCs w:val="20"/>
              </w:rPr>
            </w:pPr>
            <w:r w:rsidRPr="00672714">
              <w:rPr>
                <w:rStyle w:val="Bold"/>
                <w:sz w:val="20"/>
                <w:szCs w:val="20"/>
              </w:rPr>
              <w:t>$</w:t>
            </w:r>
          </w:p>
        </w:tc>
        <w:tc>
          <w:tcPr>
            <w:tcW w:w="434" w:type="pct"/>
          </w:tcPr>
          <w:p w14:paraId="1BC5787A" w14:textId="77777777" w:rsidR="00247AD2" w:rsidRPr="00672714" w:rsidRDefault="00247AD2" w:rsidP="00672714">
            <w:pPr>
              <w:pStyle w:val="BodyText"/>
              <w:rPr>
                <w:rStyle w:val="Bold"/>
                <w:sz w:val="20"/>
                <w:szCs w:val="20"/>
              </w:rPr>
            </w:pPr>
            <w:r w:rsidRPr="00672714">
              <w:rPr>
                <w:rStyle w:val="Bold"/>
                <w:sz w:val="20"/>
                <w:szCs w:val="20"/>
              </w:rPr>
              <w:t xml:space="preserve">Average other long-term benefits </w:t>
            </w:r>
          </w:p>
          <w:p w14:paraId="01ABB059" w14:textId="77777777" w:rsidR="00247AD2" w:rsidRPr="00672714" w:rsidRDefault="00247AD2" w:rsidP="00672714">
            <w:pPr>
              <w:pStyle w:val="BodyText"/>
              <w:rPr>
                <w:sz w:val="20"/>
                <w:szCs w:val="20"/>
              </w:rPr>
            </w:pPr>
            <w:r w:rsidRPr="00672714">
              <w:rPr>
                <w:rStyle w:val="Bold"/>
                <w:sz w:val="20"/>
                <w:szCs w:val="20"/>
              </w:rPr>
              <w:t>$</w:t>
            </w:r>
          </w:p>
        </w:tc>
        <w:tc>
          <w:tcPr>
            <w:tcW w:w="518" w:type="pct"/>
          </w:tcPr>
          <w:p w14:paraId="3298F982" w14:textId="77777777" w:rsidR="00247AD2" w:rsidRPr="00672714" w:rsidRDefault="00247AD2" w:rsidP="00672714">
            <w:pPr>
              <w:pStyle w:val="BodyText"/>
              <w:rPr>
                <w:rStyle w:val="Bold"/>
                <w:sz w:val="20"/>
                <w:szCs w:val="20"/>
              </w:rPr>
            </w:pPr>
            <w:r w:rsidRPr="00672714">
              <w:rPr>
                <w:rStyle w:val="Bold"/>
                <w:sz w:val="20"/>
                <w:szCs w:val="20"/>
              </w:rPr>
              <w:t>Average termination benefits</w:t>
            </w:r>
          </w:p>
          <w:p w14:paraId="31A8CC64" w14:textId="77777777" w:rsidR="00247AD2" w:rsidRPr="00672714" w:rsidRDefault="00247AD2" w:rsidP="00672714">
            <w:pPr>
              <w:pStyle w:val="BodyText"/>
              <w:rPr>
                <w:sz w:val="20"/>
                <w:szCs w:val="20"/>
              </w:rPr>
            </w:pPr>
            <w:r w:rsidRPr="00672714">
              <w:rPr>
                <w:rStyle w:val="Bold"/>
                <w:sz w:val="20"/>
                <w:szCs w:val="20"/>
              </w:rPr>
              <w:t>$</w:t>
            </w:r>
          </w:p>
        </w:tc>
        <w:tc>
          <w:tcPr>
            <w:tcW w:w="555" w:type="pct"/>
          </w:tcPr>
          <w:p w14:paraId="33B5F2D8" w14:textId="77777777" w:rsidR="00247AD2" w:rsidRPr="00672714" w:rsidRDefault="00247AD2" w:rsidP="00672714">
            <w:pPr>
              <w:pStyle w:val="BodyText"/>
              <w:rPr>
                <w:sz w:val="20"/>
                <w:szCs w:val="20"/>
              </w:rPr>
            </w:pPr>
            <w:r w:rsidRPr="00672714">
              <w:rPr>
                <w:rStyle w:val="Bold"/>
                <w:sz w:val="20"/>
                <w:szCs w:val="20"/>
              </w:rPr>
              <w:t>Average total remuneration $</w:t>
            </w:r>
          </w:p>
        </w:tc>
      </w:tr>
      <w:tr w:rsidR="00247AD2" w:rsidRPr="00672714" w14:paraId="567F873A" w14:textId="77777777" w:rsidTr="006A0585">
        <w:trPr>
          <w:trHeight w:val="566"/>
        </w:trPr>
        <w:tc>
          <w:tcPr>
            <w:tcW w:w="574" w:type="pct"/>
          </w:tcPr>
          <w:p w14:paraId="290828A7" w14:textId="77777777" w:rsidR="00247AD2" w:rsidRPr="00672714" w:rsidRDefault="00247AD2" w:rsidP="00672714">
            <w:pPr>
              <w:pStyle w:val="BodyText"/>
              <w:rPr>
                <w:sz w:val="20"/>
                <w:szCs w:val="20"/>
              </w:rPr>
            </w:pPr>
            <w:r w:rsidRPr="00672714">
              <w:rPr>
                <w:sz w:val="20"/>
                <w:szCs w:val="20"/>
              </w:rPr>
              <w:t xml:space="preserve">$260,000 – $270,000 </w:t>
            </w:r>
          </w:p>
        </w:tc>
        <w:tc>
          <w:tcPr>
            <w:tcW w:w="549" w:type="pct"/>
          </w:tcPr>
          <w:p w14:paraId="390C6044" w14:textId="77777777" w:rsidR="00247AD2" w:rsidRPr="00672714" w:rsidRDefault="00247AD2" w:rsidP="00672714">
            <w:pPr>
              <w:pStyle w:val="BodyText"/>
              <w:rPr>
                <w:sz w:val="20"/>
                <w:szCs w:val="20"/>
              </w:rPr>
            </w:pPr>
            <w:r w:rsidRPr="00672714">
              <w:rPr>
                <w:sz w:val="20"/>
                <w:szCs w:val="20"/>
              </w:rPr>
              <w:t>8</w:t>
            </w:r>
          </w:p>
        </w:tc>
        <w:tc>
          <w:tcPr>
            <w:tcW w:w="399" w:type="pct"/>
          </w:tcPr>
          <w:p w14:paraId="2AD5E320" w14:textId="77777777" w:rsidR="00247AD2" w:rsidRPr="00672714" w:rsidRDefault="00247AD2" w:rsidP="00672714">
            <w:pPr>
              <w:pStyle w:val="BodyText"/>
              <w:rPr>
                <w:sz w:val="20"/>
                <w:szCs w:val="20"/>
              </w:rPr>
            </w:pPr>
            <w:r w:rsidRPr="00672714">
              <w:rPr>
                <w:sz w:val="20"/>
                <w:szCs w:val="20"/>
              </w:rPr>
              <w:t>210,807</w:t>
            </w:r>
          </w:p>
        </w:tc>
        <w:tc>
          <w:tcPr>
            <w:tcW w:w="393" w:type="pct"/>
          </w:tcPr>
          <w:p w14:paraId="6A7714F8" w14:textId="77777777" w:rsidR="00247AD2" w:rsidRPr="00672714" w:rsidRDefault="00247AD2" w:rsidP="00672714">
            <w:pPr>
              <w:pStyle w:val="BodyText"/>
              <w:rPr>
                <w:sz w:val="20"/>
                <w:szCs w:val="20"/>
              </w:rPr>
            </w:pPr>
            <w:r w:rsidRPr="00672714">
              <w:rPr>
                <w:sz w:val="20"/>
                <w:szCs w:val="20"/>
              </w:rPr>
              <w:t>0</w:t>
            </w:r>
          </w:p>
        </w:tc>
        <w:tc>
          <w:tcPr>
            <w:tcW w:w="549" w:type="pct"/>
          </w:tcPr>
          <w:p w14:paraId="756C5FD5" w14:textId="77777777" w:rsidR="00247AD2" w:rsidRPr="00672714" w:rsidRDefault="00247AD2" w:rsidP="00672714">
            <w:pPr>
              <w:pStyle w:val="BodyText"/>
              <w:rPr>
                <w:sz w:val="20"/>
                <w:szCs w:val="20"/>
              </w:rPr>
            </w:pPr>
            <w:r w:rsidRPr="00672714">
              <w:rPr>
                <w:sz w:val="20"/>
                <w:szCs w:val="20"/>
              </w:rPr>
              <w:t>772</w:t>
            </w:r>
          </w:p>
        </w:tc>
        <w:tc>
          <w:tcPr>
            <w:tcW w:w="649" w:type="pct"/>
          </w:tcPr>
          <w:p w14:paraId="59A5643D" w14:textId="77777777" w:rsidR="00247AD2" w:rsidRPr="00672714" w:rsidRDefault="00247AD2" w:rsidP="00672714">
            <w:pPr>
              <w:pStyle w:val="BodyText"/>
              <w:rPr>
                <w:sz w:val="20"/>
                <w:szCs w:val="20"/>
              </w:rPr>
            </w:pPr>
            <w:r w:rsidRPr="00672714">
              <w:rPr>
                <w:sz w:val="20"/>
                <w:szCs w:val="20"/>
              </w:rPr>
              <w:t>29,197</w:t>
            </w:r>
          </w:p>
        </w:tc>
        <w:tc>
          <w:tcPr>
            <w:tcW w:w="381" w:type="pct"/>
          </w:tcPr>
          <w:p w14:paraId="39036DB9" w14:textId="77777777" w:rsidR="00247AD2" w:rsidRPr="00672714" w:rsidRDefault="00247AD2" w:rsidP="00672714">
            <w:pPr>
              <w:pStyle w:val="BodyText"/>
              <w:rPr>
                <w:sz w:val="20"/>
                <w:szCs w:val="20"/>
              </w:rPr>
            </w:pPr>
            <w:r w:rsidRPr="00672714">
              <w:rPr>
                <w:sz w:val="20"/>
                <w:szCs w:val="20"/>
              </w:rPr>
              <w:t>23,984</w:t>
            </w:r>
          </w:p>
        </w:tc>
        <w:tc>
          <w:tcPr>
            <w:tcW w:w="434" w:type="pct"/>
          </w:tcPr>
          <w:p w14:paraId="53952BD2" w14:textId="77777777" w:rsidR="00247AD2" w:rsidRPr="00672714" w:rsidRDefault="00247AD2" w:rsidP="00672714">
            <w:pPr>
              <w:pStyle w:val="BodyText"/>
              <w:rPr>
                <w:sz w:val="20"/>
                <w:szCs w:val="20"/>
              </w:rPr>
            </w:pPr>
            <w:r w:rsidRPr="00672714">
              <w:rPr>
                <w:sz w:val="20"/>
                <w:szCs w:val="20"/>
              </w:rPr>
              <w:t>0</w:t>
            </w:r>
          </w:p>
        </w:tc>
        <w:tc>
          <w:tcPr>
            <w:tcW w:w="518" w:type="pct"/>
          </w:tcPr>
          <w:p w14:paraId="1CBEFA6C" w14:textId="77777777" w:rsidR="00247AD2" w:rsidRPr="00672714" w:rsidRDefault="00247AD2" w:rsidP="00672714">
            <w:pPr>
              <w:pStyle w:val="BodyText"/>
              <w:rPr>
                <w:sz w:val="20"/>
                <w:szCs w:val="20"/>
              </w:rPr>
            </w:pPr>
            <w:r w:rsidRPr="00672714">
              <w:rPr>
                <w:sz w:val="20"/>
                <w:szCs w:val="20"/>
              </w:rPr>
              <w:t>0</w:t>
            </w:r>
          </w:p>
        </w:tc>
        <w:tc>
          <w:tcPr>
            <w:tcW w:w="555" w:type="pct"/>
          </w:tcPr>
          <w:p w14:paraId="6599C09F" w14:textId="77777777" w:rsidR="00247AD2" w:rsidRPr="00672714" w:rsidRDefault="00247AD2" w:rsidP="00672714">
            <w:pPr>
              <w:pStyle w:val="BodyText"/>
              <w:rPr>
                <w:sz w:val="20"/>
                <w:szCs w:val="20"/>
              </w:rPr>
            </w:pPr>
            <w:r w:rsidRPr="00672714">
              <w:rPr>
                <w:rStyle w:val="Bold"/>
                <w:sz w:val="20"/>
                <w:szCs w:val="20"/>
              </w:rPr>
              <w:t>264,760</w:t>
            </w:r>
          </w:p>
        </w:tc>
      </w:tr>
      <w:tr w:rsidR="00247AD2" w:rsidRPr="00672714" w14:paraId="02B4EDA8" w14:textId="77777777" w:rsidTr="006A0585">
        <w:trPr>
          <w:trHeight w:val="566"/>
        </w:trPr>
        <w:tc>
          <w:tcPr>
            <w:tcW w:w="574" w:type="pct"/>
          </w:tcPr>
          <w:p w14:paraId="75739263" w14:textId="77777777" w:rsidR="00247AD2" w:rsidRPr="00672714" w:rsidRDefault="00247AD2" w:rsidP="00672714">
            <w:pPr>
              <w:pStyle w:val="BodyText"/>
              <w:rPr>
                <w:sz w:val="20"/>
                <w:szCs w:val="20"/>
              </w:rPr>
            </w:pPr>
            <w:r w:rsidRPr="00672714">
              <w:rPr>
                <w:sz w:val="20"/>
                <w:szCs w:val="20"/>
              </w:rPr>
              <w:t xml:space="preserve">$270,001 – $295,000 </w:t>
            </w:r>
          </w:p>
        </w:tc>
        <w:tc>
          <w:tcPr>
            <w:tcW w:w="549" w:type="pct"/>
          </w:tcPr>
          <w:p w14:paraId="6DC3C364" w14:textId="77777777" w:rsidR="00247AD2" w:rsidRPr="00672714" w:rsidRDefault="00247AD2" w:rsidP="00672714">
            <w:pPr>
              <w:pStyle w:val="BodyText"/>
              <w:rPr>
                <w:sz w:val="20"/>
                <w:szCs w:val="20"/>
              </w:rPr>
            </w:pPr>
            <w:r w:rsidRPr="00672714">
              <w:rPr>
                <w:sz w:val="20"/>
                <w:szCs w:val="20"/>
              </w:rPr>
              <w:t>3</w:t>
            </w:r>
          </w:p>
        </w:tc>
        <w:tc>
          <w:tcPr>
            <w:tcW w:w="399" w:type="pct"/>
          </w:tcPr>
          <w:p w14:paraId="0A2BD508" w14:textId="77777777" w:rsidR="00247AD2" w:rsidRPr="00672714" w:rsidRDefault="00247AD2" w:rsidP="00672714">
            <w:pPr>
              <w:pStyle w:val="BodyText"/>
              <w:rPr>
                <w:sz w:val="20"/>
                <w:szCs w:val="20"/>
              </w:rPr>
            </w:pPr>
            <w:r w:rsidRPr="00672714">
              <w:rPr>
                <w:sz w:val="20"/>
                <w:szCs w:val="20"/>
              </w:rPr>
              <w:t>226,566</w:t>
            </w:r>
          </w:p>
        </w:tc>
        <w:tc>
          <w:tcPr>
            <w:tcW w:w="393" w:type="pct"/>
          </w:tcPr>
          <w:p w14:paraId="4E985791" w14:textId="77777777" w:rsidR="00247AD2" w:rsidRPr="00672714" w:rsidRDefault="00247AD2" w:rsidP="00672714">
            <w:pPr>
              <w:pStyle w:val="BodyText"/>
              <w:rPr>
                <w:sz w:val="20"/>
                <w:szCs w:val="20"/>
              </w:rPr>
            </w:pPr>
            <w:r w:rsidRPr="00672714">
              <w:rPr>
                <w:sz w:val="20"/>
                <w:szCs w:val="20"/>
              </w:rPr>
              <w:t>0</w:t>
            </w:r>
          </w:p>
        </w:tc>
        <w:tc>
          <w:tcPr>
            <w:tcW w:w="549" w:type="pct"/>
          </w:tcPr>
          <w:p w14:paraId="45643057" w14:textId="77777777" w:rsidR="00247AD2" w:rsidRPr="00672714" w:rsidRDefault="00247AD2" w:rsidP="00672714">
            <w:pPr>
              <w:pStyle w:val="BodyText"/>
              <w:rPr>
                <w:sz w:val="20"/>
                <w:szCs w:val="20"/>
              </w:rPr>
            </w:pPr>
            <w:r w:rsidRPr="00672714">
              <w:rPr>
                <w:sz w:val="20"/>
                <w:szCs w:val="20"/>
              </w:rPr>
              <w:t>1,442</w:t>
            </w:r>
          </w:p>
        </w:tc>
        <w:tc>
          <w:tcPr>
            <w:tcW w:w="649" w:type="pct"/>
          </w:tcPr>
          <w:p w14:paraId="2F9F4B34" w14:textId="77777777" w:rsidR="00247AD2" w:rsidRPr="00672714" w:rsidRDefault="00247AD2" w:rsidP="00672714">
            <w:pPr>
              <w:pStyle w:val="BodyText"/>
              <w:rPr>
                <w:sz w:val="20"/>
                <w:szCs w:val="20"/>
              </w:rPr>
            </w:pPr>
            <w:r w:rsidRPr="00672714">
              <w:rPr>
                <w:sz w:val="20"/>
                <w:szCs w:val="20"/>
              </w:rPr>
              <w:t>33,030</w:t>
            </w:r>
          </w:p>
        </w:tc>
        <w:tc>
          <w:tcPr>
            <w:tcW w:w="381" w:type="pct"/>
          </w:tcPr>
          <w:p w14:paraId="0D14DC51" w14:textId="77777777" w:rsidR="00247AD2" w:rsidRPr="00672714" w:rsidRDefault="00247AD2" w:rsidP="00672714">
            <w:pPr>
              <w:pStyle w:val="BodyText"/>
              <w:rPr>
                <w:sz w:val="20"/>
                <w:szCs w:val="20"/>
              </w:rPr>
            </w:pPr>
            <w:r w:rsidRPr="00672714">
              <w:rPr>
                <w:sz w:val="20"/>
                <w:szCs w:val="20"/>
              </w:rPr>
              <w:t>16,362</w:t>
            </w:r>
          </w:p>
        </w:tc>
        <w:tc>
          <w:tcPr>
            <w:tcW w:w="434" w:type="pct"/>
          </w:tcPr>
          <w:p w14:paraId="7454BB68" w14:textId="77777777" w:rsidR="00247AD2" w:rsidRPr="00672714" w:rsidRDefault="00247AD2" w:rsidP="00672714">
            <w:pPr>
              <w:pStyle w:val="BodyText"/>
              <w:rPr>
                <w:sz w:val="20"/>
                <w:szCs w:val="20"/>
              </w:rPr>
            </w:pPr>
            <w:r w:rsidRPr="00672714">
              <w:rPr>
                <w:sz w:val="20"/>
                <w:szCs w:val="20"/>
              </w:rPr>
              <w:t>0</w:t>
            </w:r>
          </w:p>
        </w:tc>
        <w:tc>
          <w:tcPr>
            <w:tcW w:w="518" w:type="pct"/>
          </w:tcPr>
          <w:p w14:paraId="71A67685" w14:textId="77777777" w:rsidR="00247AD2" w:rsidRPr="00672714" w:rsidRDefault="00247AD2" w:rsidP="00672714">
            <w:pPr>
              <w:pStyle w:val="BodyText"/>
              <w:rPr>
                <w:sz w:val="20"/>
                <w:szCs w:val="20"/>
              </w:rPr>
            </w:pPr>
            <w:r w:rsidRPr="00672714">
              <w:rPr>
                <w:sz w:val="20"/>
                <w:szCs w:val="20"/>
              </w:rPr>
              <w:t>0</w:t>
            </w:r>
          </w:p>
        </w:tc>
        <w:tc>
          <w:tcPr>
            <w:tcW w:w="555" w:type="pct"/>
          </w:tcPr>
          <w:p w14:paraId="1A1DC255" w14:textId="77777777" w:rsidR="00247AD2" w:rsidRPr="00672714" w:rsidRDefault="00247AD2" w:rsidP="00672714">
            <w:pPr>
              <w:pStyle w:val="BodyText"/>
              <w:rPr>
                <w:sz w:val="20"/>
                <w:szCs w:val="20"/>
              </w:rPr>
            </w:pPr>
            <w:r w:rsidRPr="00672714">
              <w:rPr>
                <w:rStyle w:val="Bold"/>
                <w:sz w:val="20"/>
                <w:szCs w:val="20"/>
              </w:rPr>
              <w:t>277,400</w:t>
            </w:r>
          </w:p>
        </w:tc>
      </w:tr>
      <w:tr w:rsidR="00247AD2" w:rsidRPr="00672714" w14:paraId="66DA1D9B" w14:textId="77777777" w:rsidTr="006A0585">
        <w:trPr>
          <w:trHeight w:val="566"/>
        </w:trPr>
        <w:tc>
          <w:tcPr>
            <w:tcW w:w="574" w:type="pct"/>
          </w:tcPr>
          <w:p w14:paraId="720DF10A" w14:textId="77777777" w:rsidR="00247AD2" w:rsidRPr="00672714" w:rsidRDefault="00247AD2" w:rsidP="00672714">
            <w:pPr>
              <w:pStyle w:val="BodyText"/>
              <w:rPr>
                <w:sz w:val="20"/>
                <w:szCs w:val="20"/>
              </w:rPr>
            </w:pPr>
            <w:r w:rsidRPr="00672714">
              <w:rPr>
                <w:sz w:val="20"/>
                <w:szCs w:val="20"/>
              </w:rPr>
              <w:t xml:space="preserve">$295,001 – $320,000 </w:t>
            </w:r>
          </w:p>
        </w:tc>
        <w:tc>
          <w:tcPr>
            <w:tcW w:w="549" w:type="pct"/>
          </w:tcPr>
          <w:p w14:paraId="1BE4F084" w14:textId="77777777" w:rsidR="00247AD2" w:rsidRPr="00672714" w:rsidRDefault="00247AD2" w:rsidP="00672714">
            <w:pPr>
              <w:pStyle w:val="BodyText"/>
              <w:rPr>
                <w:sz w:val="20"/>
                <w:szCs w:val="20"/>
              </w:rPr>
            </w:pPr>
            <w:r w:rsidRPr="00672714">
              <w:rPr>
                <w:sz w:val="20"/>
                <w:szCs w:val="20"/>
              </w:rPr>
              <w:t>1</w:t>
            </w:r>
          </w:p>
        </w:tc>
        <w:tc>
          <w:tcPr>
            <w:tcW w:w="399" w:type="pct"/>
          </w:tcPr>
          <w:p w14:paraId="38EBC74E" w14:textId="77777777" w:rsidR="00247AD2" w:rsidRPr="00672714" w:rsidRDefault="00247AD2" w:rsidP="00672714">
            <w:pPr>
              <w:pStyle w:val="BodyText"/>
              <w:rPr>
                <w:sz w:val="20"/>
                <w:szCs w:val="20"/>
              </w:rPr>
            </w:pPr>
            <w:r w:rsidRPr="00672714">
              <w:rPr>
                <w:sz w:val="20"/>
                <w:szCs w:val="20"/>
              </w:rPr>
              <w:t>88,423</w:t>
            </w:r>
          </w:p>
        </w:tc>
        <w:tc>
          <w:tcPr>
            <w:tcW w:w="393" w:type="pct"/>
          </w:tcPr>
          <w:p w14:paraId="4849BC86" w14:textId="77777777" w:rsidR="00247AD2" w:rsidRPr="00672714" w:rsidRDefault="00247AD2" w:rsidP="00672714">
            <w:pPr>
              <w:pStyle w:val="BodyText"/>
              <w:rPr>
                <w:sz w:val="20"/>
                <w:szCs w:val="20"/>
              </w:rPr>
            </w:pPr>
            <w:r w:rsidRPr="00672714">
              <w:rPr>
                <w:sz w:val="20"/>
                <w:szCs w:val="20"/>
              </w:rPr>
              <w:t>0</w:t>
            </w:r>
          </w:p>
        </w:tc>
        <w:tc>
          <w:tcPr>
            <w:tcW w:w="549" w:type="pct"/>
          </w:tcPr>
          <w:p w14:paraId="4FD23B91" w14:textId="77777777" w:rsidR="00247AD2" w:rsidRPr="00672714" w:rsidRDefault="00247AD2" w:rsidP="00672714">
            <w:pPr>
              <w:pStyle w:val="BodyText"/>
              <w:rPr>
                <w:sz w:val="20"/>
                <w:szCs w:val="20"/>
              </w:rPr>
            </w:pPr>
            <w:r w:rsidRPr="00672714">
              <w:rPr>
                <w:sz w:val="20"/>
                <w:szCs w:val="20"/>
              </w:rPr>
              <w:t>193,581</w:t>
            </w:r>
          </w:p>
        </w:tc>
        <w:tc>
          <w:tcPr>
            <w:tcW w:w="649" w:type="pct"/>
          </w:tcPr>
          <w:p w14:paraId="4F44102D" w14:textId="77777777" w:rsidR="00247AD2" w:rsidRPr="00672714" w:rsidRDefault="00247AD2" w:rsidP="00672714">
            <w:pPr>
              <w:pStyle w:val="BodyText"/>
              <w:rPr>
                <w:sz w:val="20"/>
                <w:szCs w:val="20"/>
              </w:rPr>
            </w:pPr>
            <w:r w:rsidRPr="00672714">
              <w:rPr>
                <w:sz w:val="20"/>
                <w:szCs w:val="20"/>
              </w:rPr>
              <w:t>13,844</w:t>
            </w:r>
          </w:p>
        </w:tc>
        <w:tc>
          <w:tcPr>
            <w:tcW w:w="381" w:type="pct"/>
          </w:tcPr>
          <w:p w14:paraId="012D7AC6" w14:textId="77777777" w:rsidR="00247AD2" w:rsidRPr="00672714" w:rsidRDefault="00247AD2" w:rsidP="00672714">
            <w:pPr>
              <w:pStyle w:val="BodyText"/>
              <w:rPr>
                <w:sz w:val="20"/>
                <w:szCs w:val="20"/>
              </w:rPr>
            </w:pPr>
            <w:r w:rsidRPr="00672714">
              <w:rPr>
                <w:sz w:val="20"/>
                <w:szCs w:val="20"/>
              </w:rPr>
              <w:t>345</w:t>
            </w:r>
          </w:p>
        </w:tc>
        <w:tc>
          <w:tcPr>
            <w:tcW w:w="434" w:type="pct"/>
          </w:tcPr>
          <w:p w14:paraId="48CBAB09" w14:textId="77777777" w:rsidR="00247AD2" w:rsidRPr="00672714" w:rsidRDefault="00247AD2" w:rsidP="00672714">
            <w:pPr>
              <w:pStyle w:val="BodyText"/>
              <w:rPr>
                <w:sz w:val="20"/>
                <w:szCs w:val="20"/>
              </w:rPr>
            </w:pPr>
            <w:r w:rsidRPr="00672714">
              <w:rPr>
                <w:sz w:val="20"/>
                <w:szCs w:val="20"/>
              </w:rPr>
              <w:t>0</w:t>
            </w:r>
          </w:p>
        </w:tc>
        <w:tc>
          <w:tcPr>
            <w:tcW w:w="518" w:type="pct"/>
          </w:tcPr>
          <w:p w14:paraId="486D5F72" w14:textId="77777777" w:rsidR="00247AD2" w:rsidRPr="00672714" w:rsidRDefault="00247AD2" w:rsidP="00672714">
            <w:pPr>
              <w:pStyle w:val="BodyText"/>
              <w:rPr>
                <w:sz w:val="20"/>
                <w:szCs w:val="20"/>
              </w:rPr>
            </w:pPr>
            <w:r w:rsidRPr="00672714">
              <w:rPr>
                <w:sz w:val="20"/>
                <w:szCs w:val="20"/>
              </w:rPr>
              <w:t>0</w:t>
            </w:r>
          </w:p>
        </w:tc>
        <w:tc>
          <w:tcPr>
            <w:tcW w:w="555" w:type="pct"/>
          </w:tcPr>
          <w:p w14:paraId="26F3824A" w14:textId="77777777" w:rsidR="00247AD2" w:rsidRPr="00672714" w:rsidRDefault="00247AD2" w:rsidP="00672714">
            <w:pPr>
              <w:pStyle w:val="BodyText"/>
              <w:rPr>
                <w:sz w:val="20"/>
                <w:szCs w:val="20"/>
              </w:rPr>
            </w:pPr>
            <w:r w:rsidRPr="00672714">
              <w:rPr>
                <w:rStyle w:val="Bold"/>
                <w:sz w:val="20"/>
                <w:szCs w:val="20"/>
              </w:rPr>
              <w:t>296,193</w:t>
            </w:r>
          </w:p>
        </w:tc>
      </w:tr>
    </w:tbl>
    <w:p w14:paraId="438F4A43" w14:textId="35044C06" w:rsidR="00247AD2" w:rsidRDefault="00247AD2" w:rsidP="00247AD2">
      <w:pPr>
        <w:pStyle w:val="ProductCode"/>
      </w:pPr>
      <w:r>
        <w:t xml:space="preserve">(a) Includes base salary, annual leave benefit, bonuses, allowances, and other benefits. </w:t>
      </w:r>
    </w:p>
    <w:p w14:paraId="6B20C5BA" w14:textId="7744DD4D" w:rsidR="00247AD2" w:rsidRDefault="00247AD2" w:rsidP="00247AD2">
      <w:pPr>
        <w:pStyle w:val="ProductCode"/>
      </w:pPr>
      <w:r>
        <w:t xml:space="preserve">(b) Includes contributed superannuation depending on the scheme the employee is in. When an employee is in a defined contribution scheme, such as PSSap, this will be the superannuation amount on the individual’s pay slip. When an employee is in a defined benefits scheme, such as PSS and CSS, this will include the Notional Employer Contribution Amount and Employer Productivity Superannuation Contribution. </w:t>
      </w:r>
    </w:p>
    <w:p w14:paraId="634E6528" w14:textId="7355E96E" w:rsidR="00247AD2" w:rsidRDefault="00247AD2" w:rsidP="00247AD2">
      <w:pPr>
        <w:pStyle w:val="ProductCode"/>
      </w:pPr>
      <w:r>
        <w:t xml:space="preserve">(c) Includes motor vehicle allowance and other benefits such as the provision of a car park, where applicable. </w:t>
      </w:r>
    </w:p>
    <w:p w14:paraId="518BA1A5" w14:textId="2409A3B4" w:rsidR="00247AD2" w:rsidRDefault="00247AD2" w:rsidP="00247AD2">
      <w:pPr>
        <w:pStyle w:val="ProductCode"/>
      </w:pPr>
      <w:r>
        <w:t xml:space="preserve">(d) Figures are reported on an accrual basis and reference employee expenses incurred by the agency over the financial year. </w:t>
      </w:r>
    </w:p>
    <w:p w14:paraId="74C52947" w14:textId="77777777" w:rsidR="00247AD2" w:rsidRDefault="00247AD2" w:rsidP="00247AD2">
      <w:pPr>
        <w:pStyle w:val="Heading3"/>
      </w:pPr>
      <w:r>
        <w:t xml:space="preserve">PGPA Rule section 17AE(1)(aa)(i)-(iii) accountable authority </w:t>
      </w:r>
    </w:p>
    <w:p w14:paraId="4ACD900A" w14:textId="6F5C91D8" w:rsidR="00247AD2" w:rsidRPr="00247AD2" w:rsidRDefault="00247AD2" w:rsidP="00247AD2">
      <w:pPr>
        <w:pStyle w:val="BodyText"/>
        <w:rPr>
          <w:b/>
          <w:bCs/>
        </w:rPr>
      </w:pPr>
      <w:r w:rsidRPr="00247AD2">
        <w:rPr>
          <w:b/>
          <w:bCs/>
        </w:rPr>
        <w:t xml:space="preserve">Table 61: Details of accountable authority during 2024–25 </w:t>
      </w:r>
    </w:p>
    <w:tbl>
      <w:tblPr>
        <w:tblStyle w:val="TableGrid"/>
        <w:tblW w:w="5000" w:type="pct"/>
        <w:tblLook w:val="04A0" w:firstRow="1" w:lastRow="0" w:firstColumn="1" w:lastColumn="0" w:noHBand="0" w:noVBand="1"/>
        <w:tblCaption w:val="Details of accountable authority during 2024–25 "/>
      </w:tblPr>
      <w:tblGrid>
        <w:gridCol w:w="2710"/>
        <w:gridCol w:w="2796"/>
        <w:gridCol w:w="2796"/>
        <w:gridCol w:w="2794"/>
      </w:tblGrid>
      <w:tr w:rsidR="00247AD2" w14:paraId="06C15587" w14:textId="77777777" w:rsidTr="00672714">
        <w:trPr>
          <w:trHeight w:val="60"/>
          <w:tblHeader/>
        </w:trPr>
        <w:tc>
          <w:tcPr>
            <w:tcW w:w="1221" w:type="pct"/>
          </w:tcPr>
          <w:p w14:paraId="4B1BA43A" w14:textId="77777777" w:rsidR="00247AD2" w:rsidRPr="00891C1C" w:rsidRDefault="00247AD2" w:rsidP="00891C1C">
            <w:pPr>
              <w:pStyle w:val="BodyText"/>
              <w:rPr>
                <w:b/>
                <w:bCs/>
              </w:rPr>
            </w:pPr>
            <w:r w:rsidRPr="00891C1C">
              <w:rPr>
                <w:b/>
                <w:bCs/>
              </w:rPr>
              <w:t xml:space="preserve">Name </w:t>
            </w:r>
          </w:p>
        </w:tc>
        <w:tc>
          <w:tcPr>
            <w:tcW w:w="1260" w:type="pct"/>
          </w:tcPr>
          <w:p w14:paraId="7E7821AE" w14:textId="77777777" w:rsidR="00247AD2" w:rsidRPr="00891C1C" w:rsidRDefault="00247AD2" w:rsidP="00891C1C">
            <w:pPr>
              <w:pStyle w:val="BodyText"/>
              <w:rPr>
                <w:b/>
                <w:bCs/>
              </w:rPr>
            </w:pPr>
            <w:r w:rsidRPr="00891C1C">
              <w:rPr>
                <w:b/>
                <w:bCs/>
              </w:rPr>
              <w:t>Position title/position held</w:t>
            </w:r>
          </w:p>
        </w:tc>
        <w:tc>
          <w:tcPr>
            <w:tcW w:w="1260" w:type="pct"/>
          </w:tcPr>
          <w:p w14:paraId="61B0FD88" w14:textId="77777777" w:rsidR="00247AD2" w:rsidRPr="00891C1C" w:rsidRDefault="00247AD2" w:rsidP="00891C1C">
            <w:pPr>
              <w:pStyle w:val="BodyText"/>
              <w:rPr>
                <w:b/>
                <w:bCs/>
              </w:rPr>
            </w:pPr>
            <w:r w:rsidRPr="00891C1C">
              <w:rPr>
                <w:b/>
                <w:bCs/>
              </w:rPr>
              <w:t xml:space="preserve">Date of commencement </w:t>
            </w:r>
          </w:p>
        </w:tc>
        <w:tc>
          <w:tcPr>
            <w:tcW w:w="1260" w:type="pct"/>
          </w:tcPr>
          <w:p w14:paraId="5DFB24D8" w14:textId="77777777" w:rsidR="00247AD2" w:rsidRPr="00891C1C" w:rsidRDefault="00247AD2" w:rsidP="00891C1C">
            <w:pPr>
              <w:pStyle w:val="BodyText"/>
              <w:rPr>
                <w:b/>
                <w:bCs/>
              </w:rPr>
            </w:pPr>
            <w:r w:rsidRPr="00891C1C">
              <w:rPr>
                <w:b/>
                <w:bCs/>
              </w:rPr>
              <w:t>Date of cessation</w:t>
            </w:r>
          </w:p>
        </w:tc>
      </w:tr>
      <w:tr w:rsidR="00247AD2" w14:paraId="482DC3A2" w14:textId="77777777" w:rsidTr="006A0585">
        <w:trPr>
          <w:trHeight w:val="60"/>
        </w:trPr>
        <w:tc>
          <w:tcPr>
            <w:tcW w:w="1221" w:type="pct"/>
          </w:tcPr>
          <w:p w14:paraId="41FAD477" w14:textId="77777777" w:rsidR="00247AD2" w:rsidRDefault="00247AD2" w:rsidP="00682FFF">
            <w:pPr>
              <w:pStyle w:val="BodyText"/>
            </w:pPr>
            <w:r>
              <w:t xml:space="preserve">David Hazlehurst </w:t>
            </w:r>
          </w:p>
        </w:tc>
        <w:tc>
          <w:tcPr>
            <w:tcW w:w="1260" w:type="pct"/>
          </w:tcPr>
          <w:p w14:paraId="4EB5AA74" w14:textId="77777777" w:rsidR="00247AD2" w:rsidRDefault="00247AD2" w:rsidP="00682FFF">
            <w:pPr>
              <w:pStyle w:val="BodyText"/>
            </w:pPr>
            <w:r>
              <w:t>Chief Executive Officer</w:t>
            </w:r>
          </w:p>
        </w:tc>
        <w:tc>
          <w:tcPr>
            <w:tcW w:w="1260" w:type="pct"/>
          </w:tcPr>
          <w:p w14:paraId="2A58FA16" w14:textId="77777777" w:rsidR="00247AD2" w:rsidRDefault="00247AD2" w:rsidP="00682FFF">
            <w:pPr>
              <w:pStyle w:val="BodyText"/>
            </w:pPr>
            <w:r>
              <w:t>1 July 2024</w:t>
            </w:r>
          </w:p>
        </w:tc>
        <w:tc>
          <w:tcPr>
            <w:tcW w:w="1260" w:type="pct"/>
          </w:tcPr>
          <w:p w14:paraId="327EDE95" w14:textId="77777777" w:rsidR="00247AD2" w:rsidRDefault="00247AD2" w:rsidP="00682FFF">
            <w:pPr>
              <w:pStyle w:val="BodyText"/>
            </w:pPr>
            <w:r>
              <w:t>30 June 2025</w:t>
            </w:r>
          </w:p>
        </w:tc>
      </w:tr>
    </w:tbl>
    <w:p w14:paraId="1317D33E" w14:textId="77777777" w:rsidR="00247AD2" w:rsidRDefault="00247AD2" w:rsidP="00247AD2">
      <w:pPr>
        <w:pStyle w:val="Heading3"/>
      </w:pPr>
      <w:r>
        <w:lastRenderedPageBreak/>
        <w:t>PGPA Rule section 17AG(4)(aa) management of human resources</w:t>
      </w:r>
    </w:p>
    <w:p w14:paraId="140FBDE1" w14:textId="5863CE35" w:rsidR="00247AD2" w:rsidRPr="003C55F1" w:rsidRDefault="003C55F1" w:rsidP="003C55F1">
      <w:pPr>
        <w:pStyle w:val="BodyText"/>
        <w:rPr>
          <w:b/>
          <w:bCs/>
        </w:rPr>
      </w:pPr>
      <w:r w:rsidRPr="003C55F1">
        <w:rPr>
          <w:b/>
          <w:bCs/>
        </w:rPr>
        <w:t>Table 62:</w:t>
      </w:r>
      <w:r w:rsidR="00247AD2" w:rsidRPr="003C55F1">
        <w:rPr>
          <w:b/>
          <w:bCs/>
        </w:rPr>
        <w:t xml:space="preserve"> Australian Public Service Act ongoing employees 2024–25 (as at 30 June 2025) </w:t>
      </w:r>
    </w:p>
    <w:tbl>
      <w:tblPr>
        <w:tblStyle w:val="TableGrid"/>
        <w:tblW w:w="5000" w:type="pct"/>
        <w:tblLook w:val="04A0" w:firstRow="1" w:lastRow="0" w:firstColumn="1" w:lastColumn="0" w:noHBand="0" w:noVBand="1"/>
        <w:tblCaption w:val="Australian Public Service Act ongoing employees 2024–25 (as at 30 June 2025) "/>
      </w:tblPr>
      <w:tblGrid>
        <w:gridCol w:w="945"/>
        <w:gridCol w:w="642"/>
        <w:gridCol w:w="604"/>
        <w:gridCol w:w="691"/>
        <w:gridCol w:w="727"/>
        <w:gridCol w:w="642"/>
        <w:gridCol w:w="737"/>
        <w:gridCol w:w="576"/>
        <w:gridCol w:w="604"/>
        <w:gridCol w:w="606"/>
        <w:gridCol w:w="576"/>
        <w:gridCol w:w="604"/>
        <w:gridCol w:w="623"/>
        <w:gridCol w:w="576"/>
        <w:gridCol w:w="604"/>
        <w:gridCol w:w="623"/>
        <w:gridCol w:w="716"/>
      </w:tblGrid>
      <w:tr w:rsidR="00247AD2" w:rsidRPr="00672714" w14:paraId="34966E2D" w14:textId="77777777" w:rsidTr="00672714">
        <w:trPr>
          <w:trHeight w:val="453"/>
          <w:tblHeader/>
        </w:trPr>
        <w:tc>
          <w:tcPr>
            <w:tcW w:w="422" w:type="pct"/>
          </w:tcPr>
          <w:p w14:paraId="3AF417BC" w14:textId="77777777" w:rsidR="00247AD2" w:rsidRPr="00672714" w:rsidRDefault="00247AD2" w:rsidP="00672714">
            <w:pPr>
              <w:pStyle w:val="BodyText"/>
              <w:rPr>
                <w:sz w:val="20"/>
                <w:szCs w:val="20"/>
              </w:rPr>
            </w:pPr>
          </w:p>
        </w:tc>
        <w:tc>
          <w:tcPr>
            <w:tcW w:w="889" w:type="pct"/>
            <w:gridSpan w:val="3"/>
          </w:tcPr>
          <w:p w14:paraId="413F6D93" w14:textId="77777777" w:rsidR="00247AD2" w:rsidRPr="00672714" w:rsidRDefault="00247AD2" w:rsidP="00672714">
            <w:pPr>
              <w:pStyle w:val="BodyText"/>
              <w:rPr>
                <w:b/>
                <w:bCs/>
                <w:sz w:val="20"/>
                <w:szCs w:val="20"/>
              </w:rPr>
            </w:pPr>
            <w:r w:rsidRPr="00672714">
              <w:rPr>
                <w:b/>
                <w:bCs/>
                <w:sz w:val="20"/>
                <w:szCs w:val="20"/>
              </w:rPr>
              <w:t>Man/male</w:t>
            </w:r>
          </w:p>
        </w:tc>
        <w:tc>
          <w:tcPr>
            <w:tcW w:w="944" w:type="pct"/>
            <w:gridSpan w:val="3"/>
          </w:tcPr>
          <w:p w14:paraId="395B77EB" w14:textId="77777777" w:rsidR="00247AD2" w:rsidRPr="00672714" w:rsidRDefault="00247AD2" w:rsidP="00672714">
            <w:pPr>
              <w:pStyle w:val="BodyText"/>
              <w:rPr>
                <w:b/>
                <w:bCs/>
                <w:sz w:val="20"/>
                <w:szCs w:val="20"/>
              </w:rPr>
            </w:pPr>
            <w:r w:rsidRPr="00672714">
              <w:rPr>
                <w:b/>
                <w:bCs/>
                <w:sz w:val="20"/>
                <w:szCs w:val="20"/>
              </w:rPr>
              <w:t>Woman/female</w:t>
            </w:r>
          </w:p>
        </w:tc>
        <w:tc>
          <w:tcPr>
            <w:tcW w:w="857" w:type="pct"/>
            <w:gridSpan w:val="3"/>
          </w:tcPr>
          <w:p w14:paraId="05145235" w14:textId="77777777" w:rsidR="00247AD2" w:rsidRPr="00672714" w:rsidRDefault="00247AD2" w:rsidP="00672714">
            <w:pPr>
              <w:pStyle w:val="BodyText"/>
              <w:rPr>
                <w:b/>
                <w:bCs/>
                <w:sz w:val="20"/>
                <w:szCs w:val="20"/>
              </w:rPr>
            </w:pPr>
            <w:r w:rsidRPr="00672714">
              <w:rPr>
                <w:b/>
                <w:bCs/>
                <w:sz w:val="20"/>
                <w:szCs w:val="20"/>
              </w:rPr>
              <w:t>Non-binary</w:t>
            </w:r>
          </w:p>
        </w:tc>
        <w:tc>
          <w:tcPr>
            <w:tcW w:w="782" w:type="pct"/>
            <w:gridSpan w:val="3"/>
          </w:tcPr>
          <w:p w14:paraId="77A27AF1" w14:textId="77777777" w:rsidR="00247AD2" w:rsidRPr="00672714" w:rsidRDefault="00247AD2" w:rsidP="00672714">
            <w:pPr>
              <w:pStyle w:val="BodyText"/>
              <w:rPr>
                <w:b/>
                <w:bCs/>
                <w:sz w:val="20"/>
                <w:szCs w:val="20"/>
              </w:rPr>
            </w:pPr>
            <w:r w:rsidRPr="00672714">
              <w:rPr>
                <w:b/>
                <w:bCs/>
                <w:sz w:val="20"/>
                <w:szCs w:val="20"/>
              </w:rPr>
              <w:t>Prefers not to answer</w:t>
            </w:r>
          </w:p>
        </w:tc>
        <w:tc>
          <w:tcPr>
            <w:tcW w:w="783" w:type="pct"/>
            <w:gridSpan w:val="3"/>
          </w:tcPr>
          <w:p w14:paraId="2F535887" w14:textId="77777777" w:rsidR="00247AD2" w:rsidRPr="00672714" w:rsidRDefault="00247AD2" w:rsidP="00672714">
            <w:pPr>
              <w:pStyle w:val="BodyText"/>
              <w:rPr>
                <w:b/>
                <w:bCs/>
                <w:sz w:val="20"/>
                <w:szCs w:val="20"/>
              </w:rPr>
            </w:pPr>
            <w:r w:rsidRPr="00672714">
              <w:rPr>
                <w:b/>
                <w:bCs/>
                <w:sz w:val="20"/>
                <w:szCs w:val="20"/>
              </w:rPr>
              <w:t>Uses a different term</w:t>
            </w:r>
          </w:p>
        </w:tc>
        <w:tc>
          <w:tcPr>
            <w:tcW w:w="323" w:type="pct"/>
          </w:tcPr>
          <w:p w14:paraId="2B77F8F4" w14:textId="77777777" w:rsidR="00247AD2" w:rsidRPr="00672714" w:rsidRDefault="00247AD2" w:rsidP="00672714">
            <w:pPr>
              <w:pStyle w:val="BodyText"/>
              <w:rPr>
                <w:sz w:val="20"/>
                <w:szCs w:val="20"/>
              </w:rPr>
            </w:pPr>
            <w:r w:rsidRPr="00672714">
              <w:rPr>
                <w:rStyle w:val="Bold"/>
                <w:rFonts w:cs="Arial"/>
                <w:sz w:val="20"/>
                <w:szCs w:val="20"/>
              </w:rPr>
              <w:t>Total</w:t>
            </w:r>
          </w:p>
        </w:tc>
      </w:tr>
      <w:tr w:rsidR="006A0585" w:rsidRPr="00672714" w14:paraId="083B853A" w14:textId="77777777" w:rsidTr="00672714">
        <w:trPr>
          <w:trHeight w:val="453"/>
          <w:tblHeader/>
        </w:trPr>
        <w:tc>
          <w:tcPr>
            <w:tcW w:w="422" w:type="pct"/>
          </w:tcPr>
          <w:p w14:paraId="0A0D7D68" w14:textId="77777777" w:rsidR="00247AD2" w:rsidRPr="00672714" w:rsidRDefault="00247AD2" w:rsidP="00672714">
            <w:pPr>
              <w:pStyle w:val="BodyText"/>
              <w:rPr>
                <w:sz w:val="20"/>
                <w:szCs w:val="20"/>
              </w:rPr>
            </w:pPr>
          </w:p>
        </w:tc>
        <w:tc>
          <w:tcPr>
            <w:tcW w:w="293" w:type="pct"/>
          </w:tcPr>
          <w:p w14:paraId="4290B614" w14:textId="77777777" w:rsidR="00247AD2" w:rsidRPr="00672714" w:rsidRDefault="00247AD2" w:rsidP="00672714">
            <w:pPr>
              <w:pStyle w:val="BodyText"/>
              <w:rPr>
                <w:sz w:val="20"/>
                <w:szCs w:val="20"/>
              </w:rPr>
            </w:pPr>
            <w:r w:rsidRPr="00672714">
              <w:rPr>
                <w:rStyle w:val="Bold"/>
                <w:rFonts w:cs="Arial"/>
                <w:sz w:val="20"/>
                <w:szCs w:val="20"/>
              </w:rPr>
              <w:t>Full-time</w:t>
            </w:r>
          </w:p>
        </w:tc>
        <w:tc>
          <w:tcPr>
            <w:tcW w:w="286" w:type="pct"/>
          </w:tcPr>
          <w:p w14:paraId="44A5F90E" w14:textId="77777777" w:rsidR="00247AD2" w:rsidRPr="00672714" w:rsidRDefault="00247AD2" w:rsidP="00672714">
            <w:pPr>
              <w:pStyle w:val="BodyText"/>
              <w:rPr>
                <w:sz w:val="20"/>
                <w:szCs w:val="20"/>
              </w:rPr>
            </w:pPr>
            <w:r w:rsidRPr="00672714">
              <w:rPr>
                <w:rStyle w:val="Bold"/>
                <w:rFonts w:cs="Arial"/>
                <w:sz w:val="20"/>
                <w:szCs w:val="20"/>
              </w:rPr>
              <w:t>Part-time</w:t>
            </w:r>
          </w:p>
        </w:tc>
        <w:tc>
          <w:tcPr>
            <w:tcW w:w="310" w:type="pct"/>
          </w:tcPr>
          <w:p w14:paraId="2E50551F" w14:textId="77777777" w:rsidR="00247AD2" w:rsidRPr="00672714" w:rsidRDefault="00247AD2" w:rsidP="00672714">
            <w:pPr>
              <w:pStyle w:val="BodyText"/>
              <w:rPr>
                <w:sz w:val="20"/>
                <w:szCs w:val="20"/>
              </w:rPr>
            </w:pPr>
            <w:r w:rsidRPr="00672714">
              <w:rPr>
                <w:rStyle w:val="Bold"/>
                <w:rFonts w:cs="Arial"/>
                <w:sz w:val="20"/>
                <w:szCs w:val="20"/>
              </w:rPr>
              <w:t>Total</w:t>
            </w:r>
          </w:p>
        </w:tc>
        <w:tc>
          <w:tcPr>
            <w:tcW w:w="323" w:type="pct"/>
          </w:tcPr>
          <w:p w14:paraId="5ADE413B" w14:textId="77777777" w:rsidR="00247AD2" w:rsidRPr="00672714" w:rsidRDefault="00247AD2" w:rsidP="00672714">
            <w:pPr>
              <w:pStyle w:val="BodyText"/>
              <w:rPr>
                <w:sz w:val="20"/>
                <w:szCs w:val="20"/>
              </w:rPr>
            </w:pPr>
            <w:r w:rsidRPr="00672714">
              <w:rPr>
                <w:rStyle w:val="Bold"/>
                <w:rFonts w:cs="Arial"/>
                <w:sz w:val="20"/>
                <w:szCs w:val="20"/>
              </w:rPr>
              <w:t>Full-time</w:t>
            </w:r>
          </w:p>
        </w:tc>
        <w:tc>
          <w:tcPr>
            <w:tcW w:w="298" w:type="pct"/>
          </w:tcPr>
          <w:p w14:paraId="1B794C67" w14:textId="77777777" w:rsidR="00247AD2" w:rsidRPr="00672714" w:rsidRDefault="00247AD2" w:rsidP="00672714">
            <w:pPr>
              <w:pStyle w:val="BodyText"/>
              <w:rPr>
                <w:sz w:val="20"/>
                <w:szCs w:val="20"/>
              </w:rPr>
            </w:pPr>
            <w:r w:rsidRPr="00672714">
              <w:rPr>
                <w:rStyle w:val="Bold"/>
                <w:rFonts w:cs="Arial"/>
                <w:sz w:val="20"/>
                <w:szCs w:val="20"/>
              </w:rPr>
              <w:t>Part-time</w:t>
            </w:r>
          </w:p>
        </w:tc>
        <w:tc>
          <w:tcPr>
            <w:tcW w:w="323" w:type="pct"/>
          </w:tcPr>
          <w:p w14:paraId="1774C856" w14:textId="77777777" w:rsidR="00247AD2" w:rsidRPr="00672714" w:rsidRDefault="00247AD2" w:rsidP="00672714">
            <w:pPr>
              <w:pStyle w:val="BodyText"/>
              <w:rPr>
                <w:sz w:val="20"/>
                <w:szCs w:val="20"/>
              </w:rPr>
            </w:pPr>
            <w:r w:rsidRPr="00672714">
              <w:rPr>
                <w:rStyle w:val="Bold"/>
                <w:rFonts w:cs="Arial"/>
                <w:sz w:val="20"/>
                <w:szCs w:val="20"/>
              </w:rPr>
              <w:t xml:space="preserve">Total </w:t>
            </w:r>
          </w:p>
        </w:tc>
        <w:tc>
          <w:tcPr>
            <w:tcW w:w="286" w:type="pct"/>
          </w:tcPr>
          <w:p w14:paraId="76365891" w14:textId="77777777" w:rsidR="00247AD2" w:rsidRPr="00672714" w:rsidRDefault="00247AD2" w:rsidP="00672714">
            <w:pPr>
              <w:pStyle w:val="BodyText"/>
              <w:rPr>
                <w:sz w:val="20"/>
                <w:szCs w:val="20"/>
              </w:rPr>
            </w:pPr>
            <w:r w:rsidRPr="00672714">
              <w:rPr>
                <w:rStyle w:val="Bold"/>
                <w:rFonts w:cs="Arial"/>
                <w:sz w:val="20"/>
                <w:szCs w:val="20"/>
              </w:rPr>
              <w:t>Full-time</w:t>
            </w:r>
          </w:p>
        </w:tc>
        <w:tc>
          <w:tcPr>
            <w:tcW w:w="286" w:type="pct"/>
          </w:tcPr>
          <w:p w14:paraId="1DF09DE7" w14:textId="77777777" w:rsidR="00247AD2" w:rsidRPr="00672714" w:rsidRDefault="00247AD2" w:rsidP="00672714">
            <w:pPr>
              <w:pStyle w:val="BodyText"/>
              <w:rPr>
                <w:sz w:val="20"/>
                <w:szCs w:val="20"/>
              </w:rPr>
            </w:pPr>
            <w:r w:rsidRPr="00672714">
              <w:rPr>
                <w:rStyle w:val="Bold"/>
                <w:rFonts w:cs="Arial"/>
                <w:sz w:val="20"/>
                <w:szCs w:val="20"/>
              </w:rPr>
              <w:t>Part-time</w:t>
            </w:r>
          </w:p>
        </w:tc>
        <w:tc>
          <w:tcPr>
            <w:tcW w:w="286" w:type="pct"/>
          </w:tcPr>
          <w:p w14:paraId="32E657B3" w14:textId="77777777" w:rsidR="00247AD2" w:rsidRPr="00672714" w:rsidRDefault="00247AD2" w:rsidP="00672714">
            <w:pPr>
              <w:pStyle w:val="BodyText"/>
              <w:rPr>
                <w:sz w:val="20"/>
                <w:szCs w:val="20"/>
              </w:rPr>
            </w:pPr>
            <w:r w:rsidRPr="00672714">
              <w:rPr>
                <w:rStyle w:val="Bold"/>
                <w:rFonts w:cs="Arial"/>
                <w:spacing w:val="-4"/>
                <w:sz w:val="20"/>
                <w:szCs w:val="20"/>
              </w:rPr>
              <w:t>Total</w:t>
            </w:r>
          </w:p>
        </w:tc>
        <w:tc>
          <w:tcPr>
            <w:tcW w:w="261" w:type="pct"/>
          </w:tcPr>
          <w:p w14:paraId="49BF2B05" w14:textId="77777777" w:rsidR="00247AD2" w:rsidRPr="00672714" w:rsidRDefault="00247AD2" w:rsidP="00672714">
            <w:pPr>
              <w:pStyle w:val="BodyText"/>
              <w:rPr>
                <w:sz w:val="20"/>
                <w:szCs w:val="20"/>
              </w:rPr>
            </w:pPr>
            <w:r w:rsidRPr="00672714">
              <w:rPr>
                <w:rStyle w:val="Bold"/>
                <w:rFonts w:cs="Arial"/>
                <w:sz w:val="20"/>
                <w:szCs w:val="20"/>
              </w:rPr>
              <w:t xml:space="preserve">Full-time </w:t>
            </w:r>
          </w:p>
        </w:tc>
        <w:tc>
          <w:tcPr>
            <w:tcW w:w="261" w:type="pct"/>
          </w:tcPr>
          <w:p w14:paraId="45E2331C" w14:textId="77777777" w:rsidR="00247AD2" w:rsidRPr="00672714" w:rsidRDefault="00247AD2" w:rsidP="00672714">
            <w:pPr>
              <w:pStyle w:val="BodyText"/>
              <w:rPr>
                <w:sz w:val="20"/>
                <w:szCs w:val="20"/>
              </w:rPr>
            </w:pPr>
            <w:r w:rsidRPr="00672714">
              <w:rPr>
                <w:rStyle w:val="Bold"/>
                <w:rFonts w:cs="Arial"/>
                <w:sz w:val="20"/>
                <w:szCs w:val="20"/>
              </w:rPr>
              <w:t xml:space="preserve">Part-time </w:t>
            </w:r>
          </w:p>
        </w:tc>
        <w:tc>
          <w:tcPr>
            <w:tcW w:w="261" w:type="pct"/>
          </w:tcPr>
          <w:p w14:paraId="11CFA047" w14:textId="77777777" w:rsidR="00247AD2" w:rsidRPr="00672714" w:rsidRDefault="00247AD2" w:rsidP="00672714">
            <w:pPr>
              <w:pStyle w:val="BodyText"/>
              <w:rPr>
                <w:sz w:val="20"/>
                <w:szCs w:val="20"/>
              </w:rPr>
            </w:pPr>
            <w:r w:rsidRPr="00672714">
              <w:rPr>
                <w:rStyle w:val="Bold"/>
                <w:rFonts w:cs="Arial"/>
                <w:sz w:val="20"/>
                <w:szCs w:val="20"/>
              </w:rPr>
              <w:t xml:space="preserve">Total </w:t>
            </w:r>
          </w:p>
        </w:tc>
        <w:tc>
          <w:tcPr>
            <w:tcW w:w="261" w:type="pct"/>
          </w:tcPr>
          <w:p w14:paraId="654474DE" w14:textId="77777777" w:rsidR="00247AD2" w:rsidRPr="00672714" w:rsidRDefault="00247AD2" w:rsidP="00672714">
            <w:pPr>
              <w:pStyle w:val="BodyText"/>
              <w:rPr>
                <w:sz w:val="20"/>
                <w:szCs w:val="20"/>
              </w:rPr>
            </w:pPr>
            <w:r w:rsidRPr="00672714">
              <w:rPr>
                <w:rStyle w:val="Bold"/>
                <w:rFonts w:cs="Arial"/>
                <w:sz w:val="20"/>
                <w:szCs w:val="20"/>
              </w:rPr>
              <w:t xml:space="preserve">Full-time </w:t>
            </w:r>
          </w:p>
        </w:tc>
        <w:tc>
          <w:tcPr>
            <w:tcW w:w="261" w:type="pct"/>
          </w:tcPr>
          <w:p w14:paraId="0E4467E1" w14:textId="77777777" w:rsidR="00247AD2" w:rsidRPr="00672714" w:rsidRDefault="00247AD2" w:rsidP="00672714">
            <w:pPr>
              <w:pStyle w:val="BodyText"/>
              <w:rPr>
                <w:sz w:val="20"/>
                <w:szCs w:val="20"/>
              </w:rPr>
            </w:pPr>
            <w:r w:rsidRPr="00672714">
              <w:rPr>
                <w:rStyle w:val="Bold"/>
                <w:rFonts w:cs="Arial"/>
                <w:sz w:val="20"/>
                <w:szCs w:val="20"/>
              </w:rPr>
              <w:t xml:space="preserve">Part-time </w:t>
            </w:r>
          </w:p>
        </w:tc>
        <w:tc>
          <w:tcPr>
            <w:tcW w:w="261" w:type="pct"/>
          </w:tcPr>
          <w:p w14:paraId="7151E68C" w14:textId="77777777" w:rsidR="00247AD2" w:rsidRPr="00672714" w:rsidRDefault="00247AD2" w:rsidP="00672714">
            <w:pPr>
              <w:pStyle w:val="BodyText"/>
              <w:rPr>
                <w:sz w:val="20"/>
                <w:szCs w:val="20"/>
              </w:rPr>
            </w:pPr>
            <w:r w:rsidRPr="00672714">
              <w:rPr>
                <w:rStyle w:val="Bold"/>
                <w:rFonts w:cs="Arial"/>
                <w:sz w:val="20"/>
                <w:szCs w:val="20"/>
              </w:rPr>
              <w:t>Total</w:t>
            </w:r>
          </w:p>
        </w:tc>
        <w:tc>
          <w:tcPr>
            <w:tcW w:w="323" w:type="pct"/>
          </w:tcPr>
          <w:p w14:paraId="6E067175" w14:textId="77777777" w:rsidR="00247AD2" w:rsidRPr="00672714" w:rsidRDefault="00247AD2" w:rsidP="00672714">
            <w:pPr>
              <w:pStyle w:val="BodyText"/>
              <w:rPr>
                <w:sz w:val="20"/>
                <w:szCs w:val="20"/>
              </w:rPr>
            </w:pPr>
          </w:p>
        </w:tc>
      </w:tr>
      <w:tr w:rsidR="006A0585" w:rsidRPr="00672714" w14:paraId="4E63D5FE" w14:textId="77777777" w:rsidTr="006A0585">
        <w:trPr>
          <w:trHeight w:val="453"/>
        </w:trPr>
        <w:tc>
          <w:tcPr>
            <w:tcW w:w="422" w:type="pct"/>
          </w:tcPr>
          <w:p w14:paraId="6E72AEF3" w14:textId="77777777" w:rsidR="00247AD2" w:rsidRPr="00672714" w:rsidRDefault="00247AD2" w:rsidP="00672714">
            <w:pPr>
              <w:pStyle w:val="BodyText"/>
              <w:rPr>
                <w:sz w:val="20"/>
                <w:szCs w:val="20"/>
              </w:rPr>
            </w:pPr>
            <w:r w:rsidRPr="00672714">
              <w:rPr>
                <w:sz w:val="20"/>
                <w:szCs w:val="20"/>
              </w:rPr>
              <w:t>NSW</w:t>
            </w:r>
          </w:p>
        </w:tc>
        <w:tc>
          <w:tcPr>
            <w:tcW w:w="293" w:type="pct"/>
          </w:tcPr>
          <w:p w14:paraId="40AE98EA" w14:textId="77777777" w:rsidR="00247AD2" w:rsidRPr="00672714" w:rsidRDefault="00247AD2" w:rsidP="00672714">
            <w:pPr>
              <w:pStyle w:val="BodyText"/>
              <w:rPr>
                <w:sz w:val="20"/>
                <w:szCs w:val="20"/>
              </w:rPr>
            </w:pPr>
            <w:r w:rsidRPr="00672714">
              <w:rPr>
                <w:sz w:val="20"/>
                <w:szCs w:val="20"/>
              </w:rPr>
              <w:t>1,928</w:t>
            </w:r>
          </w:p>
        </w:tc>
        <w:tc>
          <w:tcPr>
            <w:tcW w:w="286" w:type="pct"/>
          </w:tcPr>
          <w:p w14:paraId="052D0D92" w14:textId="77777777" w:rsidR="00247AD2" w:rsidRPr="00672714" w:rsidRDefault="00247AD2" w:rsidP="00672714">
            <w:pPr>
              <w:pStyle w:val="BodyText"/>
              <w:rPr>
                <w:sz w:val="20"/>
                <w:szCs w:val="20"/>
              </w:rPr>
            </w:pPr>
            <w:r w:rsidRPr="00672714">
              <w:rPr>
                <w:sz w:val="20"/>
                <w:szCs w:val="20"/>
              </w:rPr>
              <w:t>156</w:t>
            </w:r>
          </w:p>
        </w:tc>
        <w:tc>
          <w:tcPr>
            <w:tcW w:w="310" w:type="pct"/>
          </w:tcPr>
          <w:p w14:paraId="2C6E553C" w14:textId="77777777" w:rsidR="00247AD2" w:rsidRPr="00672714" w:rsidRDefault="00247AD2" w:rsidP="00672714">
            <w:pPr>
              <w:pStyle w:val="BodyText"/>
              <w:rPr>
                <w:sz w:val="20"/>
                <w:szCs w:val="20"/>
              </w:rPr>
            </w:pPr>
            <w:r w:rsidRPr="00672714">
              <w:rPr>
                <w:sz w:val="20"/>
                <w:szCs w:val="20"/>
              </w:rPr>
              <w:t>2,084</w:t>
            </w:r>
          </w:p>
        </w:tc>
        <w:tc>
          <w:tcPr>
            <w:tcW w:w="323" w:type="pct"/>
          </w:tcPr>
          <w:p w14:paraId="1FC8A54F" w14:textId="77777777" w:rsidR="00247AD2" w:rsidRPr="00672714" w:rsidRDefault="00247AD2" w:rsidP="00672714">
            <w:pPr>
              <w:pStyle w:val="BodyText"/>
              <w:rPr>
                <w:sz w:val="20"/>
                <w:szCs w:val="20"/>
              </w:rPr>
            </w:pPr>
            <w:r w:rsidRPr="00672714">
              <w:rPr>
                <w:sz w:val="20"/>
                <w:szCs w:val="20"/>
              </w:rPr>
              <w:t>4,554</w:t>
            </w:r>
          </w:p>
        </w:tc>
        <w:tc>
          <w:tcPr>
            <w:tcW w:w="298" w:type="pct"/>
          </w:tcPr>
          <w:p w14:paraId="6F7A7840" w14:textId="77777777" w:rsidR="00247AD2" w:rsidRPr="00672714" w:rsidRDefault="00247AD2" w:rsidP="00672714">
            <w:pPr>
              <w:pStyle w:val="BodyText"/>
              <w:rPr>
                <w:sz w:val="20"/>
                <w:szCs w:val="20"/>
              </w:rPr>
            </w:pPr>
            <w:r w:rsidRPr="00672714">
              <w:rPr>
                <w:sz w:val="20"/>
                <w:szCs w:val="20"/>
              </w:rPr>
              <w:t>1,658</w:t>
            </w:r>
          </w:p>
        </w:tc>
        <w:tc>
          <w:tcPr>
            <w:tcW w:w="323" w:type="pct"/>
          </w:tcPr>
          <w:p w14:paraId="48642410" w14:textId="77777777" w:rsidR="00247AD2" w:rsidRPr="00672714" w:rsidRDefault="00247AD2" w:rsidP="00672714">
            <w:pPr>
              <w:pStyle w:val="BodyText"/>
              <w:rPr>
                <w:sz w:val="20"/>
                <w:szCs w:val="20"/>
              </w:rPr>
            </w:pPr>
            <w:r w:rsidRPr="00672714">
              <w:rPr>
                <w:sz w:val="20"/>
                <w:szCs w:val="20"/>
              </w:rPr>
              <w:t>6,212</w:t>
            </w:r>
          </w:p>
        </w:tc>
        <w:tc>
          <w:tcPr>
            <w:tcW w:w="286" w:type="pct"/>
          </w:tcPr>
          <w:p w14:paraId="44C85A8C" w14:textId="77777777" w:rsidR="00247AD2" w:rsidRPr="00672714" w:rsidRDefault="00247AD2" w:rsidP="00672714">
            <w:pPr>
              <w:pStyle w:val="BodyText"/>
              <w:rPr>
                <w:sz w:val="20"/>
                <w:szCs w:val="20"/>
              </w:rPr>
            </w:pPr>
            <w:r w:rsidRPr="00672714">
              <w:rPr>
                <w:sz w:val="20"/>
                <w:szCs w:val="20"/>
              </w:rPr>
              <w:t>42</w:t>
            </w:r>
          </w:p>
        </w:tc>
        <w:tc>
          <w:tcPr>
            <w:tcW w:w="286" w:type="pct"/>
          </w:tcPr>
          <w:p w14:paraId="55467371" w14:textId="77777777" w:rsidR="00247AD2" w:rsidRPr="00672714" w:rsidRDefault="00247AD2" w:rsidP="00672714">
            <w:pPr>
              <w:pStyle w:val="BodyText"/>
              <w:rPr>
                <w:sz w:val="20"/>
                <w:szCs w:val="20"/>
              </w:rPr>
            </w:pPr>
            <w:r w:rsidRPr="00672714">
              <w:rPr>
                <w:sz w:val="20"/>
                <w:szCs w:val="20"/>
              </w:rPr>
              <w:t>6</w:t>
            </w:r>
          </w:p>
        </w:tc>
        <w:tc>
          <w:tcPr>
            <w:tcW w:w="286" w:type="pct"/>
          </w:tcPr>
          <w:p w14:paraId="0AC793F1" w14:textId="77777777" w:rsidR="00247AD2" w:rsidRPr="00672714" w:rsidRDefault="00247AD2" w:rsidP="00672714">
            <w:pPr>
              <w:pStyle w:val="BodyText"/>
              <w:rPr>
                <w:sz w:val="20"/>
                <w:szCs w:val="20"/>
              </w:rPr>
            </w:pPr>
            <w:r w:rsidRPr="00672714">
              <w:rPr>
                <w:sz w:val="20"/>
                <w:szCs w:val="20"/>
              </w:rPr>
              <w:t>48</w:t>
            </w:r>
          </w:p>
        </w:tc>
        <w:tc>
          <w:tcPr>
            <w:tcW w:w="261" w:type="pct"/>
          </w:tcPr>
          <w:p w14:paraId="25832885" w14:textId="77777777" w:rsidR="00247AD2" w:rsidRPr="00672714" w:rsidRDefault="00247AD2" w:rsidP="00672714">
            <w:pPr>
              <w:pStyle w:val="BodyText"/>
              <w:rPr>
                <w:sz w:val="20"/>
                <w:szCs w:val="20"/>
              </w:rPr>
            </w:pPr>
            <w:r w:rsidRPr="00672714">
              <w:rPr>
                <w:sz w:val="20"/>
                <w:szCs w:val="20"/>
              </w:rPr>
              <w:t>0</w:t>
            </w:r>
          </w:p>
        </w:tc>
        <w:tc>
          <w:tcPr>
            <w:tcW w:w="261" w:type="pct"/>
          </w:tcPr>
          <w:p w14:paraId="33B630FD" w14:textId="77777777" w:rsidR="00247AD2" w:rsidRPr="00672714" w:rsidRDefault="00247AD2" w:rsidP="00672714">
            <w:pPr>
              <w:pStyle w:val="BodyText"/>
              <w:rPr>
                <w:sz w:val="20"/>
                <w:szCs w:val="20"/>
              </w:rPr>
            </w:pPr>
            <w:r w:rsidRPr="00672714">
              <w:rPr>
                <w:sz w:val="20"/>
                <w:szCs w:val="20"/>
              </w:rPr>
              <w:t>0</w:t>
            </w:r>
          </w:p>
        </w:tc>
        <w:tc>
          <w:tcPr>
            <w:tcW w:w="261" w:type="pct"/>
          </w:tcPr>
          <w:p w14:paraId="6F821600" w14:textId="77777777" w:rsidR="00247AD2" w:rsidRPr="00672714" w:rsidRDefault="00247AD2" w:rsidP="00672714">
            <w:pPr>
              <w:pStyle w:val="BodyText"/>
              <w:rPr>
                <w:sz w:val="20"/>
                <w:szCs w:val="20"/>
              </w:rPr>
            </w:pPr>
            <w:r w:rsidRPr="00672714">
              <w:rPr>
                <w:sz w:val="20"/>
                <w:szCs w:val="20"/>
              </w:rPr>
              <w:t>0</w:t>
            </w:r>
          </w:p>
        </w:tc>
        <w:tc>
          <w:tcPr>
            <w:tcW w:w="261" w:type="pct"/>
          </w:tcPr>
          <w:p w14:paraId="6C92F1C3" w14:textId="77777777" w:rsidR="00247AD2" w:rsidRPr="00672714" w:rsidRDefault="00247AD2" w:rsidP="00672714">
            <w:pPr>
              <w:pStyle w:val="BodyText"/>
              <w:rPr>
                <w:sz w:val="20"/>
                <w:szCs w:val="20"/>
              </w:rPr>
            </w:pPr>
            <w:r w:rsidRPr="00672714">
              <w:rPr>
                <w:sz w:val="20"/>
                <w:szCs w:val="20"/>
              </w:rPr>
              <w:t>0</w:t>
            </w:r>
          </w:p>
        </w:tc>
        <w:tc>
          <w:tcPr>
            <w:tcW w:w="261" w:type="pct"/>
          </w:tcPr>
          <w:p w14:paraId="5C51B81B" w14:textId="77777777" w:rsidR="00247AD2" w:rsidRPr="00672714" w:rsidRDefault="00247AD2" w:rsidP="00672714">
            <w:pPr>
              <w:pStyle w:val="BodyText"/>
              <w:rPr>
                <w:sz w:val="20"/>
                <w:szCs w:val="20"/>
              </w:rPr>
            </w:pPr>
            <w:r w:rsidRPr="00672714">
              <w:rPr>
                <w:sz w:val="20"/>
                <w:szCs w:val="20"/>
              </w:rPr>
              <w:t>0</w:t>
            </w:r>
          </w:p>
        </w:tc>
        <w:tc>
          <w:tcPr>
            <w:tcW w:w="261" w:type="pct"/>
          </w:tcPr>
          <w:p w14:paraId="4610BDCC" w14:textId="77777777" w:rsidR="00247AD2" w:rsidRPr="00672714" w:rsidRDefault="00247AD2" w:rsidP="00672714">
            <w:pPr>
              <w:pStyle w:val="BodyText"/>
              <w:rPr>
                <w:sz w:val="20"/>
                <w:szCs w:val="20"/>
              </w:rPr>
            </w:pPr>
            <w:r w:rsidRPr="00672714">
              <w:rPr>
                <w:sz w:val="20"/>
                <w:szCs w:val="20"/>
              </w:rPr>
              <w:t>0</w:t>
            </w:r>
          </w:p>
        </w:tc>
        <w:tc>
          <w:tcPr>
            <w:tcW w:w="323" w:type="pct"/>
          </w:tcPr>
          <w:p w14:paraId="0B4E1AB9" w14:textId="77777777" w:rsidR="00247AD2" w:rsidRPr="00672714" w:rsidRDefault="00247AD2" w:rsidP="00672714">
            <w:pPr>
              <w:pStyle w:val="BodyText"/>
              <w:rPr>
                <w:sz w:val="20"/>
                <w:szCs w:val="20"/>
              </w:rPr>
            </w:pPr>
            <w:r w:rsidRPr="00672714">
              <w:rPr>
                <w:rStyle w:val="01bodybold"/>
                <w:rFonts w:cs="Arial"/>
                <w:sz w:val="20"/>
                <w:szCs w:val="20"/>
              </w:rPr>
              <w:t>8,344</w:t>
            </w:r>
          </w:p>
        </w:tc>
      </w:tr>
      <w:tr w:rsidR="006A0585" w:rsidRPr="00672714" w14:paraId="451AB0F2" w14:textId="77777777" w:rsidTr="006A0585">
        <w:trPr>
          <w:trHeight w:val="453"/>
        </w:trPr>
        <w:tc>
          <w:tcPr>
            <w:tcW w:w="422" w:type="pct"/>
          </w:tcPr>
          <w:p w14:paraId="6715403F" w14:textId="77777777" w:rsidR="00247AD2" w:rsidRPr="00672714" w:rsidRDefault="00247AD2" w:rsidP="00672714">
            <w:pPr>
              <w:pStyle w:val="BodyText"/>
              <w:rPr>
                <w:sz w:val="20"/>
                <w:szCs w:val="20"/>
              </w:rPr>
            </w:pPr>
            <w:r w:rsidRPr="00672714">
              <w:rPr>
                <w:sz w:val="20"/>
                <w:szCs w:val="20"/>
              </w:rPr>
              <w:t>Qld</w:t>
            </w:r>
          </w:p>
        </w:tc>
        <w:tc>
          <w:tcPr>
            <w:tcW w:w="293" w:type="pct"/>
          </w:tcPr>
          <w:p w14:paraId="354E9BF6" w14:textId="77777777" w:rsidR="00247AD2" w:rsidRPr="00672714" w:rsidRDefault="00247AD2" w:rsidP="00672714">
            <w:pPr>
              <w:pStyle w:val="BodyText"/>
              <w:rPr>
                <w:sz w:val="20"/>
                <w:szCs w:val="20"/>
              </w:rPr>
            </w:pPr>
            <w:r w:rsidRPr="00672714">
              <w:rPr>
                <w:sz w:val="20"/>
                <w:szCs w:val="20"/>
              </w:rPr>
              <w:t>2,004</w:t>
            </w:r>
          </w:p>
        </w:tc>
        <w:tc>
          <w:tcPr>
            <w:tcW w:w="286" w:type="pct"/>
          </w:tcPr>
          <w:p w14:paraId="23C1F580" w14:textId="77777777" w:rsidR="00247AD2" w:rsidRPr="00672714" w:rsidRDefault="00247AD2" w:rsidP="00672714">
            <w:pPr>
              <w:pStyle w:val="BodyText"/>
              <w:rPr>
                <w:sz w:val="20"/>
                <w:szCs w:val="20"/>
              </w:rPr>
            </w:pPr>
            <w:r w:rsidRPr="00672714">
              <w:rPr>
                <w:sz w:val="20"/>
                <w:szCs w:val="20"/>
              </w:rPr>
              <w:t>194</w:t>
            </w:r>
          </w:p>
        </w:tc>
        <w:tc>
          <w:tcPr>
            <w:tcW w:w="310" w:type="pct"/>
          </w:tcPr>
          <w:p w14:paraId="62F3EDC3" w14:textId="77777777" w:rsidR="00247AD2" w:rsidRPr="00672714" w:rsidRDefault="00247AD2" w:rsidP="00672714">
            <w:pPr>
              <w:pStyle w:val="BodyText"/>
              <w:rPr>
                <w:sz w:val="20"/>
                <w:szCs w:val="20"/>
              </w:rPr>
            </w:pPr>
            <w:r w:rsidRPr="00672714">
              <w:rPr>
                <w:sz w:val="20"/>
                <w:szCs w:val="20"/>
              </w:rPr>
              <w:t>2,198</w:t>
            </w:r>
          </w:p>
        </w:tc>
        <w:tc>
          <w:tcPr>
            <w:tcW w:w="323" w:type="pct"/>
          </w:tcPr>
          <w:p w14:paraId="42F54FDF" w14:textId="77777777" w:rsidR="00247AD2" w:rsidRPr="00672714" w:rsidRDefault="00247AD2" w:rsidP="00672714">
            <w:pPr>
              <w:pStyle w:val="BodyText"/>
              <w:rPr>
                <w:sz w:val="20"/>
                <w:szCs w:val="20"/>
              </w:rPr>
            </w:pPr>
            <w:r w:rsidRPr="00672714">
              <w:rPr>
                <w:sz w:val="20"/>
                <w:szCs w:val="20"/>
              </w:rPr>
              <w:t>4,059</w:t>
            </w:r>
          </w:p>
        </w:tc>
        <w:tc>
          <w:tcPr>
            <w:tcW w:w="298" w:type="pct"/>
          </w:tcPr>
          <w:p w14:paraId="5805E56B" w14:textId="77777777" w:rsidR="00247AD2" w:rsidRPr="00672714" w:rsidRDefault="00247AD2" w:rsidP="00672714">
            <w:pPr>
              <w:pStyle w:val="BodyText"/>
              <w:rPr>
                <w:sz w:val="20"/>
                <w:szCs w:val="20"/>
              </w:rPr>
            </w:pPr>
            <w:r w:rsidRPr="00672714">
              <w:rPr>
                <w:sz w:val="20"/>
                <w:szCs w:val="20"/>
              </w:rPr>
              <w:t>1,458</w:t>
            </w:r>
          </w:p>
        </w:tc>
        <w:tc>
          <w:tcPr>
            <w:tcW w:w="323" w:type="pct"/>
          </w:tcPr>
          <w:p w14:paraId="753F17AE" w14:textId="77777777" w:rsidR="00247AD2" w:rsidRPr="00672714" w:rsidRDefault="00247AD2" w:rsidP="00672714">
            <w:pPr>
              <w:pStyle w:val="BodyText"/>
              <w:rPr>
                <w:sz w:val="20"/>
                <w:szCs w:val="20"/>
              </w:rPr>
            </w:pPr>
            <w:r w:rsidRPr="00672714">
              <w:rPr>
                <w:sz w:val="20"/>
                <w:szCs w:val="20"/>
              </w:rPr>
              <w:t>5,517</w:t>
            </w:r>
          </w:p>
        </w:tc>
        <w:tc>
          <w:tcPr>
            <w:tcW w:w="286" w:type="pct"/>
          </w:tcPr>
          <w:p w14:paraId="107C57F0" w14:textId="77777777" w:rsidR="00247AD2" w:rsidRPr="00672714" w:rsidRDefault="00247AD2" w:rsidP="00672714">
            <w:pPr>
              <w:pStyle w:val="BodyText"/>
              <w:rPr>
                <w:sz w:val="20"/>
                <w:szCs w:val="20"/>
              </w:rPr>
            </w:pPr>
            <w:r w:rsidRPr="00672714">
              <w:rPr>
                <w:sz w:val="20"/>
                <w:szCs w:val="20"/>
              </w:rPr>
              <w:t>58</w:t>
            </w:r>
          </w:p>
        </w:tc>
        <w:tc>
          <w:tcPr>
            <w:tcW w:w="286" w:type="pct"/>
          </w:tcPr>
          <w:p w14:paraId="0D46510E" w14:textId="77777777" w:rsidR="00247AD2" w:rsidRPr="00672714" w:rsidRDefault="00247AD2" w:rsidP="00672714">
            <w:pPr>
              <w:pStyle w:val="BodyText"/>
              <w:rPr>
                <w:sz w:val="20"/>
                <w:szCs w:val="20"/>
              </w:rPr>
            </w:pPr>
            <w:r w:rsidRPr="00672714">
              <w:rPr>
                <w:sz w:val="20"/>
                <w:szCs w:val="20"/>
              </w:rPr>
              <w:t>21</w:t>
            </w:r>
          </w:p>
        </w:tc>
        <w:tc>
          <w:tcPr>
            <w:tcW w:w="286" w:type="pct"/>
          </w:tcPr>
          <w:p w14:paraId="5DA048C5" w14:textId="77777777" w:rsidR="00247AD2" w:rsidRPr="00672714" w:rsidRDefault="00247AD2" w:rsidP="00672714">
            <w:pPr>
              <w:pStyle w:val="BodyText"/>
              <w:rPr>
                <w:sz w:val="20"/>
                <w:szCs w:val="20"/>
              </w:rPr>
            </w:pPr>
            <w:r w:rsidRPr="00672714">
              <w:rPr>
                <w:sz w:val="20"/>
                <w:szCs w:val="20"/>
              </w:rPr>
              <w:t>79</w:t>
            </w:r>
          </w:p>
        </w:tc>
        <w:tc>
          <w:tcPr>
            <w:tcW w:w="261" w:type="pct"/>
          </w:tcPr>
          <w:p w14:paraId="6914A0BB" w14:textId="77777777" w:rsidR="00247AD2" w:rsidRPr="00672714" w:rsidRDefault="00247AD2" w:rsidP="00672714">
            <w:pPr>
              <w:pStyle w:val="BodyText"/>
              <w:rPr>
                <w:sz w:val="20"/>
                <w:szCs w:val="20"/>
              </w:rPr>
            </w:pPr>
            <w:r w:rsidRPr="00672714">
              <w:rPr>
                <w:sz w:val="20"/>
                <w:szCs w:val="20"/>
              </w:rPr>
              <w:t>0</w:t>
            </w:r>
          </w:p>
        </w:tc>
        <w:tc>
          <w:tcPr>
            <w:tcW w:w="261" w:type="pct"/>
          </w:tcPr>
          <w:p w14:paraId="576706BD" w14:textId="77777777" w:rsidR="00247AD2" w:rsidRPr="00672714" w:rsidRDefault="00247AD2" w:rsidP="00672714">
            <w:pPr>
              <w:pStyle w:val="BodyText"/>
              <w:rPr>
                <w:sz w:val="20"/>
                <w:szCs w:val="20"/>
              </w:rPr>
            </w:pPr>
            <w:r w:rsidRPr="00672714">
              <w:rPr>
                <w:sz w:val="20"/>
                <w:szCs w:val="20"/>
              </w:rPr>
              <w:t>0</w:t>
            </w:r>
          </w:p>
        </w:tc>
        <w:tc>
          <w:tcPr>
            <w:tcW w:w="261" w:type="pct"/>
          </w:tcPr>
          <w:p w14:paraId="267A7493" w14:textId="77777777" w:rsidR="00247AD2" w:rsidRPr="00672714" w:rsidRDefault="00247AD2" w:rsidP="00672714">
            <w:pPr>
              <w:pStyle w:val="BodyText"/>
              <w:rPr>
                <w:sz w:val="20"/>
                <w:szCs w:val="20"/>
              </w:rPr>
            </w:pPr>
            <w:r w:rsidRPr="00672714">
              <w:rPr>
                <w:sz w:val="20"/>
                <w:szCs w:val="20"/>
              </w:rPr>
              <w:t>0</w:t>
            </w:r>
          </w:p>
        </w:tc>
        <w:tc>
          <w:tcPr>
            <w:tcW w:w="261" w:type="pct"/>
          </w:tcPr>
          <w:p w14:paraId="42D7052B" w14:textId="77777777" w:rsidR="00247AD2" w:rsidRPr="00672714" w:rsidRDefault="00247AD2" w:rsidP="00672714">
            <w:pPr>
              <w:pStyle w:val="BodyText"/>
              <w:rPr>
                <w:sz w:val="20"/>
                <w:szCs w:val="20"/>
              </w:rPr>
            </w:pPr>
            <w:r w:rsidRPr="00672714">
              <w:rPr>
                <w:sz w:val="20"/>
                <w:szCs w:val="20"/>
              </w:rPr>
              <w:t>0</w:t>
            </w:r>
          </w:p>
        </w:tc>
        <w:tc>
          <w:tcPr>
            <w:tcW w:w="261" w:type="pct"/>
          </w:tcPr>
          <w:p w14:paraId="4DEE0D53" w14:textId="77777777" w:rsidR="00247AD2" w:rsidRPr="00672714" w:rsidRDefault="00247AD2" w:rsidP="00672714">
            <w:pPr>
              <w:pStyle w:val="BodyText"/>
              <w:rPr>
                <w:sz w:val="20"/>
                <w:szCs w:val="20"/>
              </w:rPr>
            </w:pPr>
            <w:r w:rsidRPr="00672714">
              <w:rPr>
                <w:sz w:val="20"/>
                <w:szCs w:val="20"/>
              </w:rPr>
              <w:t>0</w:t>
            </w:r>
          </w:p>
        </w:tc>
        <w:tc>
          <w:tcPr>
            <w:tcW w:w="261" w:type="pct"/>
          </w:tcPr>
          <w:p w14:paraId="408206AA" w14:textId="77777777" w:rsidR="00247AD2" w:rsidRPr="00672714" w:rsidRDefault="00247AD2" w:rsidP="00672714">
            <w:pPr>
              <w:pStyle w:val="BodyText"/>
              <w:rPr>
                <w:sz w:val="20"/>
                <w:szCs w:val="20"/>
              </w:rPr>
            </w:pPr>
            <w:r w:rsidRPr="00672714">
              <w:rPr>
                <w:sz w:val="20"/>
                <w:szCs w:val="20"/>
              </w:rPr>
              <w:t>0</w:t>
            </w:r>
          </w:p>
        </w:tc>
        <w:tc>
          <w:tcPr>
            <w:tcW w:w="323" w:type="pct"/>
          </w:tcPr>
          <w:p w14:paraId="5746759B" w14:textId="77777777" w:rsidR="00247AD2" w:rsidRPr="00672714" w:rsidRDefault="00247AD2" w:rsidP="00672714">
            <w:pPr>
              <w:pStyle w:val="BodyText"/>
              <w:rPr>
                <w:sz w:val="20"/>
                <w:szCs w:val="20"/>
              </w:rPr>
            </w:pPr>
            <w:r w:rsidRPr="00672714">
              <w:rPr>
                <w:rStyle w:val="01bodybold"/>
                <w:rFonts w:cs="Arial"/>
                <w:sz w:val="20"/>
                <w:szCs w:val="20"/>
              </w:rPr>
              <w:t>7,794</w:t>
            </w:r>
          </w:p>
        </w:tc>
      </w:tr>
      <w:tr w:rsidR="006A0585" w:rsidRPr="00672714" w14:paraId="0DDF555D" w14:textId="77777777" w:rsidTr="006A0585">
        <w:trPr>
          <w:trHeight w:val="453"/>
        </w:trPr>
        <w:tc>
          <w:tcPr>
            <w:tcW w:w="422" w:type="pct"/>
          </w:tcPr>
          <w:p w14:paraId="2C031480" w14:textId="77777777" w:rsidR="00247AD2" w:rsidRPr="00672714" w:rsidRDefault="00247AD2" w:rsidP="00672714">
            <w:pPr>
              <w:pStyle w:val="BodyText"/>
              <w:rPr>
                <w:sz w:val="20"/>
                <w:szCs w:val="20"/>
              </w:rPr>
            </w:pPr>
            <w:r w:rsidRPr="00672714">
              <w:rPr>
                <w:sz w:val="20"/>
                <w:szCs w:val="20"/>
              </w:rPr>
              <w:t>SA</w:t>
            </w:r>
          </w:p>
        </w:tc>
        <w:tc>
          <w:tcPr>
            <w:tcW w:w="293" w:type="pct"/>
          </w:tcPr>
          <w:p w14:paraId="0D362B26" w14:textId="77777777" w:rsidR="00247AD2" w:rsidRPr="00672714" w:rsidRDefault="00247AD2" w:rsidP="00672714">
            <w:pPr>
              <w:pStyle w:val="BodyText"/>
              <w:rPr>
                <w:sz w:val="20"/>
                <w:szCs w:val="20"/>
              </w:rPr>
            </w:pPr>
            <w:r w:rsidRPr="00672714">
              <w:rPr>
                <w:sz w:val="20"/>
                <w:szCs w:val="20"/>
              </w:rPr>
              <w:t>1,122</w:t>
            </w:r>
          </w:p>
        </w:tc>
        <w:tc>
          <w:tcPr>
            <w:tcW w:w="286" w:type="pct"/>
          </w:tcPr>
          <w:p w14:paraId="72221091" w14:textId="77777777" w:rsidR="00247AD2" w:rsidRPr="00672714" w:rsidRDefault="00247AD2" w:rsidP="00672714">
            <w:pPr>
              <w:pStyle w:val="BodyText"/>
              <w:rPr>
                <w:sz w:val="20"/>
                <w:szCs w:val="20"/>
              </w:rPr>
            </w:pPr>
            <w:r w:rsidRPr="00672714">
              <w:rPr>
                <w:sz w:val="20"/>
                <w:szCs w:val="20"/>
              </w:rPr>
              <w:t>82</w:t>
            </w:r>
          </w:p>
        </w:tc>
        <w:tc>
          <w:tcPr>
            <w:tcW w:w="310" w:type="pct"/>
          </w:tcPr>
          <w:p w14:paraId="1FE27A9F" w14:textId="77777777" w:rsidR="00247AD2" w:rsidRPr="00672714" w:rsidRDefault="00247AD2" w:rsidP="00672714">
            <w:pPr>
              <w:pStyle w:val="BodyText"/>
              <w:rPr>
                <w:sz w:val="20"/>
                <w:szCs w:val="20"/>
              </w:rPr>
            </w:pPr>
            <w:r w:rsidRPr="00672714">
              <w:rPr>
                <w:sz w:val="20"/>
                <w:szCs w:val="20"/>
              </w:rPr>
              <w:t>1,204</w:t>
            </w:r>
          </w:p>
        </w:tc>
        <w:tc>
          <w:tcPr>
            <w:tcW w:w="323" w:type="pct"/>
          </w:tcPr>
          <w:p w14:paraId="4E86E7A0" w14:textId="77777777" w:rsidR="00247AD2" w:rsidRPr="00672714" w:rsidRDefault="00247AD2" w:rsidP="00672714">
            <w:pPr>
              <w:pStyle w:val="BodyText"/>
              <w:rPr>
                <w:sz w:val="20"/>
                <w:szCs w:val="20"/>
              </w:rPr>
            </w:pPr>
            <w:r w:rsidRPr="00672714">
              <w:rPr>
                <w:sz w:val="20"/>
                <w:szCs w:val="20"/>
              </w:rPr>
              <w:t>1,452</w:t>
            </w:r>
          </w:p>
        </w:tc>
        <w:tc>
          <w:tcPr>
            <w:tcW w:w="298" w:type="pct"/>
          </w:tcPr>
          <w:p w14:paraId="2870B201" w14:textId="77777777" w:rsidR="00247AD2" w:rsidRPr="00672714" w:rsidRDefault="00247AD2" w:rsidP="00672714">
            <w:pPr>
              <w:pStyle w:val="BodyText"/>
              <w:rPr>
                <w:sz w:val="20"/>
                <w:szCs w:val="20"/>
              </w:rPr>
            </w:pPr>
            <w:r w:rsidRPr="00672714">
              <w:rPr>
                <w:sz w:val="20"/>
                <w:szCs w:val="20"/>
              </w:rPr>
              <w:t>462</w:t>
            </w:r>
          </w:p>
        </w:tc>
        <w:tc>
          <w:tcPr>
            <w:tcW w:w="323" w:type="pct"/>
          </w:tcPr>
          <w:p w14:paraId="066991C8" w14:textId="77777777" w:rsidR="00247AD2" w:rsidRPr="00672714" w:rsidRDefault="00247AD2" w:rsidP="00672714">
            <w:pPr>
              <w:pStyle w:val="BodyText"/>
              <w:rPr>
                <w:sz w:val="20"/>
                <w:szCs w:val="20"/>
              </w:rPr>
            </w:pPr>
            <w:r w:rsidRPr="00672714">
              <w:rPr>
                <w:sz w:val="20"/>
                <w:szCs w:val="20"/>
              </w:rPr>
              <w:t>1,914</w:t>
            </w:r>
          </w:p>
        </w:tc>
        <w:tc>
          <w:tcPr>
            <w:tcW w:w="286" w:type="pct"/>
          </w:tcPr>
          <w:p w14:paraId="1B0A48BA" w14:textId="77777777" w:rsidR="00247AD2" w:rsidRPr="00672714" w:rsidRDefault="00247AD2" w:rsidP="00672714">
            <w:pPr>
              <w:pStyle w:val="BodyText"/>
              <w:rPr>
                <w:sz w:val="20"/>
                <w:szCs w:val="20"/>
              </w:rPr>
            </w:pPr>
            <w:r w:rsidRPr="00672714">
              <w:rPr>
                <w:sz w:val="20"/>
                <w:szCs w:val="20"/>
              </w:rPr>
              <w:t>28</w:t>
            </w:r>
          </w:p>
        </w:tc>
        <w:tc>
          <w:tcPr>
            <w:tcW w:w="286" w:type="pct"/>
          </w:tcPr>
          <w:p w14:paraId="7494BB58" w14:textId="77777777" w:rsidR="00247AD2" w:rsidRPr="00672714" w:rsidRDefault="00247AD2" w:rsidP="00672714">
            <w:pPr>
              <w:pStyle w:val="BodyText"/>
              <w:rPr>
                <w:sz w:val="20"/>
                <w:szCs w:val="20"/>
              </w:rPr>
            </w:pPr>
            <w:r w:rsidRPr="00672714">
              <w:rPr>
                <w:sz w:val="20"/>
                <w:szCs w:val="20"/>
              </w:rPr>
              <w:t>8</w:t>
            </w:r>
          </w:p>
        </w:tc>
        <w:tc>
          <w:tcPr>
            <w:tcW w:w="286" w:type="pct"/>
          </w:tcPr>
          <w:p w14:paraId="08E40C85" w14:textId="77777777" w:rsidR="00247AD2" w:rsidRPr="00672714" w:rsidRDefault="00247AD2" w:rsidP="00672714">
            <w:pPr>
              <w:pStyle w:val="BodyText"/>
              <w:rPr>
                <w:sz w:val="20"/>
                <w:szCs w:val="20"/>
              </w:rPr>
            </w:pPr>
            <w:r w:rsidRPr="00672714">
              <w:rPr>
                <w:sz w:val="20"/>
                <w:szCs w:val="20"/>
              </w:rPr>
              <w:t>36</w:t>
            </w:r>
          </w:p>
        </w:tc>
        <w:tc>
          <w:tcPr>
            <w:tcW w:w="261" w:type="pct"/>
          </w:tcPr>
          <w:p w14:paraId="2FC0ED02" w14:textId="77777777" w:rsidR="00247AD2" w:rsidRPr="00672714" w:rsidRDefault="00247AD2" w:rsidP="00672714">
            <w:pPr>
              <w:pStyle w:val="BodyText"/>
              <w:rPr>
                <w:sz w:val="20"/>
                <w:szCs w:val="20"/>
              </w:rPr>
            </w:pPr>
            <w:r w:rsidRPr="00672714">
              <w:rPr>
                <w:sz w:val="20"/>
                <w:szCs w:val="20"/>
              </w:rPr>
              <w:t>0</w:t>
            </w:r>
          </w:p>
        </w:tc>
        <w:tc>
          <w:tcPr>
            <w:tcW w:w="261" w:type="pct"/>
          </w:tcPr>
          <w:p w14:paraId="17514364" w14:textId="77777777" w:rsidR="00247AD2" w:rsidRPr="00672714" w:rsidRDefault="00247AD2" w:rsidP="00672714">
            <w:pPr>
              <w:pStyle w:val="BodyText"/>
              <w:rPr>
                <w:sz w:val="20"/>
                <w:szCs w:val="20"/>
              </w:rPr>
            </w:pPr>
            <w:r w:rsidRPr="00672714">
              <w:rPr>
                <w:sz w:val="20"/>
                <w:szCs w:val="20"/>
              </w:rPr>
              <w:t>0</w:t>
            </w:r>
          </w:p>
        </w:tc>
        <w:tc>
          <w:tcPr>
            <w:tcW w:w="261" w:type="pct"/>
          </w:tcPr>
          <w:p w14:paraId="239308C1" w14:textId="77777777" w:rsidR="00247AD2" w:rsidRPr="00672714" w:rsidRDefault="00247AD2" w:rsidP="00672714">
            <w:pPr>
              <w:pStyle w:val="BodyText"/>
              <w:rPr>
                <w:sz w:val="20"/>
                <w:szCs w:val="20"/>
              </w:rPr>
            </w:pPr>
            <w:r w:rsidRPr="00672714">
              <w:rPr>
                <w:sz w:val="20"/>
                <w:szCs w:val="20"/>
              </w:rPr>
              <w:t>0</w:t>
            </w:r>
          </w:p>
        </w:tc>
        <w:tc>
          <w:tcPr>
            <w:tcW w:w="261" w:type="pct"/>
          </w:tcPr>
          <w:p w14:paraId="5AC39B25" w14:textId="77777777" w:rsidR="00247AD2" w:rsidRPr="00672714" w:rsidRDefault="00247AD2" w:rsidP="00672714">
            <w:pPr>
              <w:pStyle w:val="BodyText"/>
              <w:rPr>
                <w:sz w:val="20"/>
                <w:szCs w:val="20"/>
              </w:rPr>
            </w:pPr>
            <w:r w:rsidRPr="00672714">
              <w:rPr>
                <w:sz w:val="20"/>
                <w:szCs w:val="20"/>
              </w:rPr>
              <w:t>0</w:t>
            </w:r>
          </w:p>
        </w:tc>
        <w:tc>
          <w:tcPr>
            <w:tcW w:w="261" w:type="pct"/>
          </w:tcPr>
          <w:p w14:paraId="1D23BBC7" w14:textId="77777777" w:rsidR="00247AD2" w:rsidRPr="00672714" w:rsidRDefault="00247AD2" w:rsidP="00672714">
            <w:pPr>
              <w:pStyle w:val="BodyText"/>
              <w:rPr>
                <w:sz w:val="20"/>
                <w:szCs w:val="20"/>
              </w:rPr>
            </w:pPr>
            <w:r w:rsidRPr="00672714">
              <w:rPr>
                <w:sz w:val="20"/>
                <w:szCs w:val="20"/>
              </w:rPr>
              <w:t>0</w:t>
            </w:r>
          </w:p>
        </w:tc>
        <w:tc>
          <w:tcPr>
            <w:tcW w:w="261" w:type="pct"/>
          </w:tcPr>
          <w:p w14:paraId="7EE772E4" w14:textId="77777777" w:rsidR="00247AD2" w:rsidRPr="00672714" w:rsidRDefault="00247AD2" w:rsidP="00672714">
            <w:pPr>
              <w:pStyle w:val="BodyText"/>
              <w:rPr>
                <w:sz w:val="20"/>
                <w:szCs w:val="20"/>
              </w:rPr>
            </w:pPr>
            <w:r w:rsidRPr="00672714">
              <w:rPr>
                <w:sz w:val="20"/>
                <w:szCs w:val="20"/>
              </w:rPr>
              <w:t>0</w:t>
            </w:r>
          </w:p>
        </w:tc>
        <w:tc>
          <w:tcPr>
            <w:tcW w:w="323" w:type="pct"/>
          </w:tcPr>
          <w:p w14:paraId="102F9E7A" w14:textId="77777777" w:rsidR="00247AD2" w:rsidRPr="00672714" w:rsidRDefault="00247AD2" w:rsidP="00672714">
            <w:pPr>
              <w:pStyle w:val="BodyText"/>
              <w:rPr>
                <w:sz w:val="20"/>
                <w:szCs w:val="20"/>
              </w:rPr>
            </w:pPr>
            <w:r w:rsidRPr="00672714">
              <w:rPr>
                <w:rStyle w:val="01bodybold"/>
                <w:rFonts w:cs="Arial"/>
                <w:sz w:val="20"/>
                <w:szCs w:val="20"/>
              </w:rPr>
              <w:t>3,154</w:t>
            </w:r>
          </w:p>
        </w:tc>
      </w:tr>
      <w:tr w:rsidR="006A0585" w:rsidRPr="00672714" w14:paraId="4698ACC9" w14:textId="77777777" w:rsidTr="006A0585">
        <w:trPr>
          <w:trHeight w:val="453"/>
        </w:trPr>
        <w:tc>
          <w:tcPr>
            <w:tcW w:w="422" w:type="pct"/>
          </w:tcPr>
          <w:p w14:paraId="4BDA7640" w14:textId="77777777" w:rsidR="00247AD2" w:rsidRPr="00672714" w:rsidRDefault="00247AD2" w:rsidP="00672714">
            <w:pPr>
              <w:pStyle w:val="BodyText"/>
              <w:rPr>
                <w:sz w:val="20"/>
                <w:szCs w:val="20"/>
              </w:rPr>
            </w:pPr>
            <w:r w:rsidRPr="00672714">
              <w:rPr>
                <w:sz w:val="20"/>
                <w:szCs w:val="20"/>
              </w:rPr>
              <w:t>Tas</w:t>
            </w:r>
          </w:p>
        </w:tc>
        <w:tc>
          <w:tcPr>
            <w:tcW w:w="293" w:type="pct"/>
          </w:tcPr>
          <w:p w14:paraId="16F74833" w14:textId="77777777" w:rsidR="00247AD2" w:rsidRPr="00672714" w:rsidRDefault="00247AD2" w:rsidP="00672714">
            <w:pPr>
              <w:pStyle w:val="BodyText"/>
              <w:rPr>
                <w:sz w:val="20"/>
                <w:szCs w:val="20"/>
              </w:rPr>
            </w:pPr>
            <w:r w:rsidRPr="00672714">
              <w:rPr>
                <w:sz w:val="20"/>
                <w:szCs w:val="20"/>
              </w:rPr>
              <w:t>439</w:t>
            </w:r>
          </w:p>
        </w:tc>
        <w:tc>
          <w:tcPr>
            <w:tcW w:w="286" w:type="pct"/>
          </w:tcPr>
          <w:p w14:paraId="279982ED" w14:textId="77777777" w:rsidR="00247AD2" w:rsidRPr="00672714" w:rsidRDefault="00247AD2" w:rsidP="00672714">
            <w:pPr>
              <w:pStyle w:val="BodyText"/>
              <w:rPr>
                <w:sz w:val="20"/>
                <w:szCs w:val="20"/>
              </w:rPr>
            </w:pPr>
            <w:r w:rsidRPr="00672714">
              <w:rPr>
                <w:sz w:val="20"/>
                <w:szCs w:val="20"/>
              </w:rPr>
              <w:t>62</w:t>
            </w:r>
          </w:p>
        </w:tc>
        <w:tc>
          <w:tcPr>
            <w:tcW w:w="310" w:type="pct"/>
          </w:tcPr>
          <w:p w14:paraId="474092FE" w14:textId="77777777" w:rsidR="00247AD2" w:rsidRPr="00672714" w:rsidRDefault="00247AD2" w:rsidP="00672714">
            <w:pPr>
              <w:pStyle w:val="BodyText"/>
              <w:rPr>
                <w:sz w:val="20"/>
                <w:szCs w:val="20"/>
              </w:rPr>
            </w:pPr>
            <w:r w:rsidRPr="00672714">
              <w:rPr>
                <w:sz w:val="20"/>
                <w:szCs w:val="20"/>
              </w:rPr>
              <w:t>501</w:t>
            </w:r>
          </w:p>
        </w:tc>
        <w:tc>
          <w:tcPr>
            <w:tcW w:w="323" w:type="pct"/>
          </w:tcPr>
          <w:p w14:paraId="1353EC66" w14:textId="77777777" w:rsidR="00247AD2" w:rsidRPr="00672714" w:rsidRDefault="00247AD2" w:rsidP="00672714">
            <w:pPr>
              <w:pStyle w:val="BodyText"/>
              <w:rPr>
                <w:sz w:val="20"/>
                <w:szCs w:val="20"/>
              </w:rPr>
            </w:pPr>
            <w:r w:rsidRPr="00672714">
              <w:rPr>
                <w:sz w:val="20"/>
                <w:szCs w:val="20"/>
              </w:rPr>
              <w:t>628</w:t>
            </w:r>
          </w:p>
        </w:tc>
        <w:tc>
          <w:tcPr>
            <w:tcW w:w="298" w:type="pct"/>
          </w:tcPr>
          <w:p w14:paraId="15A0BB88" w14:textId="77777777" w:rsidR="00247AD2" w:rsidRPr="00672714" w:rsidRDefault="00247AD2" w:rsidP="00672714">
            <w:pPr>
              <w:pStyle w:val="BodyText"/>
              <w:rPr>
                <w:sz w:val="20"/>
                <w:szCs w:val="20"/>
              </w:rPr>
            </w:pPr>
            <w:r w:rsidRPr="00672714">
              <w:rPr>
                <w:sz w:val="20"/>
                <w:szCs w:val="20"/>
              </w:rPr>
              <w:t>397</w:t>
            </w:r>
          </w:p>
        </w:tc>
        <w:tc>
          <w:tcPr>
            <w:tcW w:w="323" w:type="pct"/>
          </w:tcPr>
          <w:p w14:paraId="524705E7" w14:textId="77777777" w:rsidR="00247AD2" w:rsidRPr="00672714" w:rsidRDefault="00247AD2" w:rsidP="00672714">
            <w:pPr>
              <w:pStyle w:val="BodyText"/>
              <w:rPr>
                <w:sz w:val="20"/>
                <w:szCs w:val="20"/>
              </w:rPr>
            </w:pPr>
            <w:r w:rsidRPr="00672714">
              <w:rPr>
                <w:sz w:val="20"/>
                <w:szCs w:val="20"/>
              </w:rPr>
              <w:t>1,025</w:t>
            </w:r>
          </w:p>
        </w:tc>
        <w:tc>
          <w:tcPr>
            <w:tcW w:w="286" w:type="pct"/>
          </w:tcPr>
          <w:p w14:paraId="09BA6349" w14:textId="77777777" w:rsidR="00247AD2" w:rsidRPr="00672714" w:rsidRDefault="00247AD2" w:rsidP="00672714">
            <w:pPr>
              <w:pStyle w:val="BodyText"/>
              <w:rPr>
                <w:sz w:val="20"/>
                <w:szCs w:val="20"/>
              </w:rPr>
            </w:pPr>
            <w:r w:rsidRPr="00672714">
              <w:rPr>
                <w:sz w:val="20"/>
                <w:szCs w:val="20"/>
              </w:rPr>
              <w:t>16</w:t>
            </w:r>
          </w:p>
        </w:tc>
        <w:tc>
          <w:tcPr>
            <w:tcW w:w="286" w:type="pct"/>
          </w:tcPr>
          <w:p w14:paraId="4E7F9E5E" w14:textId="77777777" w:rsidR="00247AD2" w:rsidRPr="00672714" w:rsidRDefault="00247AD2" w:rsidP="00672714">
            <w:pPr>
              <w:pStyle w:val="BodyText"/>
              <w:rPr>
                <w:sz w:val="20"/>
                <w:szCs w:val="20"/>
              </w:rPr>
            </w:pPr>
            <w:r w:rsidRPr="00672714">
              <w:rPr>
                <w:sz w:val="20"/>
                <w:szCs w:val="20"/>
              </w:rPr>
              <w:t>5</w:t>
            </w:r>
          </w:p>
        </w:tc>
        <w:tc>
          <w:tcPr>
            <w:tcW w:w="286" w:type="pct"/>
          </w:tcPr>
          <w:p w14:paraId="10EB547E" w14:textId="77777777" w:rsidR="00247AD2" w:rsidRPr="00672714" w:rsidRDefault="00247AD2" w:rsidP="00672714">
            <w:pPr>
              <w:pStyle w:val="BodyText"/>
              <w:rPr>
                <w:sz w:val="20"/>
                <w:szCs w:val="20"/>
              </w:rPr>
            </w:pPr>
            <w:r w:rsidRPr="00672714">
              <w:rPr>
                <w:sz w:val="20"/>
                <w:szCs w:val="20"/>
              </w:rPr>
              <w:t>21</w:t>
            </w:r>
          </w:p>
        </w:tc>
        <w:tc>
          <w:tcPr>
            <w:tcW w:w="261" w:type="pct"/>
          </w:tcPr>
          <w:p w14:paraId="2F151F2B" w14:textId="77777777" w:rsidR="00247AD2" w:rsidRPr="00672714" w:rsidRDefault="00247AD2" w:rsidP="00672714">
            <w:pPr>
              <w:pStyle w:val="BodyText"/>
              <w:rPr>
                <w:sz w:val="20"/>
                <w:szCs w:val="20"/>
              </w:rPr>
            </w:pPr>
            <w:r w:rsidRPr="00672714">
              <w:rPr>
                <w:sz w:val="20"/>
                <w:szCs w:val="20"/>
              </w:rPr>
              <w:t>0</w:t>
            </w:r>
          </w:p>
        </w:tc>
        <w:tc>
          <w:tcPr>
            <w:tcW w:w="261" w:type="pct"/>
          </w:tcPr>
          <w:p w14:paraId="585993B4" w14:textId="77777777" w:rsidR="00247AD2" w:rsidRPr="00672714" w:rsidRDefault="00247AD2" w:rsidP="00672714">
            <w:pPr>
              <w:pStyle w:val="BodyText"/>
              <w:rPr>
                <w:sz w:val="20"/>
                <w:szCs w:val="20"/>
              </w:rPr>
            </w:pPr>
            <w:r w:rsidRPr="00672714">
              <w:rPr>
                <w:sz w:val="20"/>
                <w:szCs w:val="20"/>
              </w:rPr>
              <w:t>0</w:t>
            </w:r>
          </w:p>
        </w:tc>
        <w:tc>
          <w:tcPr>
            <w:tcW w:w="261" w:type="pct"/>
          </w:tcPr>
          <w:p w14:paraId="7F844D7C" w14:textId="77777777" w:rsidR="00247AD2" w:rsidRPr="00672714" w:rsidRDefault="00247AD2" w:rsidP="00672714">
            <w:pPr>
              <w:pStyle w:val="BodyText"/>
              <w:rPr>
                <w:sz w:val="20"/>
                <w:szCs w:val="20"/>
              </w:rPr>
            </w:pPr>
            <w:r w:rsidRPr="00672714">
              <w:rPr>
                <w:sz w:val="20"/>
                <w:szCs w:val="20"/>
              </w:rPr>
              <w:t>0</w:t>
            </w:r>
          </w:p>
        </w:tc>
        <w:tc>
          <w:tcPr>
            <w:tcW w:w="261" w:type="pct"/>
          </w:tcPr>
          <w:p w14:paraId="119D79DF" w14:textId="77777777" w:rsidR="00247AD2" w:rsidRPr="00672714" w:rsidRDefault="00247AD2" w:rsidP="00672714">
            <w:pPr>
              <w:pStyle w:val="BodyText"/>
              <w:rPr>
                <w:sz w:val="20"/>
                <w:szCs w:val="20"/>
              </w:rPr>
            </w:pPr>
            <w:r w:rsidRPr="00672714">
              <w:rPr>
                <w:sz w:val="20"/>
                <w:szCs w:val="20"/>
              </w:rPr>
              <w:t>0</w:t>
            </w:r>
          </w:p>
        </w:tc>
        <w:tc>
          <w:tcPr>
            <w:tcW w:w="261" w:type="pct"/>
          </w:tcPr>
          <w:p w14:paraId="6159222C" w14:textId="77777777" w:rsidR="00247AD2" w:rsidRPr="00672714" w:rsidRDefault="00247AD2" w:rsidP="00672714">
            <w:pPr>
              <w:pStyle w:val="BodyText"/>
              <w:rPr>
                <w:sz w:val="20"/>
                <w:szCs w:val="20"/>
              </w:rPr>
            </w:pPr>
            <w:r w:rsidRPr="00672714">
              <w:rPr>
                <w:sz w:val="20"/>
                <w:szCs w:val="20"/>
              </w:rPr>
              <w:t>0</w:t>
            </w:r>
          </w:p>
        </w:tc>
        <w:tc>
          <w:tcPr>
            <w:tcW w:w="261" w:type="pct"/>
          </w:tcPr>
          <w:p w14:paraId="3380DABC" w14:textId="77777777" w:rsidR="00247AD2" w:rsidRPr="00672714" w:rsidRDefault="00247AD2" w:rsidP="00672714">
            <w:pPr>
              <w:pStyle w:val="BodyText"/>
              <w:rPr>
                <w:sz w:val="20"/>
                <w:szCs w:val="20"/>
              </w:rPr>
            </w:pPr>
            <w:r w:rsidRPr="00672714">
              <w:rPr>
                <w:sz w:val="20"/>
                <w:szCs w:val="20"/>
              </w:rPr>
              <w:t>0</w:t>
            </w:r>
          </w:p>
        </w:tc>
        <w:tc>
          <w:tcPr>
            <w:tcW w:w="323" w:type="pct"/>
          </w:tcPr>
          <w:p w14:paraId="71543596" w14:textId="77777777" w:rsidR="00247AD2" w:rsidRPr="00672714" w:rsidRDefault="00247AD2" w:rsidP="00672714">
            <w:pPr>
              <w:pStyle w:val="BodyText"/>
              <w:rPr>
                <w:sz w:val="20"/>
                <w:szCs w:val="20"/>
              </w:rPr>
            </w:pPr>
            <w:r w:rsidRPr="00672714">
              <w:rPr>
                <w:rStyle w:val="01bodybold"/>
                <w:rFonts w:cs="Arial"/>
                <w:sz w:val="20"/>
                <w:szCs w:val="20"/>
              </w:rPr>
              <w:t>1,547</w:t>
            </w:r>
          </w:p>
        </w:tc>
      </w:tr>
      <w:tr w:rsidR="006A0585" w:rsidRPr="00672714" w14:paraId="18D116C4" w14:textId="77777777" w:rsidTr="006A0585">
        <w:trPr>
          <w:trHeight w:val="453"/>
        </w:trPr>
        <w:tc>
          <w:tcPr>
            <w:tcW w:w="422" w:type="pct"/>
          </w:tcPr>
          <w:p w14:paraId="6A296712" w14:textId="77777777" w:rsidR="00247AD2" w:rsidRPr="00672714" w:rsidRDefault="00247AD2" w:rsidP="00672714">
            <w:pPr>
              <w:pStyle w:val="BodyText"/>
              <w:rPr>
                <w:sz w:val="20"/>
                <w:szCs w:val="20"/>
              </w:rPr>
            </w:pPr>
            <w:r w:rsidRPr="00672714">
              <w:rPr>
                <w:sz w:val="20"/>
                <w:szCs w:val="20"/>
              </w:rPr>
              <w:t>Vic</w:t>
            </w:r>
          </w:p>
        </w:tc>
        <w:tc>
          <w:tcPr>
            <w:tcW w:w="293" w:type="pct"/>
          </w:tcPr>
          <w:p w14:paraId="51640564" w14:textId="77777777" w:rsidR="00247AD2" w:rsidRPr="00672714" w:rsidRDefault="00247AD2" w:rsidP="00672714">
            <w:pPr>
              <w:pStyle w:val="BodyText"/>
              <w:rPr>
                <w:sz w:val="20"/>
                <w:szCs w:val="20"/>
              </w:rPr>
            </w:pPr>
            <w:r w:rsidRPr="00672714">
              <w:rPr>
                <w:sz w:val="20"/>
                <w:szCs w:val="20"/>
              </w:rPr>
              <w:t>1,914</w:t>
            </w:r>
          </w:p>
        </w:tc>
        <w:tc>
          <w:tcPr>
            <w:tcW w:w="286" w:type="pct"/>
          </w:tcPr>
          <w:p w14:paraId="052F9DBB" w14:textId="77777777" w:rsidR="00247AD2" w:rsidRPr="00672714" w:rsidRDefault="00247AD2" w:rsidP="00672714">
            <w:pPr>
              <w:pStyle w:val="BodyText"/>
              <w:rPr>
                <w:sz w:val="20"/>
                <w:szCs w:val="20"/>
              </w:rPr>
            </w:pPr>
            <w:r w:rsidRPr="00672714">
              <w:rPr>
                <w:sz w:val="20"/>
                <w:szCs w:val="20"/>
              </w:rPr>
              <w:t>191</w:t>
            </w:r>
          </w:p>
        </w:tc>
        <w:tc>
          <w:tcPr>
            <w:tcW w:w="310" w:type="pct"/>
          </w:tcPr>
          <w:p w14:paraId="0EC2BE97" w14:textId="77777777" w:rsidR="00247AD2" w:rsidRPr="00672714" w:rsidRDefault="00247AD2" w:rsidP="00672714">
            <w:pPr>
              <w:pStyle w:val="BodyText"/>
              <w:rPr>
                <w:sz w:val="20"/>
                <w:szCs w:val="20"/>
              </w:rPr>
            </w:pPr>
            <w:r w:rsidRPr="00672714">
              <w:rPr>
                <w:sz w:val="20"/>
                <w:szCs w:val="20"/>
              </w:rPr>
              <w:t>2,105</w:t>
            </w:r>
          </w:p>
        </w:tc>
        <w:tc>
          <w:tcPr>
            <w:tcW w:w="323" w:type="pct"/>
          </w:tcPr>
          <w:p w14:paraId="60166E69" w14:textId="77777777" w:rsidR="00247AD2" w:rsidRPr="00672714" w:rsidRDefault="00247AD2" w:rsidP="00672714">
            <w:pPr>
              <w:pStyle w:val="BodyText"/>
              <w:rPr>
                <w:sz w:val="20"/>
                <w:szCs w:val="20"/>
              </w:rPr>
            </w:pPr>
            <w:r w:rsidRPr="00672714">
              <w:rPr>
                <w:sz w:val="20"/>
                <w:szCs w:val="20"/>
              </w:rPr>
              <w:t>3,118</w:t>
            </w:r>
          </w:p>
        </w:tc>
        <w:tc>
          <w:tcPr>
            <w:tcW w:w="298" w:type="pct"/>
          </w:tcPr>
          <w:p w14:paraId="57969DE4" w14:textId="77777777" w:rsidR="00247AD2" w:rsidRPr="00672714" w:rsidRDefault="00247AD2" w:rsidP="00672714">
            <w:pPr>
              <w:pStyle w:val="BodyText"/>
              <w:rPr>
                <w:sz w:val="20"/>
                <w:szCs w:val="20"/>
              </w:rPr>
            </w:pPr>
            <w:r w:rsidRPr="00672714">
              <w:rPr>
                <w:sz w:val="20"/>
                <w:szCs w:val="20"/>
              </w:rPr>
              <w:t>1,280</w:t>
            </w:r>
          </w:p>
        </w:tc>
        <w:tc>
          <w:tcPr>
            <w:tcW w:w="323" w:type="pct"/>
          </w:tcPr>
          <w:p w14:paraId="4834154F" w14:textId="77777777" w:rsidR="00247AD2" w:rsidRPr="00672714" w:rsidRDefault="00247AD2" w:rsidP="00672714">
            <w:pPr>
              <w:pStyle w:val="BodyText"/>
              <w:rPr>
                <w:sz w:val="20"/>
                <w:szCs w:val="20"/>
              </w:rPr>
            </w:pPr>
            <w:r w:rsidRPr="00672714">
              <w:rPr>
                <w:sz w:val="20"/>
                <w:szCs w:val="20"/>
              </w:rPr>
              <w:t>4,398</w:t>
            </w:r>
          </w:p>
        </w:tc>
        <w:tc>
          <w:tcPr>
            <w:tcW w:w="286" w:type="pct"/>
          </w:tcPr>
          <w:p w14:paraId="11225D9B" w14:textId="77777777" w:rsidR="00247AD2" w:rsidRPr="00672714" w:rsidRDefault="00247AD2" w:rsidP="00672714">
            <w:pPr>
              <w:pStyle w:val="BodyText"/>
              <w:rPr>
                <w:sz w:val="20"/>
                <w:szCs w:val="20"/>
              </w:rPr>
            </w:pPr>
            <w:r w:rsidRPr="00672714">
              <w:rPr>
                <w:sz w:val="20"/>
                <w:szCs w:val="20"/>
              </w:rPr>
              <w:t>62</w:t>
            </w:r>
          </w:p>
        </w:tc>
        <w:tc>
          <w:tcPr>
            <w:tcW w:w="286" w:type="pct"/>
          </w:tcPr>
          <w:p w14:paraId="6E6DB7FB" w14:textId="77777777" w:rsidR="00247AD2" w:rsidRPr="00672714" w:rsidRDefault="00247AD2" w:rsidP="00672714">
            <w:pPr>
              <w:pStyle w:val="BodyText"/>
              <w:rPr>
                <w:sz w:val="20"/>
                <w:szCs w:val="20"/>
              </w:rPr>
            </w:pPr>
            <w:r w:rsidRPr="00672714">
              <w:rPr>
                <w:sz w:val="20"/>
                <w:szCs w:val="20"/>
              </w:rPr>
              <w:t>6</w:t>
            </w:r>
          </w:p>
        </w:tc>
        <w:tc>
          <w:tcPr>
            <w:tcW w:w="286" w:type="pct"/>
          </w:tcPr>
          <w:p w14:paraId="02380CA0" w14:textId="77777777" w:rsidR="00247AD2" w:rsidRPr="00672714" w:rsidRDefault="00247AD2" w:rsidP="00672714">
            <w:pPr>
              <w:pStyle w:val="BodyText"/>
              <w:rPr>
                <w:sz w:val="20"/>
                <w:szCs w:val="20"/>
              </w:rPr>
            </w:pPr>
            <w:r w:rsidRPr="00672714">
              <w:rPr>
                <w:sz w:val="20"/>
                <w:szCs w:val="20"/>
              </w:rPr>
              <w:t>68</w:t>
            </w:r>
          </w:p>
        </w:tc>
        <w:tc>
          <w:tcPr>
            <w:tcW w:w="261" w:type="pct"/>
          </w:tcPr>
          <w:p w14:paraId="3B491417" w14:textId="77777777" w:rsidR="00247AD2" w:rsidRPr="00672714" w:rsidRDefault="00247AD2" w:rsidP="00672714">
            <w:pPr>
              <w:pStyle w:val="BodyText"/>
              <w:rPr>
                <w:sz w:val="20"/>
                <w:szCs w:val="20"/>
              </w:rPr>
            </w:pPr>
            <w:r w:rsidRPr="00672714">
              <w:rPr>
                <w:sz w:val="20"/>
                <w:szCs w:val="20"/>
              </w:rPr>
              <w:t>0</w:t>
            </w:r>
          </w:p>
        </w:tc>
        <w:tc>
          <w:tcPr>
            <w:tcW w:w="261" w:type="pct"/>
          </w:tcPr>
          <w:p w14:paraId="7D949883" w14:textId="77777777" w:rsidR="00247AD2" w:rsidRPr="00672714" w:rsidRDefault="00247AD2" w:rsidP="00672714">
            <w:pPr>
              <w:pStyle w:val="BodyText"/>
              <w:rPr>
                <w:sz w:val="20"/>
                <w:szCs w:val="20"/>
              </w:rPr>
            </w:pPr>
            <w:r w:rsidRPr="00672714">
              <w:rPr>
                <w:sz w:val="20"/>
                <w:szCs w:val="20"/>
              </w:rPr>
              <w:t>0</w:t>
            </w:r>
          </w:p>
        </w:tc>
        <w:tc>
          <w:tcPr>
            <w:tcW w:w="261" w:type="pct"/>
          </w:tcPr>
          <w:p w14:paraId="48ABC87C" w14:textId="77777777" w:rsidR="00247AD2" w:rsidRPr="00672714" w:rsidRDefault="00247AD2" w:rsidP="00672714">
            <w:pPr>
              <w:pStyle w:val="BodyText"/>
              <w:rPr>
                <w:sz w:val="20"/>
                <w:szCs w:val="20"/>
              </w:rPr>
            </w:pPr>
            <w:r w:rsidRPr="00672714">
              <w:rPr>
                <w:sz w:val="20"/>
                <w:szCs w:val="20"/>
              </w:rPr>
              <w:t>0</w:t>
            </w:r>
          </w:p>
        </w:tc>
        <w:tc>
          <w:tcPr>
            <w:tcW w:w="261" w:type="pct"/>
          </w:tcPr>
          <w:p w14:paraId="0137104C" w14:textId="77777777" w:rsidR="00247AD2" w:rsidRPr="00672714" w:rsidRDefault="00247AD2" w:rsidP="00672714">
            <w:pPr>
              <w:pStyle w:val="BodyText"/>
              <w:rPr>
                <w:sz w:val="20"/>
                <w:szCs w:val="20"/>
              </w:rPr>
            </w:pPr>
            <w:r w:rsidRPr="00672714">
              <w:rPr>
                <w:sz w:val="20"/>
                <w:szCs w:val="20"/>
              </w:rPr>
              <w:t>0</w:t>
            </w:r>
          </w:p>
        </w:tc>
        <w:tc>
          <w:tcPr>
            <w:tcW w:w="261" w:type="pct"/>
          </w:tcPr>
          <w:p w14:paraId="3878DF85" w14:textId="77777777" w:rsidR="00247AD2" w:rsidRPr="00672714" w:rsidRDefault="00247AD2" w:rsidP="00672714">
            <w:pPr>
              <w:pStyle w:val="BodyText"/>
              <w:rPr>
                <w:sz w:val="20"/>
                <w:szCs w:val="20"/>
              </w:rPr>
            </w:pPr>
            <w:r w:rsidRPr="00672714">
              <w:rPr>
                <w:sz w:val="20"/>
                <w:szCs w:val="20"/>
              </w:rPr>
              <w:t>0</w:t>
            </w:r>
          </w:p>
        </w:tc>
        <w:tc>
          <w:tcPr>
            <w:tcW w:w="261" w:type="pct"/>
          </w:tcPr>
          <w:p w14:paraId="1023B5BB" w14:textId="77777777" w:rsidR="00247AD2" w:rsidRPr="00672714" w:rsidRDefault="00247AD2" w:rsidP="00672714">
            <w:pPr>
              <w:pStyle w:val="BodyText"/>
              <w:rPr>
                <w:sz w:val="20"/>
                <w:szCs w:val="20"/>
              </w:rPr>
            </w:pPr>
            <w:r w:rsidRPr="00672714">
              <w:rPr>
                <w:sz w:val="20"/>
                <w:szCs w:val="20"/>
              </w:rPr>
              <w:t>0</w:t>
            </w:r>
          </w:p>
        </w:tc>
        <w:tc>
          <w:tcPr>
            <w:tcW w:w="323" w:type="pct"/>
          </w:tcPr>
          <w:p w14:paraId="44FF7FA8" w14:textId="77777777" w:rsidR="00247AD2" w:rsidRPr="00672714" w:rsidRDefault="00247AD2" w:rsidP="00672714">
            <w:pPr>
              <w:pStyle w:val="BodyText"/>
              <w:rPr>
                <w:sz w:val="20"/>
                <w:szCs w:val="20"/>
              </w:rPr>
            </w:pPr>
            <w:r w:rsidRPr="00672714">
              <w:rPr>
                <w:rStyle w:val="01bodybold"/>
                <w:rFonts w:cs="Arial"/>
                <w:sz w:val="20"/>
                <w:szCs w:val="20"/>
              </w:rPr>
              <w:t>6,571</w:t>
            </w:r>
          </w:p>
        </w:tc>
      </w:tr>
      <w:tr w:rsidR="006A0585" w:rsidRPr="00672714" w14:paraId="4DA3B3BD" w14:textId="77777777" w:rsidTr="006A0585">
        <w:trPr>
          <w:trHeight w:val="453"/>
        </w:trPr>
        <w:tc>
          <w:tcPr>
            <w:tcW w:w="422" w:type="pct"/>
          </w:tcPr>
          <w:p w14:paraId="286322AA" w14:textId="77777777" w:rsidR="00247AD2" w:rsidRPr="00672714" w:rsidRDefault="00247AD2" w:rsidP="00672714">
            <w:pPr>
              <w:pStyle w:val="BodyText"/>
              <w:rPr>
                <w:sz w:val="20"/>
                <w:szCs w:val="20"/>
              </w:rPr>
            </w:pPr>
            <w:r w:rsidRPr="00672714">
              <w:rPr>
                <w:sz w:val="20"/>
                <w:szCs w:val="20"/>
              </w:rPr>
              <w:t>WA</w:t>
            </w:r>
          </w:p>
        </w:tc>
        <w:tc>
          <w:tcPr>
            <w:tcW w:w="293" w:type="pct"/>
          </w:tcPr>
          <w:p w14:paraId="7E3595D7" w14:textId="77777777" w:rsidR="00247AD2" w:rsidRPr="00672714" w:rsidRDefault="00247AD2" w:rsidP="00672714">
            <w:pPr>
              <w:pStyle w:val="BodyText"/>
              <w:rPr>
                <w:sz w:val="20"/>
                <w:szCs w:val="20"/>
              </w:rPr>
            </w:pPr>
            <w:r w:rsidRPr="00672714">
              <w:rPr>
                <w:sz w:val="20"/>
                <w:szCs w:val="20"/>
              </w:rPr>
              <w:t>581</w:t>
            </w:r>
          </w:p>
        </w:tc>
        <w:tc>
          <w:tcPr>
            <w:tcW w:w="286" w:type="pct"/>
          </w:tcPr>
          <w:p w14:paraId="68C2613F" w14:textId="77777777" w:rsidR="00247AD2" w:rsidRPr="00672714" w:rsidRDefault="00247AD2" w:rsidP="00672714">
            <w:pPr>
              <w:pStyle w:val="BodyText"/>
              <w:rPr>
                <w:sz w:val="20"/>
                <w:szCs w:val="20"/>
              </w:rPr>
            </w:pPr>
            <w:r w:rsidRPr="00672714">
              <w:rPr>
                <w:sz w:val="20"/>
                <w:szCs w:val="20"/>
              </w:rPr>
              <w:t>56</w:t>
            </w:r>
          </w:p>
        </w:tc>
        <w:tc>
          <w:tcPr>
            <w:tcW w:w="310" w:type="pct"/>
          </w:tcPr>
          <w:p w14:paraId="0419AFBE" w14:textId="77777777" w:rsidR="00247AD2" w:rsidRPr="00672714" w:rsidRDefault="00247AD2" w:rsidP="00672714">
            <w:pPr>
              <w:pStyle w:val="BodyText"/>
              <w:rPr>
                <w:sz w:val="20"/>
                <w:szCs w:val="20"/>
              </w:rPr>
            </w:pPr>
            <w:r w:rsidRPr="00672714">
              <w:rPr>
                <w:sz w:val="20"/>
                <w:szCs w:val="20"/>
              </w:rPr>
              <w:t>637</w:t>
            </w:r>
          </w:p>
        </w:tc>
        <w:tc>
          <w:tcPr>
            <w:tcW w:w="323" w:type="pct"/>
          </w:tcPr>
          <w:p w14:paraId="6877B72E" w14:textId="77777777" w:rsidR="00247AD2" w:rsidRPr="00672714" w:rsidRDefault="00247AD2" w:rsidP="00672714">
            <w:pPr>
              <w:pStyle w:val="BodyText"/>
              <w:rPr>
                <w:sz w:val="20"/>
                <w:szCs w:val="20"/>
              </w:rPr>
            </w:pPr>
            <w:r w:rsidRPr="00672714">
              <w:rPr>
                <w:sz w:val="20"/>
                <w:szCs w:val="20"/>
              </w:rPr>
              <w:t>1,265</w:t>
            </w:r>
          </w:p>
        </w:tc>
        <w:tc>
          <w:tcPr>
            <w:tcW w:w="298" w:type="pct"/>
          </w:tcPr>
          <w:p w14:paraId="53BB5187" w14:textId="77777777" w:rsidR="00247AD2" w:rsidRPr="00672714" w:rsidRDefault="00247AD2" w:rsidP="00672714">
            <w:pPr>
              <w:pStyle w:val="BodyText"/>
              <w:rPr>
                <w:sz w:val="20"/>
                <w:szCs w:val="20"/>
              </w:rPr>
            </w:pPr>
            <w:r w:rsidRPr="00672714">
              <w:rPr>
                <w:sz w:val="20"/>
                <w:szCs w:val="20"/>
              </w:rPr>
              <w:t>496</w:t>
            </w:r>
          </w:p>
        </w:tc>
        <w:tc>
          <w:tcPr>
            <w:tcW w:w="323" w:type="pct"/>
          </w:tcPr>
          <w:p w14:paraId="54337E82" w14:textId="77777777" w:rsidR="00247AD2" w:rsidRPr="00672714" w:rsidRDefault="00247AD2" w:rsidP="00672714">
            <w:pPr>
              <w:pStyle w:val="BodyText"/>
              <w:rPr>
                <w:sz w:val="20"/>
                <w:szCs w:val="20"/>
              </w:rPr>
            </w:pPr>
            <w:r w:rsidRPr="00672714">
              <w:rPr>
                <w:sz w:val="20"/>
                <w:szCs w:val="20"/>
              </w:rPr>
              <w:t>1,761</w:t>
            </w:r>
          </w:p>
        </w:tc>
        <w:tc>
          <w:tcPr>
            <w:tcW w:w="286" w:type="pct"/>
          </w:tcPr>
          <w:p w14:paraId="56893298" w14:textId="77777777" w:rsidR="00247AD2" w:rsidRPr="00672714" w:rsidRDefault="00247AD2" w:rsidP="00672714">
            <w:pPr>
              <w:pStyle w:val="BodyText"/>
              <w:rPr>
                <w:sz w:val="20"/>
                <w:szCs w:val="20"/>
              </w:rPr>
            </w:pPr>
            <w:r w:rsidRPr="00672714">
              <w:rPr>
                <w:sz w:val="20"/>
                <w:szCs w:val="20"/>
              </w:rPr>
              <w:t>20</w:t>
            </w:r>
          </w:p>
        </w:tc>
        <w:tc>
          <w:tcPr>
            <w:tcW w:w="286" w:type="pct"/>
          </w:tcPr>
          <w:p w14:paraId="6866C43D" w14:textId="77777777" w:rsidR="00247AD2" w:rsidRPr="00672714" w:rsidRDefault="00247AD2" w:rsidP="00672714">
            <w:pPr>
              <w:pStyle w:val="BodyText"/>
              <w:rPr>
                <w:sz w:val="20"/>
                <w:szCs w:val="20"/>
              </w:rPr>
            </w:pPr>
            <w:r w:rsidRPr="00672714">
              <w:rPr>
                <w:sz w:val="20"/>
                <w:szCs w:val="20"/>
              </w:rPr>
              <w:t>8</w:t>
            </w:r>
          </w:p>
        </w:tc>
        <w:tc>
          <w:tcPr>
            <w:tcW w:w="286" w:type="pct"/>
          </w:tcPr>
          <w:p w14:paraId="49833BE4" w14:textId="77777777" w:rsidR="00247AD2" w:rsidRPr="00672714" w:rsidRDefault="00247AD2" w:rsidP="00672714">
            <w:pPr>
              <w:pStyle w:val="BodyText"/>
              <w:rPr>
                <w:sz w:val="20"/>
                <w:szCs w:val="20"/>
              </w:rPr>
            </w:pPr>
            <w:r w:rsidRPr="00672714">
              <w:rPr>
                <w:sz w:val="20"/>
                <w:szCs w:val="20"/>
              </w:rPr>
              <w:t>28</w:t>
            </w:r>
          </w:p>
        </w:tc>
        <w:tc>
          <w:tcPr>
            <w:tcW w:w="261" w:type="pct"/>
          </w:tcPr>
          <w:p w14:paraId="4A9D6A9A" w14:textId="77777777" w:rsidR="00247AD2" w:rsidRPr="00672714" w:rsidRDefault="00247AD2" w:rsidP="00672714">
            <w:pPr>
              <w:pStyle w:val="BodyText"/>
              <w:rPr>
                <w:sz w:val="20"/>
                <w:szCs w:val="20"/>
              </w:rPr>
            </w:pPr>
            <w:r w:rsidRPr="00672714">
              <w:rPr>
                <w:sz w:val="20"/>
                <w:szCs w:val="20"/>
              </w:rPr>
              <w:t>0</w:t>
            </w:r>
          </w:p>
        </w:tc>
        <w:tc>
          <w:tcPr>
            <w:tcW w:w="261" w:type="pct"/>
          </w:tcPr>
          <w:p w14:paraId="140F6872" w14:textId="77777777" w:rsidR="00247AD2" w:rsidRPr="00672714" w:rsidRDefault="00247AD2" w:rsidP="00672714">
            <w:pPr>
              <w:pStyle w:val="BodyText"/>
              <w:rPr>
                <w:sz w:val="20"/>
                <w:szCs w:val="20"/>
              </w:rPr>
            </w:pPr>
            <w:r w:rsidRPr="00672714">
              <w:rPr>
                <w:sz w:val="20"/>
                <w:szCs w:val="20"/>
              </w:rPr>
              <w:t>0</w:t>
            </w:r>
          </w:p>
        </w:tc>
        <w:tc>
          <w:tcPr>
            <w:tcW w:w="261" w:type="pct"/>
          </w:tcPr>
          <w:p w14:paraId="2E26905E" w14:textId="77777777" w:rsidR="00247AD2" w:rsidRPr="00672714" w:rsidRDefault="00247AD2" w:rsidP="00672714">
            <w:pPr>
              <w:pStyle w:val="BodyText"/>
              <w:rPr>
                <w:sz w:val="20"/>
                <w:szCs w:val="20"/>
              </w:rPr>
            </w:pPr>
            <w:r w:rsidRPr="00672714">
              <w:rPr>
                <w:sz w:val="20"/>
                <w:szCs w:val="20"/>
              </w:rPr>
              <w:t>0</w:t>
            </w:r>
          </w:p>
        </w:tc>
        <w:tc>
          <w:tcPr>
            <w:tcW w:w="261" w:type="pct"/>
          </w:tcPr>
          <w:p w14:paraId="187D2D68" w14:textId="77777777" w:rsidR="00247AD2" w:rsidRPr="00672714" w:rsidRDefault="00247AD2" w:rsidP="00672714">
            <w:pPr>
              <w:pStyle w:val="BodyText"/>
              <w:rPr>
                <w:sz w:val="20"/>
                <w:szCs w:val="20"/>
              </w:rPr>
            </w:pPr>
            <w:r w:rsidRPr="00672714">
              <w:rPr>
                <w:sz w:val="20"/>
                <w:szCs w:val="20"/>
              </w:rPr>
              <w:t>0</w:t>
            </w:r>
          </w:p>
        </w:tc>
        <w:tc>
          <w:tcPr>
            <w:tcW w:w="261" w:type="pct"/>
          </w:tcPr>
          <w:p w14:paraId="1543BEA8" w14:textId="77777777" w:rsidR="00247AD2" w:rsidRPr="00672714" w:rsidRDefault="00247AD2" w:rsidP="00672714">
            <w:pPr>
              <w:pStyle w:val="BodyText"/>
              <w:rPr>
                <w:sz w:val="20"/>
                <w:szCs w:val="20"/>
              </w:rPr>
            </w:pPr>
            <w:r w:rsidRPr="00672714">
              <w:rPr>
                <w:sz w:val="20"/>
                <w:szCs w:val="20"/>
              </w:rPr>
              <w:t>0</w:t>
            </w:r>
          </w:p>
        </w:tc>
        <w:tc>
          <w:tcPr>
            <w:tcW w:w="261" w:type="pct"/>
          </w:tcPr>
          <w:p w14:paraId="62F5FEA2" w14:textId="77777777" w:rsidR="00247AD2" w:rsidRPr="00672714" w:rsidRDefault="00247AD2" w:rsidP="00672714">
            <w:pPr>
              <w:pStyle w:val="BodyText"/>
              <w:rPr>
                <w:sz w:val="20"/>
                <w:szCs w:val="20"/>
              </w:rPr>
            </w:pPr>
            <w:r w:rsidRPr="00672714">
              <w:rPr>
                <w:sz w:val="20"/>
                <w:szCs w:val="20"/>
              </w:rPr>
              <w:t>0</w:t>
            </w:r>
          </w:p>
        </w:tc>
        <w:tc>
          <w:tcPr>
            <w:tcW w:w="323" w:type="pct"/>
          </w:tcPr>
          <w:p w14:paraId="12367142" w14:textId="77777777" w:rsidR="00247AD2" w:rsidRPr="00672714" w:rsidRDefault="00247AD2" w:rsidP="00672714">
            <w:pPr>
              <w:pStyle w:val="BodyText"/>
              <w:rPr>
                <w:sz w:val="20"/>
                <w:szCs w:val="20"/>
              </w:rPr>
            </w:pPr>
            <w:r w:rsidRPr="00672714">
              <w:rPr>
                <w:rStyle w:val="01bodybold"/>
                <w:rFonts w:cs="Arial"/>
                <w:sz w:val="20"/>
                <w:szCs w:val="20"/>
              </w:rPr>
              <w:t>2,426</w:t>
            </w:r>
          </w:p>
        </w:tc>
      </w:tr>
      <w:tr w:rsidR="006A0585" w:rsidRPr="00672714" w14:paraId="6BE1E468" w14:textId="77777777" w:rsidTr="006A0585">
        <w:trPr>
          <w:trHeight w:val="453"/>
        </w:trPr>
        <w:tc>
          <w:tcPr>
            <w:tcW w:w="422" w:type="pct"/>
          </w:tcPr>
          <w:p w14:paraId="1C332D6F" w14:textId="77777777" w:rsidR="00247AD2" w:rsidRPr="00672714" w:rsidRDefault="00247AD2" w:rsidP="00672714">
            <w:pPr>
              <w:pStyle w:val="BodyText"/>
              <w:rPr>
                <w:sz w:val="20"/>
                <w:szCs w:val="20"/>
              </w:rPr>
            </w:pPr>
            <w:r w:rsidRPr="00672714">
              <w:rPr>
                <w:sz w:val="20"/>
                <w:szCs w:val="20"/>
              </w:rPr>
              <w:t>ACT</w:t>
            </w:r>
          </w:p>
        </w:tc>
        <w:tc>
          <w:tcPr>
            <w:tcW w:w="293" w:type="pct"/>
          </w:tcPr>
          <w:p w14:paraId="7262B1A5" w14:textId="77777777" w:rsidR="00247AD2" w:rsidRPr="00672714" w:rsidRDefault="00247AD2" w:rsidP="00672714">
            <w:pPr>
              <w:pStyle w:val="BodyText"/>
              <w:rPr>
                <w:sz w:val="20"/>
                <w:szCs w:val="20"/>
              </w:rPr>
            </w:pPr>
            <w:r w:rsidRPr="00672714">
              <w:rPr>
                <w:sz w:val="20"/>
                <w:szCs w:val="20"/>
              </w:rPr>
              <w:t>1,830</w:t>
            </w:r>
          </w:p>
        </w:tc>
        <w:tc>
          <w:tcPr>
            <w:tcW w:w="286" w:type="pct"/>
          </w:tcPr>
          <w:p w14:paraId="4F45FB3B" w14:textId="77777777" w:rsidR="00247AD2" w:rsidRPr="00672714" w:rsidRDefault="00247AD2" w:rsidP="00672714">
            <w:pPr>
              <w:pStyle w:val="BodyText"/>
              <w:rPr>
                <w:sz w:val="20"/>
                <w:szCs w:val="20"/>
              </w:rPr>
            </w:pPr>
            <w:r w:rsidRPr="00672714">
              <w:rPr>
                <w:sz w:val="20"/>
                <w:szCs w:val="20"/>
              </w:rPr>
              <w:t>107</w:t>
            </w:r>
          </w:p>
        </w:tc>
        <w:tc>
          <w:tcPr>
            <w:tcW w:w="310" w:type="pct"/>
          </w:tcPr>
          <w:p w14:paraId="4AC3DCAD" w14:textId="77777777" w:rsidR="00247AD2" w:rsidRPr="00672714" w:rsidRDefault="00247AD2" w:rsidP="00672714">
            <w:pPr>
              <w:pStyle w:val="BodyText"/>
              <w:rPr>
                <w:sz w:val="20"/>
                <w:szCs w:val="20"/>
              </w:rPr>
            </w:pPr>
            <w:r w:rsidRPr="00672714">
              <w:rPr>
                <w:sz w:val="20"/>
                <w:szCs w:val="20"/>
              </w:rPr>
              <w:t>1,937</w:t>
            </w:r>
          </w:p>
        </w:tc>
        <w:tc>
          <w:tcPr>
            <w:tcW w:w="323" w:type="pct"/>
          </w:tcPr>
          <w:p w14:paraId="56F5B54F" w14:textId="77777777" w:rsidR="00247AD2" w:rsidRPr="00672714" w:rsidRDefault="00247AD2" w:rsidP="00672714">
            <w:pPr>
              <w:pStyle w:val="BodyText"/>
              <w:rPr>
                <w:sz w:val="20"/>
                <w:szCs w:val="20"/>
              </w:rPr>
            </w:pPr>
            <w:r w:rsidRPr="00672714">
              <w:rPr>
                <w:sz w:val="20"/>
                <w:szCs w:val="20"/>
              </w:rPr>
              <w:t>2,137</w:t>
            </w:r>
          </w:p>
        </w:tc>
        <w:tc>
          <w:tcPr>
            <w:tcW w:w="298" w:type="pct"/>
          </w:tcPr>
          <w:p w14:paraId="2B397716" w14:textId="77777777" w:rsidR="00247AD2" w:rsidRPr="00672714" w:rsidRDefault="00247AD2" w:rsidP="00672714">
            <w:pPr>
              <w:pStyle w:val="BodyText"/>
              <w:rPr>
                <w:sz w:val="20"/>
                <w:szCs w:val="20"/>
              </w:rPr>
            </w:pPr>
            <w:r w:rsidRPr="00672714">
              <w:rPr>
                <w:sz w:val="20"/>
                <w:szCs w:val="20"/>
              </w:rPr>
              <w:t>389</w:t>
            </w:r>
          </w:p>
        </w:tc>
        <w:tc>
          <w:tcPr>
            <w:tcW w:w="323" w:type="pct"/>
          </w:tcPr>
          <w:p w14:paraId="569A433C" w14:textId="77777777" w:rsidR="00247AD2" w:rsidRPr="00672714" w:rsidRDefault="00247AD2" w:rsidP="00672714">
            <w:pPr>
              <w:pStyle w:val="BodyText"/>
              <w:rPr>
                <w:sz w:val="20"/>
                <w:szCs w:val="20"/>
              </w:rPr>
            </w:pPr>
            <w:r w:rsidRPr="00672714">
              <w:rPr>
                <w:sz w:val="20"/>
                <w:szCs w:val="20"/>
              </w:rPr>
              <w:t>2,526</w:t>
            </w:r>
          </w:p>
        </w:tc>
        <w:tc>
          <w:tcPr>
            <w:tcW w:w="286" w:type="pct"/>
          </w:tcPr>
          <w:p w14:paraId="77123022" w14:textId="77777777" w:rsidR="00247AD2" w:rsidRPr="00672714" w:rsidRDefault="00247AD2" w:rsidP="00672714">
            <w:pPr>
              <w:pStyle w:val="BodyText"/>
              <w:rPr>
                <w:sz w:val="20"/>
                <w:szCs w:val="20"/>
              </w:rPr>
            </w:pPr>
            <w:r w:rsidRPr="00672714">
              <w:rPr>
                <w:sz w:val="20"/>
                <w:szCs w:val="20"/>
              </w:rPr>
              <w:t>47</w:t>
            </w:r>
          </w:p>
        </w:tc>
        <w:tc>
          <w:tcPr>
            <w:tcW w:w="286" w:type="pct"/>
          </w:tcPr>
          <w:p w14:paraId="0FCD724E" w14:textId="77777777" w:rsidR="00247AD2" w:rsidRPr="00672714" w:rsidRDefault="00247AD2" w:rsidP="00672714">
            <w:pPr>
              <w:pStyle w:val="BodyText"/>
              <w:rPr>
                <w:sz w:val="20"/>
                <w:szCs w:val="20"/>
              </w:rPr>
            </w:pPr>
            <w:r w:rsidRPr="00672714">
              <w:rPr>
                <w:sz w:val="20"/>
                <w:szCs w:val="20"/>
              </w:rPr>
              <w:t>10</w:t>
            </w:r>
          </w:p>
        </w:tc>
        <w:tc>
          <w:tcPr>
            <w:tcW w:w="286" w:type="pct"/>
          </w:tcPr>
          <w:p w14:paraId="57A6C7D1" w14:textId="77777777" w:rsidR="00247AD2" w:rsidRPr="00672714" w:rsidRDefault="00247AD2" w:rsidP="00672714">
            <w:pPr>
              <w:pStyle w:val="BodyText"/>
              <w:rPr>
                <w:sz w:val="20"/>
                <w:szCs w:val="20"/>
              </w:rPr>
            </w:pPr>
            <w:r w:rsidRPr="00672714">
              <w:rPr>
                <w:sz w:val="20"/>
                <w:szCs w:val="20"/>
              </w:rPr>
              <w:t>57</w:t>
            </w:r>
          </w:p>
        </w:tc>
        <w:tc>
          <w:tcPr>
            <w:tcW w:w="261" w:type="pct"/>
          </w:tcPr>
          <w:p w14:paraId="344C8095" w14:textId="77777777" w:rsidR="00247AD2" w:rsidRPr="00672714" w:rsidRDefault="00247AD2" w:rsidP="00672714">
            <w:pPr>
              <w:pStyle w:val="BodyText"/>
              <w:rPr>
                <w:sz w:val="20"/>
                <w:szCs w:val="20"/>
              </w:rPr>
            </w:pPr>
            <w:r w:rsidRPr="00672714">
              <w:rPr>
                <w:sz w:val="20"/>
                <w:szCs w:val="20"/>
              </w:rPr>
              <w:t>0</w:t>
            </w:r>
          </w:p>
        </w:tc>
        <w:tc>
          <w:tcPr>
            <w:tcW w:w="261" w:type="pct"/>
          </w:tcPr>
          <w:p w14:paraId="75ED9DEE" w14:textId="77777777" w:rsidR="00247AD2" w:rsidRPr="00672714" w:rsidRDefault="00247AD2" w:rsidP="00672714">
            <w:pPr>
              <w:pStyle w:val="BodyText"/>
              <w:rPr>
                <w:sz w:val="20"/>
                <w:szCs w:val="20"/>
              </w:rPr>
            </w:pPr>
            <w:r w:rsidRPr="00672714">
              <w:rPr>
                <w:sz w:val="20"/>
                <w:szCs w:val="20"/>
              </w:rPr>
              <w:t>0</w:t>
            </w:r>
          </w:p>
        </w:tc>
        <w:tc>
          <w:tcPr>
            <w:tcW w:w="261" w:type="pct"/>
          </w:tcPr>
          <w:p w14:paraId="37D0B071" w14:textId="77777777" w:rsidR="00247AD2" w:rsidRPr="00672714" w:rsidRDefault="00247AD2" w:rsidP="00672714">
            <w:pPr>
              <w:pStyle w:val="BodyText"/>
              <w:rPr>
                <w:sz w:val="20"/>
                <w:szCs w:val="20"/>
              </w:rPr>
            </w:pPr>
            <w:r w:rsidRPr="00672714">
              <w:rPr>
                <w:sz w:val="20"/>
                <w:szCs w:val="20"/>
              </w:rPr>
              <w:t>0</w:t>
            </w:r>
          </w:p>
        </w:tc>
        <w:tc>
          <w:tcPr>
            <w:tcW w:w="261" w:type="pct"/>
          </w:tcPr>
          <w:p w14:paraId="5C0DB7FD" w14:textId="77777777" w:rsidR="00247AD2" w:rsidRPr="00672714" w:rsidRDefault="00247AD2" w:rsidP="00672714">
            <w:pPr>
              <w:pStyle w:val="BodyText"/>
              <w:rPr>
                <w:sz w:val="20"/>
                <w:szCs w:val="20"/>
              </w:rPr>
            </w:pPr>
            <w:r w:rsidRPr="00672714">
              <w:rPr>
                <w:sz w:val="20"/>
                <w:szCs w:val="20"/>
              </w:rPr>
              <w:t>0</w:t>
            </w:r>
          </w:p>
        </w:tc>
        <w:tc>
          <w:tcPr>
            <w:tcW w:w="261" w:type="pct"/>
          </w:tcPr>
          <w:p w14:paraId="1558560E" w14:textId="77777777" w:rsidR="00247AD2" w:rsidRPr="00672714" w:rsidRDefault="00247AD2" w:rsidP="00672714">
            <w:pPr>
              <w:pStyle w:val="BodyText"/>
              <w:rPr>
                <w:sz w:val="20"/>
                <w:szCs w:val="20"/>
              </w:rPr>
            </w:pPr>
            <w:r w:rsidRPr="00672714">
              <w:rPr>
                <w:sz w:val="20"/>
                <w:szCs w:val="20"/>
              </w:rPr>
              <w:t>0</w:t>
            </w:r>
          </w:p>
        </w:tc>
        <w:tc>
          <w:tcPr>
            <w:tcW w:w="261" w:type="pct"/>
          </w:tcPr>
          <w:p w14:paraId="78EA1533" w14:textId="77777777" w:rsidR="00247AD2" w:rsidRPr="00672714" w:rsidRDefault="00247AD2" w:rsidP="00672714">
            <w:pPr>
              <w:pStyle w:val="BodyText"/>
              <w:rPr>
                <w:sz w:val="20"/>
                <w:szCs w:val="20"/>
              </w:rPr>
            </w:pPr>
            <w:r w:rsidRPr="00672714">
              <w:rPr>
                <w:sz w:val="20"/>
                <w:szCs w:val="20"/>
              </w:rPr>
              <w:t>0</w:t>
            </w:r>
          </w:p>
        </w:tc>
        <w:tc>
          <w:tcPr>
            <w:tcW w:w="323" w:type="pct"/>
          </w:tcPr>
          <w:p w14:paraId="473C359F" w14:textId="77777777" w:rsidR="00247AD2" w:rsidRPr="00672714" w:rsidRDefault="00247AD2" w:rsidP="00672714">
            <w:pPr>
              <w:pStyle w:val="BodyText"/>
              <w:rPr>
                <w:sz w:val="20"/>
                <w:szCs w:val="20"/>
              </w:rPr>
            </w:pPr>
            <w:r w:rsidRPr="00672714">
              <w:rPr>
                <w:rStyle w:val="01bodybold"/>
                <w:rFonts w:cs="Arial"/>
                <w:sz w:val="20"/>
                <w:szCs w:val="20"/>
              </w:rPr>
              <w:t>4,520</w:t>
            </w:r>
          </w:p>
        </w:tc>
      </w:tr>
      <w:tr w:rsidR="006A0585" w:rsidRPr="00672714" w14:paraId="3CDFFE8A" w14:textId="77777777" w:rsidTr="006A0585">
        <w:trPr>
          <w:trHeight w:val="453"/>
        </w:trPr>
        <w:tc>
          <w:tcPr>
            <w:tcW w:w="422" w:type="pct"/>
          </w:tcPr>
          <w:p w14:paraId="54046D34" w14:textId="77777777" w:rsidR="00247AD2" w:rsidRPr="00672714" w:rsidRDefault="00247AD2" w:rsidP="00672714">
            <w:pPr>
              <w:pStyle w:val="BodyText"/>
              <w:rPr>
                <w:sz w:val="20"/>
                <w:szCs w:val="20"/>
              </w:rPr>
            </w:pPr>
            <w:r w:rsidRPr="00672714">
              <w:rPr>
                <w:sz w:val="20"/>
                <w:szCs w:val="20"/>
              </w:rPr>
              <w:t>NT</w:t>
            </w:r>
          </w:p>
        </w:tc>
        <w:tc>
          <w:tcPr>
            <w:tcW w:w="293" w:type="pct"/>
          </w:tcPr>
          <w:p w14:paraId="48DE54CF" w14:textId="77777777" w:rsidR="00247AD2" w:rsidRPr="00672714" w:rsidRDefault="00247AD2" w:rsidP="00672714">
            <w:pPr>
              <w:pStyle w:val="BodyText"/>
              <w:rPr>
                <w:sz w:val="20"/>
                <w:szCs w:val="20"/>
              </w:rPr>
            </w:pPr>
            <w:r w:rsidRPr="00672714">
              <w:rPr>
                <w:sz w:val="20"/>
                <w:szCs w:val="20"/>
              </w:rPr>
              <w:t>85</w:t>
            </w:r>
          </w:p>
        </w:tc>
        <w:tc>
          <w:tcPr>
            <w:tcW w:w="286" w:type="pct"/>
          </w:tcPr>
          <w:p w14:paraId="146858C7" w14:textId="77777777" w:rsidR="00247AD2" w:rsidRPr="00672714" w:rsidRDefault="00247AD2" w:rsidP="00672714">
            <w:pPr>
              <w:pStyle w:val="BodyText"/>
              <w:rPr>
                <w:sz w:val="20"/>
                <w:szCs w:val="20"/>
              </w:rPr>
            </w:pPr>
            <w:r w:rsidRPr="00672714">
              <w:rPr>
                <w:sz w:val="20"/>
                <w:szCs w:val="20"/>
              </w:rPr>
              <w:t>7</w:t>
            </w:r>
          </w:p>
        </w:tc>
        <w:tc>
          <w:tcPr>
            <w:tcW w:w="310" w:type="pct"/>
          </w:tcPr>
          <w:p w14:paraId="02227A07" w14:textId="77777777" w:rsidR="00247AD2" w:rsidRPr="00672714" w:rsidRDefault="00247AD2" w:rsidP="00672714">
            <w:pPr>
              <w:pStyle w:val="BodyText"/>
              <w:rPr>
                <w:sz w:val="20"/>
                <w:szCs w:val="20"/>
              </w:rPr>
            </w:pPr>
            <w:r w:rsidRPr="00672714">
              <w:rPr>
                <w:sz w:val="20"/>
                <w:szCs w:val="20"/>
              </w:rPr>
              <w:t>92</w:t>
            </w:r>
          </w:p>
        </w:tc>
        <w:tc>
          <w:tcPr>
            <w:tcW w:w="323" w:type="pct"/>
          </w:tcPr>
          <w:p w14:paraId="7FB006B3" w14:textId="77777777" w:rsidR="00247AD2" w:rsidRPr="00672714" w:rsidRDefault="00247AD2" w:rsidP="00672714">
            <w:pPr>
              <w:pStyle w:val="BodyText"/>
              <w:rPr>
                <w:sz w:val="20"/>
                <w:szCs w:val="20"/>
              </w:rPr>
            </w:pPr>
            <w:r w:rsidRPr="00672714">
              <w:rPr>
                <w:sz w:val="20"/>
                <w:szCs w:val="20"/>
              </w:rPr>
              <w:t>262</w:t>
            </w:r>
          </w:p>
        </w:tc>
        <w:tc>
          <w:tcPr>
            <w:tcW w:w="298" w:type="pct"/>
          </w:tcPr>
          <w:p w14:paraId="1EFE0F05" w14:textId="77777777" w:rsidR="00247AD2" w:rsidRPr="00672714" w:rsidRDefault="00247AD2" w:rsidP="00672714">
            <w:pPr>
              <w:pStyle w:val="BodyText"/>
              <w:rPr>
                <w:sz w:val="20"/>
                <w:szCs w:val="20"/>
              </w:rPr>
            </w:pPr>
            <w:r w:rsidRPr="00672714">
              <w:rPr>
                <w:sz w:val="20"/>
                <w:szCs w:val="20"/>
              </w:rPr>
              <w:t>53</w:t>
            </w:r>
          </w:p>
        </w:tc>
        <w:tc>
          <w:tcPr>
            <w:tcW w:w="323" w:type="pct"/>
          </w:tcPr>
          <w:p w14:paraId="13930551" w14:textId="77777777" w:rsidR="00247AD2" w:rsidRPr="00672714" w:rsidRDefault="00247AD2" w:rsidP="00672714">
            <w:pPr>
              <w:pStyle w:val="BodyText"/>
              <w:rPr>
                <w:sz w:val="20"/>
                <w:szCs w:val="20"/>
              </w:rPr>
            </w:pPr>
            <w:r w:rsidRPr="00672714">
              <w:rPr>
                <w:sz w:val="20"/>
                <w:szCs w:val="20"/>
              </w:rPr>
              <w:t>315</w:t>
            </w:r>
          </w:p>
        </w:tc>
        <w:tc>
          <w:tcPr>
            <w:tcW w:w="286" w:type="pct"/>
          </w:tcPr>
          <w:p w14:paraId="0A3FA761" w14:textId="77777777" w:rsidR="00247AD2" w:rsidRPr="00672714" w:rsidRDefault="00247AD2" w:rsidP="00672714">
            <w:pPr>
              <w:pStyle w:val="BodyText"/>
              <w:rPr>
                <w:sz w:val="20"/>
                <w:szCs w:val="20"/>
              </w:rPr>
            </w:pPr>
            <w:r w:rsidRPr="00672714">
              <w:rPr>
                <w:sz w:val="20"/>
                <w:szCs w:val="20"/>
              </w:rPr>
              <w:t>3</w:t>
            </w:r>
          </w:p>
        </w:tc>
        <w:tc>
          <w:tcPr>
            <w:tcW w:w="286" w:type="pct"/>
          </w:tcPr>
          <w:p w14:paraId="4704FB7F" w14:textId="77777777" w:rsidR="00247AD2" w:rsidRPr="00672714" w:rsidRDefault="00247AD2" w:rsidP="00672714">
            <w:pPr>
              <w:pStyle w:val="BodyText"/>
              <w:rPr>
                <w:sz w:val="20"/>
                <w:szCs w:val="20"/>
              </w:rPr>
            </w:pPr>
            <w:r w:rsidRPr="00672714">
              <w:rPr>
                <w:sz w:val="20"/>
                <w:szCs w:val="20"/>
              </w:rPr>
              <w:t>0</w:t>
            </w:r>
          </w:p>
        </w:tc>
        <w:tc>
          <w:tcPr>
            <w:tcW w:w="286" w:type="pct"/>
          </w:tcPr>
          <w:p w14:paraId="25310703" w14:textId="77777777" w:rsidR="00247AD2" w:rsidRPr="00672714" w:rsidRDefault="00247AD2" w:rsidP="00672714">
            <w:pPr>
              <w:pStyle w:val="BodyText"/>
              <w:rPr>
                <w:sz w:val="20"/>
                <w:szCs w:val="20"/>
              </w:rPr>
            </w:pPr>
            <w:r w:rsidRPr="00672714">
              <w:rPr>
                <w:sz w:val="20"/>
                <w:szCs w:val="20"/>
              </w:rPr>
              <w:t>3</w:t>
            </w:r>
          </w:p>
        </w:tc>
        <w:tc>
          <w:tcPr>
            <w:tcW w:w="261" w:type="pct"/>
          </w:tcPr>
          <w:p w14:paraId="64E6C9B1" w14:textId="77777777" w:rsidR="00247AD2" w:rsidRPr="00672714" w:rsidRDefault="00247AD2" w:rsidP="00672714">
            <w:pPr>
              <w:pStyle w:val="BodyText"/>
              <w:rPr>
                <w:sz w:val="20"/>
                <w:szCs w:val="20"/>
              </w:rPr>
            </w:pPr>
            <w:r w:rsidRPr="00672714">
              <w:rPr>
                <w:sz w:val="20"/>
                <w:szCs w:val="20"/>
              </w:rPr>
              <w:t>0</w:t>
            </w:r>
          </w:p>
        </w:tc>
        <w:tc>
          <w:tcPr>
            <w:tcW w:w="261" w:type="pct"/>
          </w:tcPr>
          <w:p w14:paraId="04D46FB5" w14:textId="77777777" w:rsidR="00247AD2" w:rsidRPr="00672714" w:rsidRDefault="00247AD2" w:rsidP="00672714">
            <w:pPr>
              <w:pStyle w:val="BodyText"/>
              <w:rPr>
                <w:sz w:val="20"/>
                <w:szCs w:val="20"/>
              </w:rPr>
            </w:pPr>
            <w:r w:rsidRPr="00672714">
              <w:rPr>
                <w:sz w:val="20"/>
                <w:szCs w:val="20"/>
              </w:rPr>
              <w:t>0</w:t>
            </w:r>
          </w:p>
        </w:tc>
        <w:tc>
          <w:tcPr>
            <w:tcW w:w="261" w:type="pct"/>
          </w:tcPr>
          <w:p w14:paraId="64CE3583" w14:textId="77777777" w:rsidR="00247AD2" w:rsidRPr="00672714" w:rsidRDefault="00247AD2" w:rsidP="00672714">
            <w:pPr>
              <w:pStyle w:val="BodyText"/>
              <w:rPr>
                <w:sz w:val="20"/>
                <w:szCs w:val="20"/>
              </w:rPr>
            </w:pPr>
            <w:r w:rsidRPr="00672714">
              <w:rPr>
                <w:sz w:val="20"/>
                <w:szCs w:val="20"/>
              </w:rPr>
              <w:t>0</w:t>
            </w:r>
          </w:p>
        </w:tc>
        <w:tc>
          <w:tcPr>
            <w:tcW w:w="261" w:type="pct"/>
          </w:tcPr>
          <w:p w14:paraId="55E7DCB9" w14:textId="77777777" w:rsidR="00247AD2" w:rsidRPr="00672714" w:rsidRDefault="00247AD2" w:rsidP="00672714">
            <w:pPr>
              <w:pStyle w:val="BodyText"/>
              <w:rPr>
                <w:sz w:val="20"/>
                <w:szCs w:val="20"/>
              </w:rPr>
            </w:pPr>
            <w:r w:rsidRPr="00672714">
              <w:rPr>
                <w:sz w:val="20"/>
                <w:szCs w:val="20"/>
              </w:rPr>
              <w:t>0</w:t>
            </w:r>
          </w:p>
        </w:tc>
        <w:tc>
          <w:tcPr>
            <w:tcW w:w="261" w:type="pct"/>
          </w:tcPr>
          <w:p w14:paraId="3B0B81E5" w14:textId="77777777" w:rsidR="00247AD2" w:rsidRPr="00672714" w:rsidRDefault="00247AD2" w:rsidP="00672714">
            <w:pPr>
              <w:pStyle w:val="BodyText"/>
              <w:rPr>
                <w:sz w:val="20"/>
                <w:szCs w:val="20"/>
              </w:rPr>
            </w:pPr>
            <w:r w:rsidRPr="00672714">
              <w:rPr>
                <w:sz w:val="20"/>
                <w:szCs w:val="20"/>
              </w:rPr>
              <w:t>0</w:t>
            </w:r>
          </w:p>
        </w:tc>
        <w:tc>
          <w:tcPr>
            <w:tcW w:w="261" w:type="pct"/>
          </w:tcPr>
          <w:p w14:paraId="4382FC1E" w14:textId="77777777" w:rsidR="00247AD2" w:rsidRPr="00672714" w:rsidRDefault="00247AD2" w:rsidP="00672714">
            <w:pPr>
              <w:pStyle w:val="BodyText"/>
              <w:rPr>
                <w:sz w:val="20"/>
                <w:szCs w:val="20"/>
              </w:rPr>
            </w:pPr>
            <w:r w:rsidRPr="00672714">
              <w:rPr>
                <w:sz w:val="20"/>
                <w:szCs w:val="20"/>
              </w:rPr>
              <w:t>0</w:t>
            </w:r>
          </w:p>
        </w:tc>
        <w:tc>
          <w:tcPr>
            <w:tcW w:w="323" w:type="pct"/>
          </w:tcPr>
          <w:p w14:paraId="130EE125" w14:textId="77777777" w:rsidR="00247AD2" w:rsidRPr="00672714" w:rsidRDefault="00247AD2" w:rsidP="00672714">
            <w:pPr>
              <w:pStyle w:val="BodyText"/>
              <w:rPr>
                <w:sz w:val="20"/>
                <w:szCs w:val="20"/>
              </w:rPr>
            </w:pPr>
            <w:r w:rsidRPr="00672714">
              <w:rPr>
                <w:rStyle w:val="01bodybold"/>
                <w:rFonts w:cs="Arial"/>
                <w:sz w:val="20"/>
                <w:szCs w:val="20"/>
              </w:rPr>
              <w:t>410</w:t>
            </w:r>
          </w:p>
        </w:tc>
      </w:tr>
      <w:tr w:rsidR="006A0585" w:rsidRPr="00672714" w14:paraId="759BFD31" w14:textId="77777777" w:rsidTr="006A0585">
        <w:trPr>
          <w:trHeight w:val="453"/>
        </w:trPr>
        <w:tc>
          <w:tcPr>
            <w:tcW w:w="422" w:type="pct"/>
          </w:tcPr>
          <w:p w14:paraId="7834D383" w14:textId="77777777" w:rsidR="00247AD2" w:rsidRPr="00672714" w:rsidRDefault="00247AD2" w:rsidP="00672714">
            <w:pPr>
              <w:pStyle w:val="BodyText"/>
              <w:rPr>
                <w:sz w:val="20"/>
                <w:szCs w:val="20"/>
              </w:rPr>
            </w:pPr>
            <w:r w:rsidRPr="00672714">
              <w:rPr>
                <w:sz w:val="20"/>
                <w:szCs w:val="20"/>
              </w:rPr>
              <w:t>External territories</w:t>
            </w:r>
          </w:p>
        </w:tc>
        <w:tc>
          <w:tcPr>
            <w:tcW w:w="293" w:type="pct"/>
          </w:tcPr>
          <w:p w14:paraId="1DA35190" w14:textId="77777777" w:rsidR="00247AD2" w:rsidRPr="00672714" w:rsidRDefault="00247AD2" w:rsidP="00672714">
            <w:pPr>
              <w:pStyle w:val="BodyText"/>
              <w:rPr>
                <w:sz w:val="20"/>
                <w:szCs w:val="20"/>
              </w:rPr>
            </w:pPr>
            <w:r w:rsidRPr="00672714">
              <w:rPr>
                <w:sz w:val="20"/>
                <w:szCs w:val="20"/>
              </w:rPr>
              <w:t>0</w:t>
            </w:r>
          </w:p>
        </w:tc>
        <w:tc>
          <w:tcPr>
            <w:tcW w:w="286" w:type="pct"/>
          </w:tcPr>
          <w:p w14:paraId="1D7CB64A" w14:textId="77777777" w:rsidR="00247AD2" w:rsidRPr="00672714" w:rsidRDefault="00247AD2" w:rsidP="00672714">
            <w:pPr>
              <w:pStyle w:val="BodyText"/>
              <w:rPr>
                <w:sz w:val="20"/>
                <w:szCs w:val="20"/>
              </w:rPr>
            </w:pPr>
            <w:r w:rsidRPr="00672714">
              <w:rPr>
                <w:sz w:val="20"/>
                <w:szCs w:val="20"/>
              </w:rPr>
              <w:t>0</w:t>
            </w:r>
          </w:p>
        </w:tc>
        <w:tc>
          <w:tcPr>
            <w:tcW w:w="310" w:type="pct"/>
          </w:tcPr>
          <w:p w14:paraId="5469F878" w14:textId="77777777" w:rsidR="00247AD2" w:rsidRPr="00672714" w:rsidRDefault="00247AD2" w:rsidP="00672714">
            <w:pPr>
              <w:pStyle w:val="BodyText"/>
              <w:rPr>
                <w:sz w:val="20"/>
                <w:szCs w:val="20"/>
              </w:rPr>
            </w:pPr>
            <w:r w:rsidRPr="00672714">
              <w:rPr>
                <w:sz w:val="20"/>
                <w:szCs w:val="20"/>
              </w:rPr>
              <w:t>0</w:t>
            </w:r>
          </w:p>
        </w:tc>
        <w:tc>
          <w:tcPr>
            <w:tcW w:w="323" w:type="pct"/>
          </w:tcPr>
          <w:p w14:paraId="006DE74B" w14:textId="77777777" w:rsidR="00247AD2" w:rsidRPr="00672714" w:rsidRDefault="00247AD2" w:rsidP="00672714">
            <w:pPr>
              <w:pStyle w:val="BodyText"/>
              <w:rPr>
                <w:sz w:val="20"/>
                <w:szCs w:val="20"/>
              </w:rPr>
            </w:pPr>
            <w:r w:rsidRPr="00672714">
              <w:rPr>
                <w:sz w:val="20"/>
                <w:szCs w:val="20"/>
              </w:rPr>
              <w:t>0</w:t>
            </w:r>
          </w:p>
        </w:tc>
        <w:tc>
          <w:tcPr>
            <w:tcW w:w="298" w:type="pct"/>
          </w:tcPr>
          <w:p w14:paraId="134ED79B" w14:textId="77777777" w:rsidR="00247AD2" w:rsidRPr="00672714" w:rsidRDefault="00247AD2" w:rsidP="00672714">
            <w:pPr>
              <w:pStyle w:val="BodyText"/>
              <w:rPr>
                <w:sz w:val="20"/>
                <w:szCs w:val="20"/>
              </w:rPr>
            </w:pPr>
            <w:r w:rsidRPr="00672714">
              <w:rPr>
                <w:sz w:val="20"/>
                <w:szCs w:val="20"/>
              </w:rPr>
              <w:t>0</w:t>
            </w:r>
          </w:p>
        </w:tc>
        <w:tc>
          <w:tcPr>
            <w:tcW w:w="323" w:type="pct"/>
          </w:tcPr>
          <w:p w14:paraId="52B200FE" w14:textId="77777777" w:rsidR="00247AD2" w:rsidRPr="00672714" w:rsidRDefault="00247AD2" w:rsidP="00672714">
            <w:pPr>
              <w:pStyle w:val="BodyText"/>
              <w:rPr>
                <w:sz w:val="20"/>
                <w:szCs w:val="20"/>
              </w:rPr>
            </w:pPr>
            <w:r w:rsidRPr="00672714">
              <w:rPr>
                <w:sz w:val="20"/>
                <w:szCs w:val="20"/>
              </w:rPr>
              <w:t>0</w:t>
            </w:r>
          </w:p>
        </w:tc>
        <w:tc>
          <w:tcPr>
            <w:tcW w:w="286" w:type="pct"/>
          </w:tcPr>
          <w:p w14:paraId="11DCF1A5" w14:textId="77777777" w:rsidR="00247AD2" w:rsidRPr="00672714" w:rsidRDefault="00247AD2" w:rsidP="00672714">
            <w:pPr>
              <w:pStyle w:val="BodyText"/>
              <w:rPr>
                <w:sz w:val="20"/>
                <w:szCs w:val="20"/>
              </w:rPr>
            </w:pPr>
            <w:r w:rsidRPr="00672714">
              <w:rPr>
                <w:sz w:val="20"/>
                <w:szCs w:val="20"/>
              </w:rPr>
              <w:t>0</w:t>
            </w:r>
          </w:p>
        </w:tc>
        <w:tc>
          <w:tcPr>
            <w:tcW w:w="286" w:type="pct"/>
          </w:tcPr>
          <w:p w14:paraId="642F0F2C" w14:textId="77777777" w:rsidR="00247AD2" w:rsidRPr="00672714" w:rsidRDefault="00247AD2" w:rsidP="00672714">
            <w:pPr>
              <w:pStyle w:val="BodyText"/>
              <w:rPr>
                <w:sz w:val="20"/>
                <w:szCs w:val="20"/>
              </w:rPr>
            </w:pPr>
            <w:r w:rsidRPr="00672714">
              <w:rPr>
                <w:sz w:val="20"/>
                <w:szCs w:val="20"/>
              </w:rPr>
              <w:t>0</w:t>
            </w:r>
          </w:p>
        </w:tc>
        <w:tc>
          <w:tcPr>
            <w:tcW w:w="286" w:type="pct"/>
          </w:tcPr>
          <w:p w14:paraId="7C65E8B7" w14:textId="77777777" w:rsidR="00247AD2" w:rsidRPr="00672714" w:rsidRDefault="00247AD2" w:rsidP="00672714">
            <w:pPr>
              <w:pStyle w:val="BodyText"/>
              <w:rPr>
                <w:sz w:val="20"/>
                <w:szCs w:val="20"/>
              </w:rPr>
            </w:pPr>
            <w:r w:rsidRPr="00672714">
              <w:rPr>
                <w:sz w:val="20"/>
                <w:szCs w:val="20"/>
              </w:rPr>
              <w:t>0</w:t>
            </w:r>
          </w:p>
        </w:tc>
        <w:tc>
          <w:tcPr>
            <w:tcW w:w="261" w:type="pct"/>
          </w:tcPr>
          <w:p w14:paraId="6C9DBD99" w14:textId="77777777" w:rsidR="00247AD2" w:rsidRPr="00672714" w:rsidRDefault="00247AD2" w:rsidP="00672714">
            <w:pPr>
              <w:pStyle w:val="BodyText"/>
              <w:rPr>
                <w:sz w:val="20"/>
                <w:szCs w:val="20"/>
              </w:rPr>
            </w:pPr>
            <w:r w:rsidRPr="00672714">
              <w:rPr>
                <w:sz w:val="20"/>
                <w:szCs w:val="20"/>
              </w:rPr>
              <w:t>0</w:t>
            </w:r>
          </w:p>
        </w:tc>
        <w:tc>
          <w:tcPr>
            <w:tcW w:w="261" w:type="pct"/>
          </w:tcPr>
          <w:p w14:paraId="7A7F8001" w14:textId="77777777" w:rsidR="00247AD2" w:rsidRPr="00672714" w:rsidRDefault="00247AD2" w:rsidP="00672714">
            <w:pPr>
              <w:pStyle w:val="BodyText"/>
              <w:rPr>
                <w:sz w:val="20"/>
                <w:szCs w:val="20"/>
              </w:rPr>
            </w:pPr>
            <w:r w:rsidRPr="00672714">
              <w:rPr>
                <w:sz w:val="20"/>
                <w:szCs w:val="20"/>
              </w:rPr>
              <w:t>0</w:t>
            </w:r>
          </w:p>
        </w:tc>
        <w:tc>
          <w:tcPr>
            <w:tcW w:w="261" w:type="pct"/>
          </w:tcPr>
          <w:p w14:paraId="085E9616" w14:textId="77777777" w:rsidR="00247AD2" w:rsidRPr="00672714" w:rsidRDefault="00247AD2" w:rsidP="00672714">
            <w:pPr>
              <w:pStyle w:val="BodyText"/>
              <w:rPr>
                <w:sz w:val="20"/>
                <w:szCs w:val="20"/>
              </w:rPr>
            </w:pPr>
            <w:r w:rsidRPr="00672714">
              <w:rPr>
                <w:sz w:val="20"/>
                <w:szCs w:val="20"/>
              </w:rPr>
              <w:t>0</w:t>
            </w:r>
          </w:p>
        </w:tc>
        <w:tc>
          <w:tcPr>
            <w:tcW w:w="261" w:type="pct"/>
          </w:tcPr>
          <w:p w14:paraId="2FB076E0" w14:textId="77777777" w:rsidR="00247AD2" w:rsidRPr="00672714" w:rsidRDefault="00247AD2" w:rsidP="00672714">
            <w:pPr>
              <w:pStyle w:val="BodyText"/>
              <w:rPr>
                <w:sz w:val="20"/>
                <w:szCs w:val="20"/>
              </w:rPr>
            </w:pPr>
            <w:r w:rsidRPr="00672714">
              <w:rPr>
                <w:sz w:val="20"/>
                <w:szCs w:val="20"/>
              </w:rPr>
              <w:t>0</w:t>
            </w:r>
          </w:p>
        </w:tc>
        <w:tc>
          <w:tcPr>
            <w:tcW w:w="261" w:type="pct"/>
          </w:tcPr>
          <w:p w14:paraId="1FCD41A6" w14:textId="77777777" w:rsidR="00247AD2" w:rsidRPr="00672714" w:rsidRDefault="00247AD2" w:rsidP="00672714">
            <w:pPr>
              <w:pStyle w:val="BodyText"/>
              <w:rPr>
                <w:sz w:val="20"/>
                <w:szCs w:val="20"/>
              </w:rPr>
            </w:pPr>
            <w:r w:rsidRPr="00672714">
              <w:rPr>
                <w:sz w:val="20"/>
                <w:szCs w:val="20"/>
              </w:rPr>
              <w:t>0</w:t>
            </w:r>
          </w:p>
        </w:tc>
        <w:tc>
          <w:tcPr>
            <w:tcW w:w="261" w:type="pct"/>
          </w:tcPr>
          <w:p w14:paraId="205C41B7" w14:textId="77777777" w:rsidR="00247AD2" w:rsidRPr="00672714" w:rsidRDefault="00247AD2" w:rsidP="00672714">
            <w:pPr>
              <w:pStyle w:val="BodyText"/>
              <w:rPr>
                <w:sz w:val="20"/>
                <w:szCs w:val="20"/>
              </w:rPr>
            </w:pPr>
            <w:r w:rsidRPr="00672714">
              <w:rPr>
                <w:sz w:val="20"/>
                <w:szCs w:val="20"/>
              </w:rPr>
              <w:t>0</w:t>
            </w:r>
          </w:p>
        </w:tc>
        <w:tc>
          <w:tcPr>
            <w:tcW w:w="323" w:type="pct"/>
          </w:tcPr>
          <w:p w14:paraId="0E51DD1B" w14:textId="77777777" w:rsidR="00247AD2" w:rsidRPr="00672714" w:rsidRDefault="00247AD2" w:rsidP="00672714">
            <w:pPr>
              <w:pStyle w:val="BodyText"/>
              <w:rPr>
                <w:sz w:val="20"/>
                <w:szCs w:val="20"/>
              </w:rPr>
            </w:pPr>
            <w:r w:rsidRPr="00672714">
              <w:rPr>
                <w:rStyle w:val="01bodybold"/>
                <w:rFonts w:cs="Arial"/>
                <w:sz w:val="20"/>
                <w:szCs w:val="20"/>
              </w:rPr>
              <w:t>0</w:t>
            </w:r>
          </w:p>
        </w:tc>
      </w:tr>
      <w:tr w:rsidR="006A0585" w:rsidRPr="00672714" w14:paraId="520439F8" w14:textId="77777777" w:rsidTr="006A0585">
        <w:trPr>
          <w:trHeight w:val="453"/>
        </w:trPr>
        <w:tc>
          <w:tcPr>
            <w:tcW w:w="422" w:type="pct"/>
          </w:tcPr>
          <w:p w14:paraId="7C4D3D54" w14:textId="77777777" w:rsidR="00247AD2" w:rsidRPr="00672714" w:rsidRDefault="00247AD2" w:rsidP="00672714">
            <w:pPr>
              <w:pStyle w:val="BodyText"/>
              <w:rPr>
                <w:sz w:val="20"/>
                <w:szCs w:val="20"/>
              </w:rPr>
            </w:pPr>
            <w:r w:rsidRPr="00672714">
              <w:rPr>
                <w:sz w:val="20"/>
                <w:szCs w:val="20"/>
              </w:rPr>
              <w:t>Overseas</w:t>
            </w:r>
          </w:p>
        </w:tc>
        <w:tc>
          <w:tcPr>
            <w:tcW w:w="293" w:type="pct"/>
          </w:tcPr>
          <w:p w14:paraId="3A36BB86" w14:textId="77777777" w:rsidR="00247AD2" w:rsidRPr="00672714" w:rsidRDefault="00247AD2" w:rsidP="00672714">
            <w:pPr>
              <w:pStyle w:val="BodyText"/>
              <w:rPr>
                <w:sz w:val="20"/>
                <w:szCs w:val="20"/>
              </w:rPr>
            </w:pPr>
            <w:r w:rsidRPr="00672714">
              <w:rPr>
                <w:sz w:val="20"/>
                <w:szCs w:val="20"/>
              </w:rPr>
              <w:t>0</w:t>
            </w:r>
          </w:p>
        </w:tc>
        <w:tc>
          <w:tcPr>
            <w:tcW w:w="286" w:type="pct"/>
          </w:tcPr>
          <w:p w14:paraId="60C4CED5" w14:textId="77777777" w:rsidR="00247AD2" w:rsidRPr="00672714" w:rsidRDefault="00247AD2" w:rsidP="00672714">
            <w:pPr>
              <w:pStyle w:val="BodyText"/>
              <w:rPr>
                <w:sz w:val="20"/>
                <w:szCs w:val="20"/>
              </w:rPr>
            </w:pPr>
            <w:r w:rsidRPr="00672714">
              <w:rPr>
                <w:sz w:val="20"/>
                <w:szCs w:val="20"/>
              </w:rPr>
              <w:t>0</w:t>
            </w:r>
          </w:p>
        </w:tc>
        <w:tc>
          <w:tcPr>
            <w:tcW w:w="310" w:type="pct"/>
          </w:tcPr>
          <w:p w14:paraId="793FA255" w14:textId="77777777" w:rsidR="00247AD2" w:rsidRPr="00672714" w:rsidRDefault="00247AD2" w:rsidP="00672714">
            <w:pPr>
              <w:pStyle w:val="BodyText"/>
              <w:rPr>
                <w:sz w:val="20"/>
                <w:szCs w:val="20"/>
              </w:rPr>
            </w:pPr>
            <w:r w:rsidRPr="00672714">
              <w:rPr>
                <w:sz w:val="20"/>
                <w:szCs w:val="20"/>
              </w:rPr>
              <w:t>0</w:t>
            </w:r>
          </w:p>
        </w:tc>
        <w:tc>
          <w:tcPr>
            <w:tcW w:w="323" w:type="pct"/>
          </w:tcPr>
          <w:p w14:paraId="194398BB" w14:textId="77777777" w:rsidR="00247AD2" w:rsidRPr="00672714" w:rsidRDefault="00247AD2" w:rsidP="00672714">
            <w:pPr>
              <w:pStyle w:val="BodyText"/>
              <w:rPr>
                <w:sz w:val="20"/>
                <w:szCs w:val="20"/>
              </w:rPr>
            </w:pPr>
            <w:r w:rsidRPr="00672714">
              <w:rPr>
                <w:sz w:val="20"/>
                <w:szCs w:val="20"/>
              </w:rPr>
              <w:t>0</w:t>
            </w:r>
          </w:p>
        </w:tc>
        <w:tc>
          <w:tcPr>
            <w:tcW w:w="298" w:type="pct"/>
          </w:tcPr>
          <w:p w14:paraId="51470F88" w14:textId="77777777" w:rsidR="00247AD2" w:rsidRPr="00672714" w:rsidRDefault="00247AD2" w:rsidP="00672714">
            <w:pPr>
              <w:pStyle w:val="BodyText"/>
              <w:rPr>
                <w:sz w:val="20"/>
                <w:szCs w:val="20"/>
              </w:rPr>
            </w:pPr>
            <w:r w:rsidRPr="00672714">
              <w:rPr>
                <w:sz w:val="20"/>
                <w:szCs w:val="20"/>
              </w:rPr>
              <w:t>0</w:t>
            </w:r>
          </w:p>
        </w:tc>
        <w:tc>
          <w:tcPr>
            <w:tcW w:w="323" w:type="pct"/>
          </w:tcPr>
          <w:p w14:paraId="2E2BA6D4" w14:textId="77777777" w:rsidR="00247AD2" w:rsidRPr="00672714" w:rsidRDefault="00247AD2" w:rsidP="00672714">
            <w:pPr>
              <w:pStyle w:val="BodyText"/>
              <w:rPr>
                <w:sz w:val="20"/>
                <w:szCs w:val="20"/>
              </w:rPr>
            </w:pPr>
            <w:r w:rsidRPr="00672714">
              <w:rPr>
                <w:sz w:val="20"/>
                <w:szCs w:val="20"/>
              </w:rPr>
              <w:t>0</w:t>
            </w:r>
          </w:p>
        </w:tc>
        <w:tc>
          <w:tcPr>
            <w:tcW w:w="286" w:type="pct"/>
          </w:tcPr>
          <w:p w14:paraId="5BABE55C" w14:textId="77777777" w:rsidR="00247AD2" w:rsidRPr="00672714" w:rsidRDefault="00247AD2" w:rsidP="00672714">
            <w:pPr>
              <w:pStyle w:val="BodyText"/>
              <w:rPr>
                <w:sz w:val="20"/>
                <w:szCs w:val="20"/>
              </w:rPr>
            </w:pPr>
            <w:r w:rsidRPr="00672714">
              <w:rPr>
                <w:sz w:val="20"/>
                <w:szCs w:val="20"/>
              </w:rPr>
              <w:t>0</w:t>
            </w:r>
          </w:p>
        </w:tc>
        <w:tc>
          <w:tcPr>
            <w:tcW w:w="286" w:type="pct"/>
          </w:tcPr>
          <w:p w14:paraId="6C8AEC29" w14:textId="77777777" w:rsidR="00247AD2" w:rsidRPr="00672714" w:rsidRDefault="00247AD2" w:rsidP="00672714">
            <w:pPr>
              <w:pStyle w:val="BodyText"/>
              <w:rPr>
                <w:sz w:val="20"/>
                <w:szCs w:val="20"/>
              </w:rPr>
            </w:pPr>
            <w:r w:rsidRPr="00672714">
              <w:rPr>
                <w:sz w:val="20"/>
                <w:szCs w:val="20"/>
              </w:rPr>
              <w:t>0</w:t>
            </w:r>
          </w:p>
        </w:tc>
        <w:tc>
          <w:tcPr>
            <w:tcW w:w="286" w:type="pct"/>
          </w:tcPr>
          <w:p w14:paraId="2892D6C2" w14:textId="77777777" w:rsidR="00247AD2" w:rsidRPr="00672714" w:rsidRDefault="00247AD2" w:rsidP="00672714">
            <w:pPr>
              <w:pStyle w:val="BodyText"/>
              <w:rPr>
                <w:sz w:val="20"/>
                <w:szCs w:val="20"/>
              </w:rPr>
            </w:pPr>
            <w:r w:rsidRPr="00672714">
              <w:rPr>
                <w:sz w:val="20"/>
                <w:szCs w:val="20"/>
              </w:rPr>
              <w:t>0</w:t>
            </w:r>
          </w:p>
        </w:tc>
        <w:tc>
          <w:tcPr>
            <w:tcW w:w="261" w:type="pct"/>
          </w:tcPr>
          <w:p w14:paraId="24459FAE" w14:textId="77777777" w:rsidR="00247AD2" w:rsidRPr="00672714" w:rsidRDefault="00247AD2" w:rsidP="00672714">
            <w:pPr>
              <w:pStyle w:val="BodyText"/>
              <w:rPr>
                <w:sz w:val="20"/>
                <w:szCs w:val="20"/>
              </w:rPr>
            </w:pPr>
            <w:r w:rsidRPr="00672714">
              <w:rPr>
                <w:sz w:val="20"/>
                <w:szCs w:val="20"/>
              </w:rPr>
              <w:t>0</w:t>
            </w:r>
          </w:p>
        </w:tc>
        <w:tc>
          <w:tcPr>
            <w:tcW w:w="261" w:type="pct"/>
          </w:tcPr>
          <w:p w14:paraId="1E0B8977" w14:textId="77777777" w:rsidR="00247AD2" w:rsidRPr="00672714" w:rsidRDefault="00247AD2" w:rsidP="00672714">
            <w:pPr>
              <w:pStyle w:val="BodyText"/>
              <w:rPr>
                <w:sz w:val="20"/>
                <w:szCs w:val="20"/>
              </w:rPr>
            </w:pPr>
            <w:r w:rsidRPr="00672714">
              <w:rPr>
                <w:sz w:val="20"/>
                <w:szCs w:val="20"/>
              </w:rPr>
              <w:t>0</w:t>
            </w:r>
          </w:p>
        </w:tc>
        <w:tc>
          <w:tcPr>
            <w:tcW w:w="261" w:type="pct"/>
          </w:tcPr>
          <w:p w14:paraId="3BA556FF" w14:textId="77777777" w:rsidR="00247AD2" w:rsidRPr="00672714" w:rsidRDefault="00247AD2" w:rsidP="00672714">
            <w:pPr>
              <w:pStyle w:val="BodyText"/>
              <w:rPr>
                <w:sz w:val="20"/>
                <w:szCs w:val="20"/>
              </w:rPr>
            </w:pPr>
            <w:r w:rsidRPr="00672714">
              <w:rPr>
                <w:sz w:val="20"/>
                <w:szCs w:val="20"/>
              </w:rPr>
              <w:t>0</w:t>
            </w:r>
          </w:p>
        </w:tc>
        <w:tc>
          <w:tcPr>
            <w:tcW w:w="261" w:type="pct"/>
          </w:tcPr>
          <w:p w14:paraId="51075A63" w14:textId="77777777" w:rsidR="00247AD2" w:rsidRPr="00672714" w:rsidRDefault="00247AD2" w:rsidP="00672714">
            <w:pPr>
              <w:pStyle w:val="BodyText"/>
              <w:rPr>
                <w:sz w:val="20"/>
                <w:szCs w:val="20"/>
              </w:rPr>
            </w:pPr>
            <w:r w:rsidRPr="00672714">
              <w:rPr>
                <w:sz w:val="20"/>
                <w:szCs w:val="20"/>
              </w:rPr>
              <w:t>0</w:t>
            </w:r>
          </w:p>
        </w:tc>
        <w:tc>
          <w:tcPr>
            <w:tcW w:w="261" w:type="pct"/>
          </w:tcPr>
          <w:p w14:paraId="22237B6E" w14:textId="77777777" w:rsidR="00247AD2" w:rsidRPr="00672714" w:rsidRDefault="00247AD2" w:rsidP="00672714">
            <w:pPr>
              <w:pStyle w:val="BodyText"/>
              <w:rPr>
                <w:sz w:val="20"/>
                <w:szCs w:val="20"/>
              </w:rPr>
            </w:pPr>
            <w:r w:rsidRPr="00672714">
              <w:rPr>
                <w:sz w:val="20"/>
                <w:szCs w:val="20"/>
              </w:rPr>
              <w:t>0</w:t>
            </w:r>
          </w:p>
        </w:tc>
        <w:tc>
          <w:tcPr>
            <w:tcW w:w="261" w:type="pct"/>
          </w:tcPr>
          <w:p w14:paraId="46430147" w14:textId="77777777" w:rsidR="00247AD2" w:rsidRPr="00672714" w:rsidRDefault="00247AD2" w:rsidP="00672714">
            <w:pPr>
              <w:pStyle w:val="BodyText"/>
              <w:rPr>
                <w:sz w:val="20"/>
                <w:szCs w:val="20"/>
              </w:rPr>
            </w:pPr>
            <w:r w:rsidRPr="00672714">
              <w:rPr>
                <w:sz w:val="20"/>
                <w:szCs w:val="20"/>
              </w:rPr>
              <w:t>0</w:t>
            </w:r>
          </w:p>
        </w:tc>
        <w:tc>
          <w:tcPr>
            <w:tcW w:w="323" w:type="pct"/>
          </w:tcPr>
          <w:p w14:paraId="1394E43A" w14:textId="77777777" w:rsidR="00247AD2" w:rsidRPr="00672714" w:rsidRDefault="00247AD2" w:rsidP="00672714">
            <w:pPr>
              <w:pStyle w:val="BodyText"/>
              <w:rPr>
                <w:sz w:val="20"/>
                <w:szCs w:val="20"/>
              </w:rPr>
            </w:pPr>
            <w:r w:rsidRPr="00672714">
              <w:rPr>
                <w:rStyle w:val="01bodybold"/>
                <w:rFonts w:cs="Arial"/>
                <w:sz w:val="20"/>
                <w:szCs w:val="20"/>
              </w:rPr>
              <w:t>0</w:t>
            </w:r>
          </w:p>
        </w:tc>
      </w:tr>
      <w:tr w:rsidR="006A0585" w:rsidRPr="00672714" w14:paraId="287773B9" w14:textId="77777777" w:rsidTr="006A0585">
        <w:trPr>
          <w:trHeight w:val="453"/>
        </w:trPr>
        <w:tc>
          <w:tcPr>
            <w:tcW w:w="422" w:type="pct"/>
          </w:tcPr>
          <w:p w14:paraId="0730C214" w14:textId="77777777" w:rsidR="00247AD2" w:rsidRPr="00672714" w:rsidRDefault="00247AD2" w:rsidP="00672714">
            <w:pPr>
              <w:pStyle w:val="BodyText"/>
              <w:rPr>
                <w:sz w:val="20"/>
                <w:szCs w:val="20"/>
              </w:rPr>
            </w:pPr>
            <w:r w:rsidRPr="00672714">
              <w:rPr>
                <w:rStyle w:val="01bodybold"/>
                <w:rFonts w:cs="Arial"/>
                <w:sz w:val="20"/>
                <w:szCs w:val="20"/>
              </w:rPr>
              <w:t>Total</w:t>
            </w:r>
          </w:p>
        </w:tc>
        <w:tc>
          <w:tcPr>
            <w:tcW w:w="293" w:type="pct"/>
          </w:tcPr>
          <w:p w14:paraId="74922AB7" w14:textId="77777777" w:rsidR="00247AD2" w:rsidRPr="00672714" w:rsidRDefault="00247AD2" w:rsidP="00672714">
            <w:pPr>
              <w:pStyle w:val="BodyText"/>
              <w:rPr>
                <w:sz w:val="20"/>
                <w:szCs w:val="20"/>
              </w:rPr>
            </w:pPr>
            <w:r w:rsidRPr="00672714">
              <w:rPr>
                <w:rStyle w:val="01bodybold"/>
                <w:rFonts w:cs="Arial"/>
                <w:sz w:val="20"/>
                <w:szCs w:val="20"/>
              </w:rPr>
              <w:t>9,903</w:t>
            </w:r>
          </w:p>
        </w:tc>
        <w:tc>
          <w:tcPr>
            <w:tcW w:w="286" w:type="pct"/>
          </w:tcPr>
          <w:p w14:paraId="267DAA30" w14:textId="77777777" w:rsidR="00247AD2" w:rsidRPr="00672714" w:rsidRDefault="00247AD2" w:rsidP="00672714">
            <w:pPr>
              <w:pStyle w:val="BodyText"/>
              <w:rPr>
                <w:sz w:val="20"/>
                <w:szCs w:val="20"/>
              </w:rPr>
            </w:pPr>
            <w:r w:rsidRPr="00672714">
              <w:rPr>
                <w:rStyle w:val="01bodybold"/>
                <w:rFonts w:cs="Arial"/>
                <w:sz w:val="20"/>
                <w:szCs w:val="20"/>
              </w:rPr>
              <w:t>855</w:t>
            </w:r>
          </w:p>
        </w:tc>
        <w:tc>
          <w:tcPr>
            <w:tcW w:w="310" w:type="pct"/>
          </w:tcPr>
          <w:p w14:paraId="3DF6C915" w14:textId="77777777" w:rsidR="00247AD2" w:rsidRPr="00672714" w:rsidRDefault="00247AD2" w:rsidP="00672714">
            <w:pPr>
              <w:pStyle w:val="BodyText"/>
              <w:rPr>
                <w:sz w:val="20"/>
                <w:szCs w:val="20"/>
              </w:rPr>
            </w:pPr>
            <w:r w:rsidRPr="00672714">
              <w:rPr>
                <w:rStyle w:val="01bodybold"/>
                <w:rFonts w:cs="Arial"/>
                <w:spacing w:val="-9"/>
                <w:sz w:val="20"/>
                <w:szCs w:val="20"/>
              </w:rPr>
              <w:t>10,758</w:t>
            </w:r>
          </w:p>
        </w:tc>
        <w:tc>
          <w:tcPr>
            <w:tcW w:w="323" w:type="pct"/>
          </w:tcPr>
          <w:p w14:paraId="3F8CF5B5" w14:textId="77777777" w:rsidR="00247AD2" w:rsidRPr="00672714" w:rsidRDefault="00247AD2" w:rsidP="00672714">
            <w:pPr>
              <w:pStyle w:val="BodyText"/>
              <w:rPr>
                <w:sz w:val="20"/>
                <w:szCs w:val="20"/>
              </w:rPr>
            </w:pPr>
            <w:r w:rsidRPr="00672714">
              <w:rPr>
                <w:rStyle w:val="01bodybold"/>
                <w:rFonts w:cs="Arial"/>
                <w:spacing w:val="-2"/>
                <w:sz w:val="20"/>
                <w:szCs w:val="20"/>
              </w:rPr>
              <w:t>17,475</w:t>
            </w:r>
          </w:p>
        </w:tc>
        <w:tc>
          <w:tcPr>
            <w:tcW w:w="298" w:type="pct"/>
          </w:tcPr>
          <w:p w14:paraId="1DBAFABF" w14:textId="77777777" w:rsidR="00247AD2" w:rsidRPr="00672714" w:rsidRDefault="00247AD2" w:rsidP="00672714">
            <w:pPr>
              <w:pStyle w:val="BodyText"/>
              <w:rPr>
                <w:sz w:val="20"/>
                <w:szCs w:val="20"/>
              </w:rPr>
            </w:pPr>
            <w:r w:rsidRPr="00672714">
              <w:rPr>
                <w:rStyle w:val="01bodybold"/>
                <w:rFonts w:cs="Arial"/>
                <w:sz w:val="20"/>
                <w:szCs w:val="20"/>
              </w:rPr>
              <w:t>6,193</w:t>
            </w:r>
          </w:p>
        </w:tc>
        <w:tc>
          <w:tcPr>
            <w:tcW w:w="323" w:type="pct"/>
          </w:tcPr>
          <w:p w14:paraId="29322AA2" w14:textId="77777777" w:rsidR="00247AD2" w:rsidRPr="00672714" w:rsidRDefault="00247AD2" w:rsidP="00672714">
            <w:pPr>
              <w:pStyle w:val="BodyText"/>
              <w:rPr>
                <w:sz w:val="20"/>
                <w:szCs w:val="20"/>
              </w:rPr>
            </w:pPr>
            <w:r w:rsidRPr="00672714">
              <w:rPr>
                <w:rStyle w:val="01bodybold"/>
                <w:rFonts w:cs="Arial"/>
                <w:sz w:val="20"/>
                <w:szCs w:val="20"/>
              </w:rPr>
              <w:t>23,668</w:t>
            </w:r>
          </w:p>
        </w:tc>
        <w:tc>
          <w:tcPr>
            <w:tcW w:w="286" w:type="pct"/>
          </w:tcPr>
          <w:p w14:paraId="049A5A01" w14:textId="77777777" w:rsidR="00247AD2" w:rsidRPr="00672714" w:rsidRDefault="00247AD2" w:rsidP="00672714">
            <w:pPr>
              <w:pStyle w:val="BodyText"/>
              <w:rPr>
                <w:sz w:val="20"/>
                <w:szCs w:val="20"/>
              </w:rPr>
            </w:pPr>
            <w:r w:rsidRPr="00672714">
              <w:rPr>
                <w:rStyle w:val="01bodybold"/>
                <w:rFonts w:cs="Arial"/>
                <w:sz w:val="20"/>
                <w:szCs w:val="20"/>
              </w:rPr>
              <w:t>276</w:t>
            </w:r>
          </w:p>
        </w:tc>
        <w:tc>
          <w:tcPr>
            <w:tcW w:w="286" w:type="pct"/>
          </w:tcPr>
          <w:p w14:paraId="307B80FA" w14:textId="77777777" w:rsidR="00247AD2" w:rsidRPr="00672714" w:rsidRDefault="00247AD2" w:rsidP="00672714">
            <w:pPr>
              <w:pStyle w:val="BodyText"/>
              <w:rPr>
                <w:sz w:val="20"/>
                <w:szCs w:val="20"/>
              </w:rPr>
            </w:pPr>
            <w:r w:rsidRPr="00672714">
              <w:rPr>
                <w:rStyle w:val="01bodybold"/>
                <w:rFonts w:cs="Arial"/>
                <w:sz w:val="20"/>
                <w:szCs w:val="20"/>
              </w:rPr>
              <w:t>64</w:t>
            </w:r>
          </w:p>
        </w:tc>
        <w:tc>
          <w:tcPr>
            <w:tcW w:w="286" w:type="pct"/>
          </w:tcPr>
          <w:p w14:paraId="0D0FBB88" w14:textId="77777777" w:rsidR="00247AD2" w:rsidRPr="00672714" w:rsidRDefault="00247AD2" w:rsidP="00672714">
            <w:pPr>
              <w:pStyle w:val="BodyText"/>
              <w:rPr>
                <w:sz w:val="20"/>
                <w:szCs w:val="20"/>
              </w:rPr>
            </w:pPr>
            <w:r w:rsidRPr="00672714">
              <w:rPr>
                <w:rStyle w:val="01bodybold"/>
                <w:rFonts w:cs="Arial"/>
                <w:sz w:val="20"/>
                <w:szCs w:val="20"/>
              </w:rPr>
              <w:t>340</w:t>
            </w:r>
          </w:p>
        </w:tc>
        <w:tc>
          <w:tcPr>
            <w:tcW w:w="261" w:type="pct"/>
          </w:tcPr>
          <w:p w14:paraId="2F9A198A" w14:textId="77777777" w:rsidR="00247AD2" w:rsidRPr="00672714" w:rsidRDefault="00247AD2" w:rsidP="00672714">
            <w:pPr>
              <w:pStyle w:val="BodyText"/>
              <w:rPr>
                <w:sz w:val="20"/>
                <w:szCs w:val="20"/>
              </w:rPr>
            </w:pPr>
            <w:r w:rsidRPr="00672714">
              <w:rPr>
                <w:rStyle w:val="Bold"/>
                <w:rFonts w:cs="Arial"/>
                <w:sz w:val="20"/>
                <w:szCs w:val="20"/>
              </w:rPr>
              <w:t>0</w:t>
            </w:r>
          </w:p>
        </w:tc>
        <w:tc>
          <w:tcPr>
            <w:tcW w:w="261" w:type="pct"/>
          </w:tcPr>
          <w:p w14:paraId="45D28166" w14:textId="77777777" w:rsidR="00247AD2" w:rsidRPr="00672714" w:rsidRDefault="00247AD2" w:rsidP="00672714">
            <w:pPr>
              <w:pStyle w:val="BodyText"/>
              <w:rPr>
                <w:sz w:val="20"/>
                <w:szCs w:val="20"/>
              </w:rPr>
            </w:pPr>
            <w:r w:rsidRPr="00672714">
              <w:rPr>
                <w:rStyle w:val="Bold"/>
                <w:rFonts w:cs="Arial"/>
                <w:sz w:val="20"/>
                <w:szCs w:val="20"/>
              </w:rPr>
              <w:t>0</w:t>
            </w:r>
          </w:p>
        </w:tc>
        <w:tc>
          <w:tcPr>
            <w:tcW w:w="261" w:type="pct"/>
          </w:tcPr>
          <w:p w14:paraId="37BAFDB9" w14:textId="77777777" w:rsidR="00247AD2" w:rsidRPr="00672714" w:rsidRDefault="00247AD2" w:rsidP="00672714">
            <w:pPr>
              <w:pStyle w:val="BodyText"/>
              <w:rPr>
                <w:sz w:val="20"/>
                <w:szCs w:val="20"/>
              </w:rPr>
            </w:pPr>
            <w:r w:rsidRPr="00672714">
              <w:rPr>
                <w:rStyle w:val="01bodybold"/>
                <w:rFonts w:cs="Arial"/>
                <w:sz w:val="20"/>
                <w:szCs w:val="20"/>
              </w:rPr>
              <w:t>0</w:t>
            </w:r>
          </w:p>
        </w:tc>
        <w:tc>
          <w:tcPr>
            <w:tcW w:w="261" w:type="pct"/>
          </w:tcPr>
          <w:p w14:paraId="1BA4699E" w14:textId="77777777" w:rsidR="00247AD2" w:rsidRPr="00672714" w:rsidRDefault="00247AD2" w:rsidP="00672714">
            <w:pPr>
              <w:pStyle w:val="BodyText"/>
              <w:rPr>
                <w:sz w:val="20"/>
                <w:szCs w:val="20"/>
              </w:rPr>
            </w:pPr>
            <w:r w:rsidRPr="00672714">
              <w:rPr>
                <w:rStyle w:val="01bodybold"/>
                <w:rFonts w:cs="Arial"/>
                <w:sz w:val="20"/>
                <w:szCs w:val="20"/>
              </w:rPr>
              <w:t>0</w:t>
            </w:r>
          </w:p>
        </w:tc>
        <w:tc>
          <w:tcPr>
            <w:tcW w:w="261" w:type="pct"/>
          </w:tcPr>
          <w:p w14:paraId="0D7489D9" w14:textId="77777777" w:rsidR="00247AD2" w:rsidRPr="00672714" w:rsidRDefault="00247AD2" w:rsidP="00672714">
            <w:pPr>
              <w:pStyle w:val="BodyText"/>
              <w:rPr>
                <w:sz w:val="20"/>
                <w:szCs w:val="20"/>
              </w:rPr>
            </w:pPr>
            <w:r w:rsidRPr="00672714">
              <w:rPr>
                <w:rStyle w:val="01bodybold"/>
                <w:rFonts w:cs="Arial"/>
                <w:sz w:val="20"/>
                <w:szCs w:val="20"/>
              </w:rPr>
              <w:t>0</w:t>
            </w:r>
          </w:p>
        </w:tc>
        <w:tc>
          <w:tcPr>
            <w:tcW w:w="261" w:type="pct"/>
          </w:tcPr>
          <w:p w14:paraId="4AD90D31" w14:textId="77777777" w:rsidR="00247AD2" w:rsidRPr="00672714" w:rsidRDefault="00247AD2" w:rsidP="00672714">
            <w:pPr>
              <w:pStyle w:val="BodyText"/>
              <w:rPr>
                <w:sz w:val="20"/>
                <w:szCs w:val="20"/>
              </w:rPr>
            </w:pPr>
            <w:r w:rsidRPr="00672714">
              <w:rPr>
                <w:rStyle w:val="01bodybold"/>
                <w:rFonts w:cs="Arial"/>
                <w:sz w:val="20"/>
                <w:szCs w:val="20"/>
              </w:rPr>
              <w:t>0</w:t>
            </w:r>
          </w:p>
        </w:tc>
        <w:tc>
          <w:tcPr>
            <w:tcW w:w="323" w:type="pct"/>
          </w:tcPr>
          <w:p w14:paraId="03DBF5F5" w14:textId="77777777" w:rsidR="00247AD2" w:rsidRPr="00672714" w:rsidRDefault="00247AD2" w:rsidP="00672714">
            <w:pPr>
              <w:pStyle w:val="BodyText"/>
              <w:rPr>
                <w:sz w:val="20"/>
                <w:szCs w:val="20"/>
              </w:rPr>
            </w:pPr>
            <w:r w:rsidRPr="00672714">
              <w:rPr>
                <w:rStyle w:val="01bodybold"/>
                <w:rFonts w:cs="Arial"/>
                <w:spacing w:val="-4"/>
                <w:sz w:val="20"/>
                <w:szCs w:val="20"/>
              </w:rPr>
              <w:t>34,766</w:t>
            </w:r>
          </w:p>
        </w:tc>
      </w:tr>
    </w:tbl>
    <w:p w14:paraId="31A5E34F" w14:textId="6644DF08" w:rsidR="00247AD2" w:rsidRPr="003C55F1" w:rsidRDefault="003C55F1" w:rsidP="003C55F1">
      <w:pPr>
        <w:pStyle w:val="BodyText"/>
        <w:rPr>
          <w:b/>
          <w:bCs/>
        </w:rPr>
      </w:pPr>
      <w:r w:rsidRPr="003C55F1">
        <w:rPr>
          <w:b/>
          <w:bCs/>
        </w:rPr>
        <w:t xml:space="preserve">Table 63: </w:t>
      </w:r>
      <w:r w:rsidR="00247AD2" w:rsidRPr="003C55F1">
        <w:rPr>
          <w:b/>
          <w:bCs/>
        </w:rPr>
        <w:t xml:space="preserve">Australian Public Service Act ongoing employees 2023–24 (as at 30 June 2024) </w:t>
      </w:r>
    </w:p>
    <w:tbl>
      <w:tblPr>
        <w:tblStyle w:val="TableGrid"/>
        <w:tblW w:w="5000" w:type="pct"/>
        <w:tblLook w:val="04A0" w:firstRow="1" w:lastRow="0" w:firstColumn="1" w:lastColumn="0" w:noHBand="0" w:noVBand="1"/>
        <w:tblCaption w:val="Australian Public Service Act ongoing employees 2023–24 (as at 30 June 2024) "/>
      </w:tblPr>
      <w:tblGrid>
        <w:gridCol w:w="939"/>
        <w:gridCol w:w="639"/>
        <w:gridCol w:w="602"/>
        <w:gridCol w:w="734"/>
        <w:gridCol w:w="724"/>
        <w:gridCol w:w="640"/>
        <w:gridCol w:w="734"/>
        <w:gridCol w:w="574"/>
        <w:gridCol w:w="602"/>
        <w:gridCol w:w="603"/>
        <w:gridCol w:w="574"/>
        <w:gridCol w:w="602"/>
        <w:gridCol w:w="620"/>
        <w:gridCol w:w="574"/>
        <w:gridCol w:w="602"/>
        <w:gridCol w:w="620"/>
        <w:gridCol w:w="713"/>
      </w:tblGrid>
      <w:tr w:rsidR="00247AD2" w:rsidRPr="00672714" w14:paraId="6A5B1565" w14:textId="77777777" w:rsidTr="00672714">
        <w:trPr>
          <w:trHeight w:val="453"/>
          <w:tblHeader/>
        </w:trPr>
        <w:tc>
          <w:tcPr>
            <w:tcW w:w="422" w:type="pct"/>
          </w:tcPr>
          <w:p w14:paraId="440E15B5" w14:textId="77777777" w:rsidR="00247AD2" w:rsidRPr="00672714" w:rsidRDefault="00247AD2" w:rsidP="00672714">
            <w:pPr>
              <w:pStyle w:val="BodyText"/>
              <w:rPr>
                <w:rFonts w:cs="Arial"/>
                <w:sz w:val="20"/>
                <w:szCs w:val="20"/>
              </w:rPr>
            </w:pPr>
          </w:p>
        </w:tc>
        <w:tc>
          <w:tcPr>
            <w:tcW w:w="889" w:type="pct"/>
            <w:gridSpan w:val="3"/>
          </w:tcPr>
          <w:p w14:paraId="6B638995" w14:textId="77777777" w:rsidR="00247AD2" w:rsidRPr="00672714" w:rsidRDefault="00247AD2" w:rsidP="00672714">
            <w:pPr>
              <w:pStyle w:val="BodyText"/>
              <w:rPr>
                <w:rFonts w:cs="Arial"/>
                <w:b/>
                <w:bCs/>
                <w:sz w:val="20"/>
                <w:szCs w:val="20"/>
              </w:rPr>
            </w:pPr>
            <w:r w:rsidRPr="00672714">
              <w:rPr>
                <w:rFonts w:cs="Arial"/>
                <w:b/>
                <w:bCs/>
                <w:sz w:val="20"/>
                <w:szCs w:val="20"/>
              </w:rPr>
              <w:t>Man/male</w:t>
            </w:r>
          </w:p>
        </w:tc>
        <w:tc>
          <w:tcPr>
            <w:tcW w:w="944" w:type="pct"/>
            <w:gridSpan w:val="3"/>
          </w:tcPr>
          <w:p w14:paraId="64A2083F" w14:textId="77777777" w:rsidR="00247AD2" w:rsidRPr="00672714" w:rsidRDefault="00247AD2" w:rsidP="00672714">
            <w:pPr>
              <w:pStyle w:val="BodyText"/>
              <w:rPr>
                <w:rFonts w:cs="Arial"/>
                <w:b/>
                <w:bCs/>
                <w:sz w:val="20"/>
                <w:szCs w:val="20"/>
              </w:rPr>
            </w:pPr>
            <w:r w:rsidRPr="00672714">
              <w:rPr>
                <w:rFonts w:cs="Arial"/>
                <w:b/>
                <w:bCs/>
                <w:sz w:val="20"/>
                <w:szCs w:val="20"/>
              </w:rPr>
              <w:t>Woman/female</w:t>
            </w:r>
          </w:p>
        </w:tc>
        <w:tc>
          <w:tcPr>
            <w:tcW w:w="857" w:type="pct"/>
            <w:gridSpan w:val="3"/>
          </w:tcPr>
          <w:p w14:paraId="3723411D" w14:textId="77777777" w:rsidR="00247AD2" w:rsidRPr="00672714" w:rsidRDefault="00247AD2" w:rsidP="00672714">
            <w:pPr>
              <w:pStyle w:val="BodyText"/>
              <w:rPr>
                <w:rFonts w:cs="Arial"/>
                <w:b/>
                <w:bCs/>
                <w:sz w:val="20"/>
                <w:szCs w:val="20"/>
              </w:rPr>
            </w:pPr>
            <w:r w:rsidRPr="00672714">
              <w:rPr>
                <w:rFonts w:cs="Arial"/>
                <w:b/>
                <w:bCs/>
                <w:sz w:val="20"/>
                <w:szCs w:val="20"/>
              </w:rPr>
              <w:t>Non-binary</w:t>
            </w:r>
          </w:p>
        </w:tc>
        <w:tc>
          <w:tcPr>
            <w:tcW w:w="782" w:type="pct"/>
            <w:gridSpan w:val="3"/>
          </w:tcPr>
          <w:p w14:paraId="5E85C269" w14:textId="77777777" w:rsidR="00247AD2" w:rsidRPr="00672714" w:rsidRDefault="00247AD2" w:rsidP="00672714">
            <w:pPr>
              <w:pStyle w:val="BodyText"/>
              <w:rPr>
                <w:rFonts w:cs="Arial"/>
                <w:b/>
                <w:bCs/>
                <w:sz w:val="20"/>
                <w:szCs w:val="20"/>
              </w:rPr>
            </w:pPr>
            <w:r w:rsidRPr="00672714">
              <w:rPr>
                <w:rFonts w:cs="Arial"/>
                <w:b/>
                <w:bCs/>
                <w:sz w:val="20"/>
                <w:szCs w:val="20"/>
              </w:rPr>
              <w:t>Prefers not to answer</w:t>
            </w:r>
          </w:p>
        </w:tc>
        <w:tc>
          <w:tcPr>
            <w:tcW w:w="783" w:type="pct"/>
            <w:gridSpan w:val="3"/>
          </w:tcPr>
          <w:p w14:paraId="4C801DEB" w14:textId="77777777" w:rsidR="00247AD2" w:rsidRPr="00672714" w:rsidRDefault="00247AD2" w:rsidP="00672714">
            <w:pPr>
              <w:pStyle w:val="BodyText"/>
              <w:rPr>
                <w:rFonts w:cs="Arial"/>
                <w:b/>
                <w:bCs/>
                <w:sz w:val="20"/>
                <w:szCs w:val="20"/>
              </w:rPr>
            </w:pPr>
            <w:r w:rsidRPr="00672714">
              <w:rPr>
                <w:rFonts w:cs="Arial"/>
                <w:b/>
                <w:bCs/>
                <w:sz w:val="20"/>
                <w:szCs w:val="20"/>
              </w:rPr>
              <w:t>Uses a different term</w:t>
            </w:r>
          </w:p>
        </w:tc>
        <w:tc>
          <w:tcPr>
            <w:tcW w:w="323" w:type="pct"/>
          </w:tcPr>
          <w:p w14:paraId="6A08B029" w14:textId="77777777" w:rsidR="00247AD2" w:rsidRPr="00672714" w:rsidRDefault="00247AD2" w:rsidP="00672714">
            <w:pPr>
              <w:pStyle w:val="BodyText"/>
              <w:rPr>
                <w:rFonts w:cs="Arial"/>
                <w:sz w:val="20"/>
                <w:szCs w:val="20"/>
              </w:rPr>
            </w:pPr>
            <w:r w:rsidRPr="00672714">
              <w:rPr>
                <w:rStyle w:val="Bold"/>
                <w:rFonts w:cs="Arial"/>
                <w:sz w:val="20"/>
                <w:szCs w:val="20"/>
              </w:rPr>
              <w:t>Total</w:t>
            </w:r>
          </w:p>
        </w:tc>
      </w:tr>
      <w:tr w:rsidR="006A0585" w:rsidRPr="00672714" w14:paraId="67999C20" w14:textId="77777777" w:rsidTr="00672714">
        <w:trPr>
          <w:trHeight w:val="453"/>
          <w:tblHeader/>
        </w:trPr>
        <w:tc>
          <w:tcPr>
            <w:tcW w:w="422" w:type="pct"/>
          </w:tcPr>
          <w:p w14:paraId="4350B13D" w14:textId="77777777" w:rsidR="00247AD2" w:rsidRPr="00672714" w:rsidRDefault="00247AD2" w:rsidP="00672714">
            <w:pPr>
              <w:pStyle w:val="BodyText"/>
              <w:rPr>
                <w:rFonts w:cs="Arial"/>
                <w:sz w:val="20"/>
                <w:szCs w:val="20"/>
              </w:rPr>
            </w:pPr>
          </w:p>
        </w:tc>
        <w:tc>
          <w:tcPr>
            <w:tcW w:w="293" w:type="pct"/>
          </w:tcPr>
          <w:p w14:paraId="09AC3A12" w14:textId="77777777" w:rsidR="00247AD2" w:rsidRPr="00672714" w:rsidRDefault="00247AD2" w:rsidP="00672714">
            <w:pPr>
              <w:pStyle w:val="BodyText"/>
              <w:rPr>
                <w:rFonts w:cs="Arial"/>
                <w:sz w:val="20"/>
                <w:szCs w:val="20"/>
              </w:rPr>
            </w:pPr>
            <w:r w:rsidRPr="00672714">
              <w:rPr>
                <w:rStyle w:val="Bold"/>
                <w:rFonts w:cs="Arial"/>
                <w:sz w:val="20"/>
                <w:szCs w:val="20"/>
              </w:rPr>
              <w:t>Full-time</w:t>
            </w:r>
          </w:p>
        </w:tc>
        <w:tc>
          <w:tcPr>
            <w:tcW w:w="286" w:type="pct"/>
          </w:tcPr>
          <w:p w14:paraId="2F3C6DE7" w14:textId="77777777" w:rsidR="00247AD2" w:rsidRPr="00672714" w:rsidRDefault="00247AD2" w:rsidP="00672714">
            <w:pPr>
              <w:pStyle w:val="BodyText"/>
              <w:rPr>
                <w:rFonts w:cs="Arial"/>
                <w:sz w:val="20"/>
                <w:szCs w:val="20"/>
              </w:rPr>
            </w:pPr>
            <w:r w:rsidRPr="00672714">
              <w:rPr>
                <w:rStyle w:val="Bold"/>
                <w:rFonts w:cs="Arial"/>
                <w:sz w:val="20"/>
                <w:szCs w:val="20"/>
              </w:rPr>
              <w:t>Part-time</w:t>
            </w:r>
          </w:p>
        </w:tc>
        <w:tc>
          <w:tcPr>
            <w:tcW w:w="310" w:type="pct"/>
          </w:tcPr>
          <w:p w14:paraId="3C50F496" w14:textId="77777777" w:rsidR="00247AD2" w:rsidRPr="00672714" w:rsidRDefault="00247AD2" w:rsidP="00672714">
            <w:pPr>
              <w:pStyle w:val="BodyText"/>
              <w:rPr>
                <w:rFonts w:cs="Arial"/>
                <w:sz w:val="20"/>
                <w:szCs w:val="20"/>
              </w:rPr>
            </w:pPr>
            <w:r w:rsidRPr="00672714">
              <w:rPr>
                <w:rStyle w:val="Bold"/>
                <w:rFonts w:cs="Arial"/>
                <w:sz w:val="20"/>
                <w:szCs w:val="20"/>
              </w:rPr>
              <w:t>Total</w:t>
            </w:r>
          </w:p>
        </w:tc>
        <w:tc>
          <w:tcPr>
            <w:tcW w:w="323" w:type="pct"/>
          </w:tcPr>
          <w:p w14:paraId="08C3E4C7" w14:textId="77777777" w:rsidR="00247AD2" w:rsidRPr="00672714" w:rsidRDefault="00247AD2" w:rsidP="00672714">
            <w:pPr>
              <w:pStyle w:val="BodyText"/>
              <w:rPr>
                <w:rFonts w:cs="Arial"/>
                <w:sz w:val="20"/>
                <w:szCs w:val="20"/>
              </w:rPr>
            </w:pPr>
            <w:r w:rsidRPr="00672714">
              <w:rPr>
                <w:rStyle w:val="Bold"/>
                <w:rFonts w:cs="Arial"/>
                <w:sz w:val="20"/>
                <w:szCs w:val="20"/>
              </w:rPr>
              <w:t>Full-time</w:t>
            </w:r>
          </w:p>
        </w:tc>
        <w:tc>
          <w:tcPr>
            <w:tcW w:w="298" w:type="pct"/>
          </w:tcPr>
          <w:p w14:paraId="5E2C684E" w14:textId="77777777" w:rsidR="00247AD2" w:rsidRPr="00672714" w:rsidRDefault="00247AD2" w:rsidP="00672714">
            <w:pPr>
              <w:pStyle w:val="BodyText"/>
              <w:rPr>
                <w:rFonts w:cs="Arial"/>
                <w:sz w:val="20"/>
                <w:szCs w:val="20"/>
              </w:rPr>
            </w:pPr>
            <w:r w:rsidRPr="00672714">
              <w:rPr>
                <w:rStyle w:val="Bold"/>
                <w:rFonts w:cs="Arial"/>
                <w:sz w:val="20"/>
                <w:szCs w:val="20"/>
              </w:rPr>
              <w:t>Part-time</w:t>
            </w:r>
          </w:p>
        </w:tc>
        <w:tc>
          <w:tcPr>
            <w:tcW w:w="323" w:type="pct"/>
          </w:tcPr>
          <w:p w14:paraId="68AA5326" w14:textId="77777777" w:rsidR="00247AD2" w:rsidRPr="00672714" w:rsidRDefault="00247AD2" w:rsidP="00672714">
            <w:pPr>
              <w:pStyle w:val="BodyText"/>
              <w:rPr>
                <w:rFonts w:cs="Arial"/>
                <w:sz w:val="20"/>
                <w:szCs w:val="20"/>
              </w:rPr>
            </w:pPr>
            <w:r w:rsidRPr="00672714">
              <w:rPr>
                <w:rStyle w:val="Bold"/>
                <w:rFonts w:cs="Arial"/>
                <w:sz w:val="20"/>
                <w:szCs w:val="20"/>
              </w:rPr>
              <w:t xml:space="preserve">Total </w:t>
            </w:r>
          </w:p>
        </w:tc>
        <w:tc>
          <w:tcPr>
            <w:tcW w:w="286" w:type="pct"/>
          </w:tcPr>
          <w:p w14:paraId="6944B856" w14:textId="77777777" w:rsidR="00247AD2" w:rsidRPr="00672714" w:rsidRDefault="00247AD2" w:rsidP="00672714">
            <w:pPr>
              <w:pStyle w:val="BodyText"/>
              <w:rPr>
                <w:rFonts w:cs="Arial"/>
                <w:sz w:val="20"/>
                <w:szCs w:val="20"/>
              </w:rPr>
            </w:pPr>
            <w:r w:rsidRPr="00672714">
              <w:rPr>
                <w:rStyle w:val="Bold"/>
                <w:rFonts w:cs="Arial"/>
                <w:sz w:val="20"/>
                <w:szCs w:val="20"/>
              </w:rPr>
              <w:t>Full-time</w:t>
            </w:r>
          </w:p>
        </w:tc>
        <w:tc>
          <w:tcPr>
            <w:tcW w:w="286" w:type="pct"/>
          </w:tcPr>
          <w:p w14:paraId="0C60ABCA" w14:textId="77777777" w:rsidR="00247AD2" w:rsidRPr="00672714" w:rsidRDefault="00247AD2" w:rsidP="00672714">
            <w:pPr>
              <w:pStyle w:val="BodyText"/>
              <w:rPr>
                <w:rFonts w:cs="Arial"/>
                <w:sz w:val="20"/>
                <w:szCs w:val="20"/>
              </w:rPr>
            </w:pPr>
            <w:r w:rsidRPr="00672714">
              <w:rPr>
                <w:rStyle w:val="Bold"/>
                <w:rFonts w:cs="Arial"/>
                <w:sz w:val="20"/>
                <w:szCs w:val="20"/>
              </w:rPr>
              <w:t>Part-time</w:t>
            </w:r>
          </w:p>
        </w:tc>
        <w:tc>
          <w:tcPr>
            <w:tcW w:w="286" w:type="pct"/>
          </w:tcPr>
          <w:p w14:paraId="73AB111D" w14:textId="77777777" w:rsidR="00247AD2" w:rsidRPr="00672714" w:rsidRDefault="00247AD2" w:rsidP="00672714">
            <w:pPr>
              <w:pStyle w:val="BodyText"/>
              <w:rPr>
                <w:rFonts w:cs="Arial"/>
                <w:sz w:val="20"/>
                <w:szCs w:val="20"/>
              </w:rPr>
            </w:pPr>
            <w:r w:rsidRPr="00672714">
              <w:rPr>
                <w:rStyle w:val="Bold"/>
                <w:rFonts w:cs="Arial"/>
                <w:spacing w:val="-4"/>
                <w:sz w:val="20"/>
                <w:szCs w:val="20"/>
              </w:rPr>
              <w:t>Total</w:t>
            </w:r>
          </w:p>
        </w:tc>
        <w:tc>
          <w:tcPr>
            <w:tcW w:w="261" w:type="pct"/>
          </w:tcPr>
          <w:p w14:paraId="04BC703D" w14:textId="77777777" w:rsidR="00247AD2" w:rsidRPr="00672714" w:rsidRDefault="00247AD2" w:rsidP="00672714">
            <w:pPr>
              <w:pStyle w:val="BodyText"/>
              <w:rPr>
                <w:rFonts w:cs="Arial"/>
                <w:sz w:val="20"/>
                <w:szCs w:val="20"/>
              </w:rPr>
            </w:pPr>
            <w:r w:rsidRPr="00672714">
              <w:rPr>
                <w:rStyle w:val="Bold"/>
                <w:rFonts w:cs="Arial"/>
                <w:sz w:val="20"/>
                <w:szCs w:val="20"/>
              </w:rPr>
              <w:t xml:space="preserve">Full-time </w:t>
            </w:r>
          </w:p>
        </w:tc>
        <w:tc>
          <w:tcPr>
            <w:tcW w:w="261" w:type="pct"/>
          </w:tcPr>
          <w:p w14:paraId="4C2A7A73" w14:textId="77777777" w:rsidR="00247AD2" w:rsidRPr="00672714" w:rsidRDefault="00247AD2" w:rsidP="00672714">
            <w:pPr>
              <w:pStyle w:val="BodyText"/>
              <w:rPr>
                <w:rFonts w:cs="Arial"/>
                <w:sz w:val="20"/>
                <w:szCs w:val="20"/>
              </w:rPr>
            </w:pPr>
            <w:r w:rsidRPr="00672714">
              <w:rPr>
                <w:rStyle w:val="Bold"/>
                <w:rFonts w:cs="Arial"/>
                <w:sz w:val="20"/>
                <w:szCs w:val="20"/>
              </w:rPr>
              <w:t xml:space="preserve">Part-time </w:t>
            </w:r>
          </w:p>
        </w:tc>
        <w:tc>
          <w:tcPr>
            <w:tcW w:w="261" w:type="pct"/>
          </w:tcPr>
          <w:p w14:paraId="14A860A7" w14:textId="77777777" w:rsidR="00247AD2" w:rsidRPr="00672714" w:rsidRDefault="00247AD2" w:rsidP="00672714">
            <w:pPr>
              <w:pStyle w:val="BodyText"/>
              <w:rPr>
                <w:rFonts w:cs="Arial"/>
                <w:sz w:val="20"/>
                <w:szCs w:val="20"/>
              </w:rPr>
            </w:pPr>
            <w:r w:rsidRPr="00672714">
              <w:rPr>
                <w:rStyle w:val="Bold"/>
                <w:rFonts w:cs="Arial"/>
                <w:sz w:val="20"/>
                <w:szCs w:val="20"/>
              </w:rPr>
              <w:t xml:space="preserve">Total </w:t>
            </w:r>
          </w:p>
        </w:tc>
        <w:tc>
          <w:tcPr>
            <w:tcW w:w="261" w:type="pct"/>
          </w:tcPr>
          <w:p w14:paraId="1A90961A" w14:textId="77777777" w:rsidR="00247AD2" w:rsidRPr="00672714" w:rsidRDefault="00247AD2" w:rsidP="00672714">
            <w:pPr>
              <w:pStyle w:val="BodyText"/>
              <w:rPr>
                <w:rFonts w:cs="Arial"/>
                <w:sz w:val="20"/>
                <w:szCs w:val="20"/>
              </w:rPr>
            </w:pPr>
            <w:r w:rsidRPr="00672714">
              <w:rPr>
                <w:rStyle w:val="Bold"/>
                <w:rFonts w:cs="Arial"/>
                <w:sz w:val="20"/>
                <w:szCs w:val="20"/>
              </w:rPr>
              <w:t xml:space="preserve">Full-time </w:t>
            </w:r>
          </w:p>
        </w:tc>
        <w:tc>
          <w:tcPr>
            <w:tcW w:w="261" w:type="pct"/>
          </w:tcPr>
          <w:p w14:paraId="37DB1619" w14:textId="77777777" w:rsidR="00247AD2" w:rsidRPr="00672714" w:rsidRDefault="00247AD2" w:rsidP="00672714">
            <w:pPr>
              <w:pStyle w:val="BodyText"/>
              <w:rPr>
                <w:rFonts w:cs="Arial"/>
                <w:sz w:val="20"/>
                <w:szCs w:val="20"/>
              </w:rPr>
            </w:pPr>
            <w:r w:rsidRPr="00672714">
              <w:rPr>
                <w:rStyle w:val="Bold"/>
                <w:rFonts w:cs="Arial"/>
                <w:sz w:val="20"/>
                <w:szCs w:val="20"/>
              </w:rPr>
              <w:t xml:space="preserve">Part-time </w:t>
            </w:r>
          </w:p>
        </w:tc>
        <w:tc>
          <w:tcPr>
            <w:tcW w:w="261" w:type="pct"/>
          </w:tcPr>
          <w:p w14:paraId="6AEB8ED4" w14:textId="77777777" w:rsidR="00247AD2" w:rsidRPr="00672714" w:rsidRDefault="00247AD2" w:rsidP="00672714">
            <w:pPr>
              <w:pStyle w:val="BodyText"/>
              <w:rPr>
                <w:rFonts w:cs="Arial"/>
                <w:sz w:val="20"/>
                <w:szCs w:val="20"/>
              </w:rPr>
            </w:pPr>
            <w:r w:rsidRPr="00672714">
              <w:rPr>
                <w:rStyle w:val="Bold"/>
                <w:rFonts w:cs="Arial"/>
                <w:sz w:val="20"/>
                <w:szCs w:val="20"/>
              </w:rPr>
              <w:t>Total</w:t>
            </w:r>
          </w:p>
        </w:tc>
        <w:tc>
          <w:tcPr>
            <w:tcW w:w="323" w:type="pct"/>
          </w:tcPr>
          <w:p w14:paraId="69D33B5F" w14:textId="77777777" w:rsidR="00247AD2" w:rsidRPr="00672714" w:rsidRDefault="00247AD2" w:rsidP="00672714">
            <w:pPr>
              <w:pStyle w:val="BodyText"/>
              <w:rPr>
                <w:rFonts w:cs="Arial"/>
                <w:sz w:val="20"/>
                <w:szCs w:val="20"/>
              </w:rPr>
            </w:pPr>
          </w:p>
        </w:tc>
      </w:tr>
      <w:tr w:rsidR="006A0585" w:rsidRPr="00672714" w14:paraId="6CAF7A09" w14:textId="77777777" w:rsidTr="006A0585">
        <w:trPr>
          <w:trHeight w:val="453"/>
        </w:trPr>
        <w:tc>
          <w:tcPr>
            <w:tcW w:w="422" w:type="pct"/>
          </w:tcPr>
          <w:p w14:paraId="0B07780E" w14:textId="77777777" w:rsidR="00247AD2" w:rsidRPr="00672714" w:rsidRDefault="00247AD2" w:rsidP="00672714">
            <w:pPr>
              <w:pStyle w:val="BodyText"/>
              <w:rPr>
                <w:rFonts w:cs="Arial"/>
                <w:sz w:val="20"/>
                <w:szCs w:val="20"/>
              </w:rPr>
            </w:pPr>
            <w:r w:rsidRPr="00672714">
              <w:rPr>
                <w:rFonts w:cs="Arial"/>
                <w:sz w:val="20"/>
                <w:szCs w:val="20"/>
              </w:rPr>
              <w:t>NSW</w:t>
            </w:r>
          </w:p>
        </w:tc>
        <w:tc>
          <w:tcPr>
            <w:tcW w:w="293" w:type="pct"/>
          </w:tcPr>
          <w:p w14:paraId="3895714D" w14:textId="77777777" w:rsidR="00247AD2" w:rsidRPr="00672714" w:rsidRDefault="00247AD2" w:rsidP="00672714">
            <w:pPr>
              <w:pStyle w:val="BodyText"/>
              <w:rPr>
                <w:rFonts w:cs="Arial"/>
                <w:sz w:val="20"/>
                <w:szCs w:val="20"/>
              </w:rPr>
            </w:pPr>
            <w:r w:rsidRPr="00672714">
              <w:rPr>
                <w:rFonts w:cs="Arial"/>
                <w:sz w:val="20"/>
                <w:szCs w:val="20"/>
              </w:rPr>
              <w:t>1,720</w:t>
            </w:r>
          </w:p>
        </w:tc>
        <w:tc>
          <w:tcPr>
            <w:tcW w:w="286" w:type="pct"/>
          </w:tcPr>
          <w:p w14:paraId="582863FF" w14:textId="77777777" w:rsidR="00247AD2" w:rsidRPr="00672714" w:rsidRDefault="00247AD2" w:rsidP="00672714">
            <w:pPr>
              <w:pStyle w:val="BodyText"/>
              <w:rPr>
                <w:rFonts w:cs="Arial"/>
                <w:sz w:val="20"/>
                <w:szCs w:val="20"/>
              </w:rPr>
            </w:pPr>
            <w:r w:rsidRPr="00672714">
              <w:rPr>
                <w:rFonts w:cs="Arial"/>
                <w:sz w:val="20"/>
                <w:szCs w:val="20"/>
              </w:rPr>
              <w:t>161</w:t>
            </w:r>
          </w:p>
        </w:tc>
        <w:tc>
          <w:tcPr>
            <w:tcW w:w="310" w:type="pct"/>
          </w:tcPr>
          <w:p w14:paraId="2091235A" w14:textId="77777777" w:rsidR="00247AD2" w:rsidRPr="00672714" w:rsidRDefault="00247AD2" w:rsidP="00672714">
            <w:pPr>
              <w:pStyle w:val="BodyText"/>
              <w:rPr>
                <w:rFonts w:cs="Arial"/>
                <w:sz w:val="20"/>
                <w:szCs w:val="20"/>
              </w:rPr>
            </w:pPr>
            <w:r w:rsidRPr="00672714">
              <w:rPr>
                <w:rFonts w:cs="Arial"/>
                <w:sz w:val="20"/>
                <w:szCs w:val="20"/>
              </w:rPr>
              <w:t>1,881</w:t>
            </w:r>
          </w:p>
        </w:tc>
        <w:tc>
          <w:tcPr>
            <w:tcW w:w="323" w:type="pct"/>
          </w:tcPr>
          <w:p w14:paraId="7B05F4E1" w14:textId="77777777" w:rsidR="00247AD2" w:rsidRPr="00672714" w:rsidRDefault="00247AD2" w:rsidP="00672714">
            <w:pPr>
              <w:pStyle w:val="BodyText"/>
              <w:rPr>
                <w:rFonts w:cs="Arial"/>
                <w:sz w:val="20"/>
                <w:szCs w:val="20"/>
              </w:rPr>
            </w:pPr>
            <w:r w:rsidRPr="00672714">
              <w:rPr>
                <w:rFonts w:cs="Arial"/>
                <w:sz w:val="20"/>
                <w:szCs w:val="20"/>
              </w:rPr>
              <w:t>4,182</w:t>
            </w:r>
          </w:p>
        </w:tc>
        <w:tc>
          <w:tcPr>
            <w:tcW w:w="298" w:type="pct"/>
          </w:tcPr>
          <w:p w14:paraId="2E905CFE" w14:textId="77777777" w:rsidR="00247AD2" w:rsidRPr="00672714" w:rsidRDefault="00247AD2" w:rsidP="00672714">
            <w:pPr>
              <w:pStyle w:val="BodyText"/>
              <w:rPr>
                <w:rFonts w:cs="Arial"/>
                <w:sz w:val="20"/>
                <w:szCs w:val="20"/>
              </w:rPr>
            </w:pPr>
            <w:r w:rsidRPr="00672714">
              <w:rPr>
                <w:rFonts w:cs="Arial"/>
                <w:sz w:val="20"/>
                <w:szCs w:val="20"/>
              </w:rPr>
              <w:t>1,599</w:t>
            </w:r>
          </w:p>
        </w:tc>
        <w:tc>
          <w:tcPr>
            <w:tcW w:w="323" w:type="pct"/>
          </w:tcPr>
          <w:p w14:paraId="734C3C7C" w14:textId="77777777" w:rsidR="00247AD2" w:rsidRPr="00672714" w:rsidRDefault="00247AD2" w:rsidP="00672714">
            <w:pPr>
              <w:pStyle w:val="BodyText"/>
              <w:rPr>
                <w:rFonts w:cs="Arial"/>
                <w:sz w:val="20"/>
                <w:szCs w:val="20"/>
              </w:rPr>
            </w:pPr>
            <w:r w:rsidRPr="00672714">
              <w:rPr>
                <w:rFonts w:cs="Arial"/>
                <w:sz w:val="20"/>
                <w:szCs w:val="20"/>
              </w:rPr>
              <w:t>5,781</w:t>
            </w:r>
          </w:p>
        </w:tc>
        <w:tc>
          <w:tcPr>
            <w:tcW w:w="286" w:type="pct"/>
          </w:tcPr>
          <w:p w14:paraId="4EB95470" w14:textId="77777777" w:rsidR="00247AD2" w:rsidRPr="00672714" w:rsidRDefault="00247AD2" w:rsidP="00672714">
            <w:pPr>
              <w:pStyle w:val="BodyText"/>
              <w:rPr>
                <w:rFonts w:cs="Arial"/>
                <w:sz w:val="20"/>
                <w:szCs w:val="20"/>
              </w:rPr>
            </w:pPr>
            <w:r w:rsidRPr="00672714">
              <w:rPr>
                <w:rFonts w:cs="Arial"/>
                <w:sz w:val="20"/>
                <w:szCs w:val="20"/>
              </w:rPr>
              <w:t>45</w:t>
            </w:r>
          </w:p>
        </w:tc>
        <w:tc>
          <w:tcPr>
            <w:tcW w:w="286" w:type="pct"/>
          </w:tcPr>
          <w:p w14:paraId="36E91C0A" w14:textId="77777777" w:rsidR="00247AD2" w:rsidRPr="00672714" w:rsidRDefault="00247AD2" w:rsidP="00672714">
            <w:pPr>
              <w:pStyle w:val="BodyText"/>
              <w:rPr>
                <w:rFonts w:cs="Arial"/>
                <w:sz w:val="20"/>
                <w:szCs w:val="20"/>
              </w:rPr>
            </w:pPr>
            <w:r w:rsidRPr="00672714">
              <w:rPr>
                <w:rFonts w:cs="Arial"/>
                <w:sz w:val="20"/>
                <w:szCs w:val="20"/>
              </w:rPr>
              <w:t>7</w:t>
            </w:r>
          </w:p>
        </w:tc>
        <w:tc>
          <w:tcPr>
            <w:tcW w:w="286" w:type="pct"/>
          </w:tcPr>
          <w:p w14:paraId="27E56CD2" w14:textId="77777777" w:rsidR="00247AD2" w:rsidRPr="00672714" w:rsidRDefault="00247AD2" w:rsidP="00672714">
            <w:pPr>
              <w:pStyle w:val="BodyText"/>
              <w:rPr>
                <w:rFonts w:cs="Arial"/>
                <w:sz w:val="20"/>
                <w:szCs w:val="20"/>
              </w:rPr>
            </w:pPr>
            <w:r w:rsidRPr="00672714">
              <w:rPr>
                <w:rFonts w:cs="Arial"/>
                <w:sz w:val="20"/>
                <w:szCs w:val="20"/>
              </w:rPr>
              <w:t>52</w:t>
            </w:r>
          </w:p>
        </w:tc>
        <w:tc>
          <w:tcPr>
            <w:tcW w:w="261" w:type="pct"/>
          </w:tcPr>
          <w:p w14:paraId="278C8F2E"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565D97D9"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5F974C40"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4A552D15"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40AF65CE"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23E16E3F" w14:textId="77777777" w:rsidR="00247AD2" w:rsidRPr="00672714" w:rsidRDefault="00247AD2" w:rsidP="00672714">
            <w:pPr>
              <w:pStyle w:val="BodyText"/>
              <w:rPr>
                <w:rFonts w:cs="Arial"/>
                <w:sz w:val="20"/>
                <w:szCs w:val="20"/>
              </w:rPr>
            </w:pPr>
            <w:r w:rsidRPr="00672714">
              <w:rPr>
                <w:rFonts w:cs="Arial"/>
                <w:sz w:val="20"/>
                <w:szCs w:val="20"/>
              </w:rPr>
              <w:t>0</w:t>
            </w:r>
          </w:p>
        </w:tc>
        <w:tc>
          <w:tcPr>
            <w:tcW w:w="323" w:type="pct"/>
          </w:tcPr>
          <w:p w14:paraId="1A4F3BA2" w14:textId="77777777" w:rsidR="00247AD2" w:rsidRPr="00672714" w:rsidRDefault="00247AD2" w:rsidP="00672714">
            <w:pPr>
              <w:pStyle w:val="BodyText"/>
              <w:rPr>
                <w:rFonts w:cs="Arial"/>
                <w:sz w:val="20"/>
                <w:szCs w:val="20"/>
              </w:rPr>
            </w:pPr>
            <w:r w:rsidRPr="00672714">
              <w:rPr>
                <w:rStyle w:val="01bodybold"/>
                <w:rFonts w:cs="Arial"/>
                <w:sz w:val="20"/>
                <w:szCs w:val="20"/>
              </w:rPr>
              <w:t>7,714</w:t>
            </w:r>
          </w:p>
        </w:tc>
      </w:tr>
      <w:tr w:rsidR="006A0585" w:rsidRPr="00672714" w14:paraId="1EF2D44C" w14:textId="77777777" w:rsidTr="006A0585">
        <w:trPr>
          <w:trHeight w:val="453"/>
        </w:trPr>
        <w:tc>
          <w:tcPr>
            <w:tcW w:w="422" w:type="pct"/>
          </w:tcPr>
          <w:p w14:paraId="22E9905A" w14:textId="77777777" w:rsidR="00247AD2" w:rsidRPr="00672714" w:rsidRDefault="00247AD2" w:rsidP="00672714">
            <w:pPr>
              <w:pStyle w:val="BodyText"/>
              <w:rPr>
                <w:rFonts w:cs="Arial"/>
                <w:sz w:val="20"/>
                <w:szCs w:val="20"/>
              </w:rPr>
            </w:pPr>
            <w:r w:rsidRPr="00672714">
              <w:rPr>
                <w:rFonts w:cs="Arial"/>
                <w:sz w:val="20"/>
                <w:szCs w:val="20"/>
              </w:rPr>
              <w:t>Qld</w:t>
            </w:r>
          </w:p>
        </w:tc>
        <w:tc>
          <w:tcPr>
            <w:tcW w:w="293" w:type="pct"/>
          </w:tcPr>
          <w:p w14:paraId="75538184" w14:textId="77777777" w:rsidR="00247AD2" w:rsidRPr="00672714" w:rsidRDefault="00247AD2" w:rsidP="00672714">
            <w:pPr>
              <w:pStyle w:val="BodyText"/>
              <w:rPr>
                <w:rFonts w:cs="Arial"/>
                <w:sz w:val="20"/>
                <w:szCs w:val="20"/>
              </w:rPr>
            </w:pPr>
            <w:r w:rsidRPr="00672714">
              <w:rPr>
                <w:rFonts w:cs="Arial"/>
                <w:sz w:val="20"/>
                <w:szCs w:val="20"/>
              </w:rPr>
              <w:t>1,898</w:t>
            </w:r>
          </w:p>
        </w:tc>
        <w:tc>
          <w:tcPr>
            <w:tcW w:w="286" w:type="pct"/>
          </w:tcPr>
          <w:p w14:paraId="1F9CA755" w14:textId="77777777" w:rsidR="00247AD2" w:rsidRPr="00672714" w:rsidRDefault="00247AD2" w:rsidP="00672714">
            <w:pPr>
              <w:pStyle w:val="BodyText"/>
              <w:rPr>
                <w:rFonts w:cs="Arial"/>
                <w:sz w:val="20"/>
                <w:szCs w:val="20"/>
              </w:rPr>
            </w:pPr>
            <w:r w:rsidRPr="00672714">
              <w:rPr>
                <w:rFonts w:cs="Arial"/>
                <w:sz w:val="20"/>
                <w:szCs w:val="20"/>
              </w:rPr>
              <w:t>177</w:t>
            </w:r>
          </w:p>
        </w:tc>
        <w:tc>
          <w:tcPr>
            <w:tcW w:w="310" w:type="pct"/>
          </w:tcPr>
          <w:p w14:paraId="57CC1D74" w14:textId="77777777" w:rsidR="00247AD2" w:rsidRPr="00672714" w:rsidRDefault="00247AD2" w:rsidP="00672714">
            <w:pPr>
              <w:pStyle w:val="BodyText"/>
              <w:rPr>
                <w:rFonts w:cs="Arial"/>
                <w:sz w:val="20"/>
                <w:szCs w:val="20"/>
              </w:rPr>
            </w:pPr>
            <w:r w:rsidRPr="00672714">
              <w:rPr>
                <w:rFonts w:cs="Arial"/>
                <w:sz w:val="20"/>
                <w:szCs w:val="20"/>
              </w:rPr>
              <w:t>2,075</w:t>
            </w:r>
          </w:p>
        </w:tc>
        <w:tc>
          <w:tcPr>
            <w:tcW w:w="323" w:type="pct"/>
          </w:tcPr>
          <w:p w14:paraId="4C92C01C" w14:textId="77777777" w:rsidR="00247AD2" w:rsidRPr="00672714" w:rsidRDefault="00247AD2" w:rsidP="00672714">
            <w:pPr>
              <w:pStyle w:val="BodyText"/>
              <w:rPr>
                <w:rFonts w:cs="Arial"/>
                <w:sz w:val="20"/>
                <w:szCs w:val="20"/>
              </w:rPr>
            </w:pPr>
            <w:r w:rsidRPr="00672714">
              <w:rPr>
                <w:rFonts w:cs="Arial"/>
                <w:sz w:val="20"/>
                <w:szCs w:val="20"/>
              </w:rPr>
              <w:t>3,840</w:t>
            </w:r>
          </w:p>
        </w:tc>
        <w:tc>
          <w:tcPr>
            <w:tcW w:w="298" w:type="pct"/>
          </w:tcPr>
          <w:p w14:paraId="34E0CB43" w14:textId="77777777" w:rsidR="00247AD2" w:rsidRPr="00672714" w:rsidRDefault="00247AD2" w:rsidP="00672714">
            <w:pPr>
              <w:pStyle w:val="BodyText"/>
              <w:rPr>
                <w:rFonts w:cs="Arial"/>
                <w:sz w:val="20"/>
                <w:szCs w:val="20"/>
              </w:rPr>
            </w:pPr>
            <w:r w:rsidRPr="00672714">
              <w:rPr>
                <w:rFonts w:cs="Arial"/>
                <w:sz w:val="20"/>
                <w:szCs w:val="20"/>
              </w:rPr>
              <w:t>1,342</w:t>
            </w:r>
          </w:p>
        </w:tc>
        <w:tc>
          <w:tcPr>
            <w:tcW w:w="323" w:type="pct"/>
          </w:tcPr>
          <w:p w14:paraId="2EE2A20E" w14:textId="77777777" w:rsidR="00247AD2" w:rsidRPr="00672714" w:rsidRDefault="00247AD2" w:rsidP="00672714">
            <w:pPr>
              <w:pStyle w:val="BodyText"/>
              <w:rPr>
                <w:rFonts w:cs="Arial"/>
                <w:sz w:val="20"/>
                <w:szCs w:val="20"/>
              </w:rPr>
            </w:pPr>
            <w:r w:rsidRPr="00672714">
              <w:rPr>
                <w:rFonts w:cs="Arial"/>
                <w:sz w:val="20"/>
                <w:szCs w:val="20"/>
              </w:rPr>
              <w:t>5,182</w:t>
            </w:r>
          </w:p>
        </w:tc>
        <w:tc>
          <w:tcPr>
            <w:tcW w:w="286" w:type="pct"/>
          </w:tcPr>
          <w:p w14:paraId="476FCF53" w14:textId="77777777" w:rsidR="00247AD2" w:rsidRPr="00672714" w:rsidRDefault="00247AD2" w:rsidP="00672714">
            <w:pPr>
              <w:pStyle w:val="BodyText"/>
              <w:rPr>
                <w:rFonts w:cs="Arial"/>
                <w:sz w:val="20"/>
                <w:szCs w:val="20"/>
              </w:rPr>
            </w:pPr>
            <w:r w:rsidRPr="00672714">
              <w:rPr>
                <w:rFonts w:cs="Arial"/>
                <w:sz w:val="20"/>
                <w:szCs w:val="20"/>
              </w:rPr>
              <w:t>63</w:t>
            </w:r>
          </w:p>
        </w:tc>
        <w:tc>
          <w:tcPr>
            <w:tcW w:w="286" w:type="pct"/>
          </w:tcPr>
          <w:p w14:paraId="27716DA2" w14:textId="77777777" w:rsidR="00247AD2" w:rsidRPr="00672714" w:rsidRDefault="00247AD2" w:rsidP="00672714">
            <w:pPr>
              <w:pStyle w:val="BodyText"/>
              <w:rPr>
                <w:rFonts w:cs="Arial"/>
                <w:sz w:val="20"/>
                <w:szCs w:val="20"/>
              </w:rPr>
            </w:pPr>
            <w:r w:rsidRPr="00672714">
              <w:rPr>
                <w:rFonts w:cs="Arial"/>
                <w:sz w:val="20"/>
                <w:szCs w:val="20"/>
              </w:rPr>
              <w:t>16</w:t>
            </w:r>
          </w:p>
        </w:tc>
        <w:tc>
          <w:tcPr>
            <w:tcW w:w="286" w:type="pct"/>
          </w:tcPr>
          <w:p w14:paraId="4587A875" w14:textId="77777777" w:rsidR="00247AD2" w:rsidRPr="00672714" w:rsidRDefault="00247AD2" w:rsidP="00672714">
            <w:pPr>
              <w:pStyle w:val="BodyText"/>
              <w:rPr>
                <w:rFonts w:cs="Arial"/>
                <w:sz w:val="20"/>
                <w:szCs w:val="20"/>
              </w:rPr>
            </w:pPr>
            <w:r w:rsidRPr="00672714">
              <w:rPr>
                <w:rFonts w:cs="Arial"/>
                <w:sz w:val="20"/>
                <w:szCs w:val="20"/>
              </w:rPr>
              <w:t>79</w:t>
            </w:r>
          </w:p>
        </w:tc>
        <w:tc>
          <w:tcPr>
            <w:tcW w:w="261" w:type="pct"/>
          </w:tcPr>
          <w:p w14:paraId="00566AB9"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0E48E2FF"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1D39156D"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31F7AEB4"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05F5EC9C"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4682DF82" w14:textId="77777777" w:rsidR="00247AD2" w:rsidRPr="00672714" w:rsidRDefault="00247AD2" w:rsidP="00672714">
            <w:pPr>
              <w:pStyle w:val="BodyText"/>
              <w:rPr>
                <w:rFonts w:cs="Arial"/>
                <w:sz w:val="20"/>
                <w:szCs w:val="20"/>
              </w:rPr>
            </w:pPr>
            <w:r w:rsidRPr="00672714">
              <w:rPr>
                <w:rFonts w:cs="Arial"/>
                <w:sz w:val="20"/>
                <w:szCs w:val="20"/>
              </w:rPr>
              <w:t>0</w:t>
            </w:r>
          </w:p>
        </w:tc>
        <w:tc>
          <w:tcPr>
            <w:tcW w:w="323" w:type="pct"/>
          </w:tcPr>
          <w:p w14:paraId="25C558F7" w14:textId="77777777" w:rsidR="00247AD2" w:rsidRPr="00672714" w:rsidRDefault="00247AD2" w:rsidP="00672714">
            <w:pPr>
              <w:pStyle w:val="BodyText"/>
              <w:rPr>
                <w:rFonts w:cs="Arial"/>
                <w:sz w:val="20"/>
                <w:szCs w:val="20"/>
              </w:rPr>
            </w:pPr>
            <w:r w:rsidRPr="00672714">
              <w:rPr>
                <w:rStyle w:val="01bodybold"/>
                <w:rFonts w:cs="Arial"/>
                <w:sz w:val="20"/>
                <w:szCs w:val="20"/>
              </w:rPr>
              <w:t>7,336</w:t>
            </w:r>
          </w:p>
        </w:tc>
      </w:tr>
      <w:tr w:rsidR="006A0585" w:rsidRPr="00672714" w14:paraId="5EB9F81A" w14:textId="77777777" w:rsidTr="006A0585">
        <w:trPr>
          <w:trHeight w:val="453"/>
        </w:trPr>
        <w:tc>
          <w:tcPr>
            <w:tcW w:w="422" w:type="pct"/>
          </w:tcPr>
          <w:p w14:paraId="64C735E8" w14:textId="77777777" w:rsidR="00247AD2" w:rsidRPr="00672714" w:rsidRDefault="00247AD2" w:rsidP="00672714">
            <w:pPr>
              <w:pStyle w:val="BodyText"/>
              <w:rPr>
                <w:rFonts w:cs="Arial"/>
                <w:sz w:val="20"/>
                <w:szCs w:val="20"/>
              </w:rPr>
            </w:pPr>
            <w:r w:rsidRPr="00672714">
              <w:rPr>
                <w:rFonts w:cs="Arial"/>
                <w:sz w:val="20"/>
                <w:szCs w:val="20"/>
              </w:rPr>
              <w:t>SA</w:t>
            </w:r>
          </w:p>
        </w:tc>
        <w:tc>
          <w:tcPr>
            <w:tcW w:w="293" w:type="pct"/>
          </w:tcPr>
          <w:p w14:paraId="496BFE5D" w14:textId="77777777" w:rsidR="00247AD2" w:rsidRPr="00672714" w:rsidRDefault="00247AD2" w:rsidP="00672714">
            <w:pPr>
              <w:pStyle w:val="BodyText"/>
              <w:rPr>
                <w:rFonts w:cs="Arial"/>
                <w:sz w:val="20"/>
                <w:szCs w:val="20"/>
              </w:rPr>
            </w:pPr>
            <w:r w:rsidRPr="00672714">
              <w:rPr>
                <w:rFonts w:cs="Arial"/>
                <w:sz w:val="20"/>
                <w:szCs w:val="20"/>
              </w:rPr>
              <w:t>1,026</w:t>
            </w:r>
          </w:p>
        </w:tc>
        <w:tc>
          <w:tcPr>
            <w:tcW w:w="286" w:type="pct"/>
          </w:tcPr>
          <w:p w14:paraId="4F0A2401" w14:textId="77777777" w:rsidR="00247AD2" w:rsidRPr="00672714" w:rsidRDefault="00247AD2" w:rsidP="00672714">
            <w:pPr>
              <w:pStyle w:val="BodyText"/>
              <w:rPr>
                <w:rFonts w:cs="Arial"/>
                <w:sz w:val="20"/>
                <w:szCs w:val="20"/>
              </w:rPr>
            </w:pPr>
            <w:r w:rsidRPr="00672714">
              <w:rPr>
                <w:rFonts w:cs="Arial"/>
                <w:sz w:val="20"/>
                <w:szCs w:val="20"/>
              </w:rPr>
              <w:t>69</w:t>
            </w:r>
          </w:p>
        </w:tc>
        <w:tc>
          <w:tcPr>
            <w:tcW w:w="310" w:type="pct"/>
          </w:tcPr>
          <w:p w14:paraId="53141B9F" w14:textId="77777777" w:rsidR="00247AD2" w:rsidRPr="00672714" w:rsidRDefault="00247AD2" w:rsidP="00672714">
            <w:pPr>
              <w:pStyle w:val="BodyText"/>
              <w:rPr>
                <w:rFonts w:cs="Arial"/>
                <w:sz w:val="20"/>
                <w:szCs w:val="20"/>
              </w:rPr>
            </w:pPr>
            <w:r w:rsidRPr="00672714">
              <w:rPr>
                <w:rFonts w:cs="Arial"/>
                <w:sz w:val="20"/>
                <w:szCs w:val="20"/>
              </w:rPr>
              <w:t>1,095</w:t>
            </w:r>
          </w:p>
        </w:tc>
        <w:tc>
          <w:tcPr>
            <w:tcW w:w="323" w:type="pct"/>
          </w:tcPr>
          <w:p w14:paraId="457473C2" w14:textId="77777777" w:rsidR="00247AD2" w:rsidRPr="00672714" w:rsidRDefault="00247AD2" w:rsidP="00672714">
            <w:pPr>
              <w:pStyle w:val="BodyText"/>
              <w:rPr>
                <w:rFonts w:cs="Arial"/>
                <w:sz w:val="20"/>
                <w:szCs w:val="20"/>
              </w:rPr>
            </w:pPr>
            <w:r w:rsidRPr="00672714">
              <w:rPr>
                <w:rFonts w:cs="Arial"/>
                <w:sz w:val="20"/>
                <w:szCs w:val="20"/>
              </w:rPr>
              <w:t>1,375</w:t>
            </w:r>
          </w:p>
        </w:tc>
        <w:tc>
          <w:tcPr>
            <w:tcW w:w="298" w:type="pct"/>
          </w:tcPr>
          <w:p w14:paraId="1F89C0E1" w14:textId="77777777" w:rsidR="00247AD2" w:rsidRPr="00672714" w:rsidRDefault="00247AD2" w:rsidP="00672714">
            <w:pPr>
              <w:pStyle w:val="BodyText"/>
              <w:rPr>
                <w:rFonts w:cs="Arial"/>
                <w:sz w:val="20"/>
                <w:szCs w:val="20"/>
              </w:rPr>
            </w:pPr>
            <w:r w:rsidRPr="00672714">
              <w:rPr>
                <w:rFonts w:cs="Arial"/>
                <w:sz w:val="20"/>
                <w:szCs w:val="20"/>
              </w:rPr>
              <w:t>426</w:t>
            </w:r>
          </w:p>
        </w:tc>
        <w:tc>
          <w:tcPr>
            <w:tcW w:w="323" w:type="pct"/>
          </w:tcPr>
          <w:p w14:paraId="02B944B2" w14:textId="77777777" w:rsidR="00247AD2" w:rsidRPr="00672714" w:rsidRDefault="00247AD2" w:rsidP="00672714">
            <w:pPr>
              <w:pStyle w:val="BodyText"/>
              <w:rPr>
                <w:rFonts w:cs="Arial"/>
                <w:sz w:val="20"/>
                <w:szCs w:val="20"/>
              </w:rPr>
            </w:pPr>
            <w:r w:rsidRPr="00672714">
              <w:rPr>
                <w:rFonts w:cs="Arial"/>
                <w:sz w:val="20"/>
                <w:szCs w:val="20"/>
              </w:rPr>
              <w:t>1,801</w:t>
            </w:r>
          </w:p>
        </w:tc>
        <w:tc>
          <w:tcPr>
            <w:tcW w:w="286" w:type="pct"/>
          </w:tcPr>
          <w:p w14:paraId="188D02AF" w14:textId="77777777" w:rsidR="00247AD2" w:rsidRPr="00672714" w:rsidRDefault="00247AD2" w:rsidP="00672714">
            <w:pPr>
              <w:pStyle w:val="BodyText"/>
              <w:rPr>
                <w:rFonts w:cs="Arial"/>
                <w:sz w:val="20"/>
                <w:szCs w:val="20"/>
              </w:rPr>
            </w:pPr>
            <w:r w:rsidRPr="00672714">
              <w:rPr>
                <w:rFonts w:cs="Arial"/>
                <w:sz w:val="20"/>
                <w:szCs w:val="20"/>
              </w:rPr>
              <w:t>25</w:t>
            </w:r>
          </w:p>
        </w:tc>
        <w:tc>
          <w:tcPr>
            <w:tcW w:w="286" w:type="pct"/>
          </w:tcPr>
          <w:p w14:paraId="74ACB8E2" w14:textId="77777777" w:rsidR="00247AD2" w:rsidRPr="00672714" w:rsidRDefault="00247AD2" w:rsidP="00672714">
            <w:pPr>
              <w:pStyle w:val="BodyText"/>
              <w:rPr>
                <w:rFonts w:cs="Arial"/>
                <w:sz w:val="20"/>
                <w:szCs w:val="20"/>
              </w:rPr>
            </w:pPr>
            <w:r w:rsidRPr="00672714">
              <w:rPr>
                <w:rFonts w:cs="Arial"/>
                <w:sz w:val="20"/>
                <w:szCs w:val="20"/>
              </w:rPr>
              <w:t>5</w:t>
            </w:r>
          </w:p>
        </w:tc>
        <w:tc>
          <w:tcPr>
            <w:tcW w:w="286" w:type="pct"/>
          </w:tcPr>
          <w:p w14:paraId="213DA79F" w14:textId="77777777" w:rsidR="00247AD2" w:rsidRPr="00672714" w:rsidRDefault="00247AD2" w:rsidP="00672714">
            <w:pPr>
              <w:pStyle w:val="BodyText"/>
              <w:rPr>
                <w:rFonts w:cs="Arial"/>
                <w:sz w:val="20"/>
                <w:szCs w:val="20"/>
              </w:rPr>
            </w:pPr>
            <w:r w:rsidRPr="00672714">
              <w:rPr>
                <w:rFonts w:cs="Arial"/>
                <w:sz w:val="20"/>
                <w:szCs w:val="20"/>
              </w:rPr>
              <w:t>30</w:t>
            </w:r>
          </w:p>
        </w:tc>
        <w:tc>
          <w:tcPr>
            <w:tcW w:w="261" w:type="pct"/>
          </w:tcPr>
          <w:p w14:paraId="5554396E"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1B2C136B"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04F1BD47"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48F6F242"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44B8A0EC"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7A025A7E" w14:textId="77777777" w:rsidR="00247AD2" w:rsidRPr="00672714" w:rsidRDefault="00247AD2" w:rsidP="00672714">
            <w:pPr>
              <w:pStyle w:val="BodyText"/>
              <w:rPr>
                <w:rFonts w:cs="Arial"/>
                <w:sz w:val="20"/>
                <w:szCs w:val="20"/>
              </w:rPr>
            </w:pPr>
            <w:r w:rsidRPr="00672714">
              <w:rPr>
                <w:rFonts w:cs="Arial"/>
                <w:sz w:val="20"/>
                <w:szCs w:val="20"/>
              </w:rPr>
              <w:t>0</w:t>
            </w:r>
          </w:p>
        </w:tc>
        <w:tc>
          <w:tcPr>
            <w:tcW w:w="323" w:type="pct"/>
          </w:tcPr>
          <w:p w14:paraId="47568F08" w14:textId="77777777" w:rsidR="00247AD2" w:rsidRPr="00672714" w:rsidRDefault="00247AD2" w:rsidP="00672714">
            <w:pPr>
              <w:pStyle w:val="BodyText"/>
              <w:rPr>
                <w:rFonts w:cs="Arial"/>
                <w:sz w:val="20"/>
                <w:szCs w:val="20"/>
              </w:rPr>
            </w:pPr>
            <w:r w:rsidRPr="00672714">
              <w:rPr>
                <w:rStyle w:val="01bodybold"/>
                <w:rFonts w:cs="Arial"/>
                <w:sz w:val="20"/>
                <w:szCs w:val="20"/>
              </w:rPr>
              <w:t>2,926</w:t>
            </w:r>
          </w:p>
        </w:tc>
      </w:tr>
      <w:tr w:rsidR="006A0585" w:rsidRPr="00672714" w14:paraId="19C6E276" w14:textId="77777777" w:rsidTr="006A0585">
        <w:trPr>
          <w:trHeight w:val="453"/>
        </w:trPr>
        <w:tc>
          <w:tcPr>
            <w:tcW w:w="422" w:type="pct"/>
          </w:tcPr>
          <w:p w14:paraId="1F6FE141" w14:textId="77777777" w:rsidR="00247AD2" w:rsidRPr="00672714" w:rsidRDefault="00247AD2" w:rsidP="00672714">
            <w:pPr>
              <w:pStyle w:val="BodyText"/>
              <w:rPr>
                <w:rFonts w:cs="Arial"/>
                <w:sz w:val="20"/>
                <w:szCs w:val="20"/>
              </w:rPr>
            </w:pPr>
            <w:r w:rsidRPr="00672714">
              <w:rPr>
                <w:rFonts w:cs="Arial"/>
                <w:sz w:val="20"/>
                <w:szCs w:val="20"/>
              </w:rPr>
              <w:t>Tas</w:t>
            </w:r>
          </w:p>
        </w:tc>
        <w:tc>
          <w:tcPr>
            <w:tcW w:w="293" w:type="pct"/>
          </w:tcPr>
          <w:p w14:paraId="22212BFE" w14:textId="77777777" w:rsidR="00247AD2" w:rsidRPr="00672714" w:rsidRDefault="00247AD2" w:rsidP="00672714">
            <w:pPr>
              <w:pStyle w:val="BodyText"/>
              <w:rPr>
                <w:rFonts w:cs="Arial"/>
                <w:sz w:val="20"/>
                <w:szCs w:val="20"/>
              </w:rPr>
            </w:pPr>
            <w:r w:rsidRPr="00672714">
              <w:rPr>
                <w:rFonts w:cs="Arial"/>
                <w:sz w:val="20"/>
                <w:szCs w:val="20"/>
              </w:rPr>
              <w:t>421</w:t>
            </w:r>
          </w:p>
        </w:tc>
        <w:tc>
          <w:tcPr>
            <w:tcW w:w="286" w:type="pct"/>
          </w:tcPr>
          <w:p w14:paraId="6DA17DA5" w14:textId="77777777" w:rsidR="00247AD2" w:rsidRPr="00672714" w:rsidRDefault="00247AD2" w:rsidP="00672714">
            <w:pPr>
              <w:pStyle w:val="BodyText"/>
              <w:rPr>
                <w:rFonts w:cs="Arial"/>
                <w:sz w:val="20"/>
                <w:szCs w:val="20"/>
              </w:rPr>
            </w:pPr>
            <w:r w:rsidRPr="00672714">
              <w:rPr>
                <w:rFonts w:cs="Arial"/>
                <w:sz w:val="20"/>
                <w:szCs w:val="20"/>
              </w:rPr>
              <w:t>53</w:t>
            </w:r>
          </w:p>
        </w:tc>
        <w:tc>
          <w:tcPr>
            <w:tcW w:w="310" w:type="pct"/>
          </w:tcPr>
          <w:p w14:paraId="675E22FE" w14:textId="77777777" w:rsidR="00247AD2" w:rsidRPr="00672714" w:rsidRDefault="00247AD2" w:rsidP="00672714">
            <w:pPr>
              <w:pStyle w:val="BodyText"/>
              <w:rPr>
                <w:rFonts w:cs="Arial"/>
                <w:sz w:val="20"/>
                <w:szCs w:val="20"/>
              </w:rPr>
            </w:pPr>
            <w:r w:rsidRPr="00672714">
              <w:rPr>
                <w:rFonts w:cs="Arial"/>
                <w:sz w:val="20"/>
                <w:szCs w:val="20"/>
              </w:rPr>
              <w:t>474</w:t>
            </w:r>
          </w:p>
        </w:tc>
        <w:tc>
          <w:tcPr>
            <w:tcW w:w="323" w:type="pct"/>
          </w:tcPr>
          <w:p w14:paraId="21715473" w14:textId="77777777" w:rsidR="00247AD2" w:rsidRPr="00672714" w:rsidRDefault="00247AD2" w:rsidP="00672714">
            <w:pPr>
              <w:pStyle w:val="BodyText"/>
              <w:rPr>
                <w:rFonts w:cs="Arial"/>
                <w:sz w:val="20"/>
                <w:szCs w:val="20"/>
              </w:rPr>
            </w:pPr>
            <w:r w:rsidRPr="00672714">
              <w:rPr>
                <w:rFonts w:cs="Arial"/>
                <w:sz w:val="20"/>
                <w:szCs w:val="20"/>
              </w:rPr>
              <w:t>600</w:t>
            </w:r>
          </w:p>
        </w:tc>
        <w:tc>
          <w:tcPr>
            <w:tcW w:w="298" w:type="pct"/>
          </w:tcPr>
          <w:p w14:paraId="13C18204" w14:textId="77777777" w:rsidR="00247AD2" w:rsidRPr="00672714" w:rsidRDefault="00247AD2" w:rsidP="00672714">
            <w:pPr>
              <w:pStyle w:val="BodyText"/>
              <w:rPr>
                <w:rFonts w:cs="Arial"/>
                <w:sz w:val="20"/>
                <w:szCs w:val="20"/>
              </w:rPr>
            </w:pPr>
            <w:r w:rsidRPr="00672714">
              <w:rPr>
                <w:rFonts w:cs="Arial"/>
                <w:sz w:val="20"/>
                <w:szCs w:val="20"/>
              </w:rPr>
              <w:t>411</w:t>
            </w:r>
          </w:p>
        </w:tc>
        <w:tc>
          <w:tcPr>
            <w:tcW w:w="323" w:type="pct"/>
          </w:tcPr>
          <w:p w14:paraId="01A59CD0" w14:textId="77777777" w:rsidR="00247AD2" w:rsidRPr="00672714" w:rsidRDefault="00247AD2" w:rsidP="00672714">
            <w:pPr>
              <w:pStyle w:val="BodyText"/>
              <w:rPr>
                <w:rFonts w:cs="Arial"/>
                <w:sz w:val="20"/>
                <w:szCs w:val="20"/>
              </w:rPr>
            </w:pPr>
            <w:r w:rsidRPr="00672714">
              <w:rPr>
                <w:rFonts w:cs="Arial"/>
                <w:sz w:val="20"/>
                <w:szCs w:val="20"/>
              </w:rPr>
              <w:t>1,011</w:t>
            </w:r>
          </w:p>
        </w:tc>
        <w:tc>
          <w:tcPr>
            <w:tcW w:w="286" w:type="pct"/>
          </w:tcPr>
          <w:p w14:paraId="497D845F" w14:textId="77777777" w:rsidR="00247AD2" w:rsidRPr="00672714" w:rsidRDefault="00247AD2" w:rsidP="00672714">
            <w:pPr>
              <w:pStyle w:val="BodyText"/>
              <w:rPr>
                <w:rFonts w:cs="Arial"/>
                <w:sz w:val="20"/>
                <w:szCs w:val="20"/>
              </w:rPr>
            </w:pPr>
            <w:r w:rsidRPr="00672714">
              <w:rPr>
                <w:rFonts w:cs="Arial"/>
                <w:sz w:val="20"/>
                <w:szCs w:val="20"/>
              </w:rPr>
              <w:t>14</w:t>
            </w:r>
          </w:p>
        </w:tc>
        <w:tc>
          <w:tcPr>
            <w:tcW w:w="286" w:type="pct"/>
          </w:tcPr>
          <w:p w14:paraId="6F4BFBD0" w14:textId="77777777" w:rsidR="00247AD2" w:rsidRPr="00672714" w:rsidRDefault="00247AD2" w:rsidP="00672714">
            <w:pPr>
              <w:pStyle w:val="BodyText"/>
              <w:rPr>
                <w:rFonts w:cs="Arial"/>
                <w:sz w:val="20"/>
                <w:szCs w:val="20"/>
              </w:rPr>
            </w:pPr>
            <w:r w:rsidRPr="00672714">
              <w:rPr>
                <w:rFonts w:cs="Arial"/>
                <w:sz w:val="20"/>
                <w:szCs w:val="20"/>
              </w:rPr>
              <w:t>4</w:t>
            </w:r>
          </w:p>
        </w:tc>
        <w:tc>
          <w:tcPr>
            <w:tcW w:w="286" w:type="pct"/>
          </w:tcPr>
          <w:p w14:paraId="510854EB" w14:textId="77777777" w:rsidR="00247AD2" w:rsidRPr="00672714" w:rsidRDefault="00247AD2" w:rsidP="00672714">
            <w:pPr>
              <w:pStyle w:val="BodyText"/>
              <w:rPr>
                <w:rFonts w:cs="Arial"/>
                <w:sz w:val="20"/>
                <w:szCs w:val="20"/>
              </w:rPr>
            </w:pPr>
            <w:r w:rsidRPr="00672714">
              <w:rPr>
                <w:rFonts w:cs="Arial"/>
                <w:sz w:val="20"/>
                <w:szCs w:val="20"/>
              </w:rPr>
              <w:t>18</w:t>
            </w:r>
          </w:p>
        </w:tc>
        <w:tc>
          <w:tcPr>
            <w:tcW w:w="261" w:type="pct"/>
          </w:tcPr>
          <w:p w14:paraId="47AEAD0A"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1331212B"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5ED21B80"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3D75F623"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7170611F"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7F4ADC3E" w14:textId="77777777" w:rsidR="00247AD2" w:rsidRPr="00672714" w:rsidRDefault="00247AD2" w:rsidP="00672714">
            <w:pPr>
              <w:pStyle w:val="BodyText"/>
              <w:rPr>
                <w:rFonts w:cs="Arial"/>
                <w:sz w:val="20"/>
                <w:szCs w:val="20"/>
              </w:rPr>
            </w:pPr>
            <w:r w:rsidRPr="00672714">
              <w:rPr>
                <w:rFonts w:cs="Arial"/>
                <w:sz w:val="20"/>
                <w:szCs w:val="20"/>
              </w:rPr>
              <w:t>0</w:t>
            </w:r>
          </w:p>
        </w:tc>
        <w:tc>
          <w:tcPr>
            <w:tcW w:w="323" w:type="pct"/>
          </w:tcPr>
          <w:p w14:paraId="75F02BA2" w14:textId="77777777" w:rsidR="00247AD2" w:rsidRPr="00672714" w:rsidRDefault="00247AD2" w:rsidP="00672714">
            <w:pPr>
              <w:pStyle w:val="BodyText"/>
              <w:rPr>
                <w:rFonts w:cs="Arial"/>
                <w:sz w:val="20"/>
                <w:szCs w:val="20"/>
              </w:rPr>
            </w:pPr>
            <w:r w:rsidRPr="00672714">
              <w:rPr>
                <w:rStyle w:val="01bodybold"/>
                <w:rFonts w:cs="Arial"/>
                <w:sz w:val="20"/>
                <w:szCs w:val="20"/>
              </w:rPr>
              <w:t>1,503</w:t>
            </w:r>
          </w:p>
        </w:tc>
      </w:tr>
      <w:tr w:rsidR="006A0585" w:rsidRPr="00672714" w14:paraId="132901DC" w14:textId="77777777" w:rsidTr="006A0585">
        <w:trPr>
          <w:trHeight w:val="453"/>
        </w:trPr>
        <w:tc>
          <w:tcPr>
            <w:tcW w:w="422" w:type="pct"/>
          </w:tcPr>
          <w:p w14:paraId="7DEA7F09" w14:textId="77777777" w:rsidR="00247AD2" w:rsidRPr="00672714" w:rsidRDefault="00247AD2" w:rsidP="00672714">
            <w:pPr>
              <w:pStyle w:val="BodyText"/>
              <w:rPr>
                <w:rFonts w:cs="Arial"/>
                <w:sz w:val="20"/>
                <w:szCs w:val="20"/>
              </w:rPr>
            </w:pPr>
            <w:r w:rsidRPr="00672714">
              <w:rPr>
                <w:rFonts w:cs="Arial"/>
                <w:sz w:val="20"/>
                <w:szCs w:val="20"/>
              </w:rPr>
              <w:t>Vic</w:t>
            </w:r>
          </w:p>
        </w:tc>
        <w:tc>
          <w:tcPr>
            <w:tcW w:w="293" w:type="pct"/>
          </w:tcPr>
          <w:p w14:paraId="281888FD" w14:textId="77777777" w:rsidR="00247AD2" w:rsidRPr="00672714" w:rsidRDefault="00247AD2" w:rsidP="00672714">
            <w:pPr>
              <w:pStyle w:val="BodyText"/>
              <w:rPr>
                <w:rFonts w:cs="Arial"/>
                <w:sz w:val="20"/>
                <w:szCs w:val="20"/>
              </w:rPr>
            </w:pPr>
            <w:r w:rsidRPr="00672714">
              <w:rPr>
                <w:rFonts w:cs="Arial"/>
                <w:sz w:val="20"/>
                <w:szCs w:val="20"/>
              </w:rPr>
              <w:t>1,794</w:t>
            </w:r>
          </w:p>
        </w:tc>
        <w:tc>
          <w:tcPr>
            <w:tcW w:w="286" w:type="pct"/>
          </w:tcPr>
          <w:p w14:paraId="504C0A2E" w14:textId="77777777" w:rsidR="00247AD2" w:rsidRPr="00672714" w:rsidRDefault="00247AD2" w:rsidP="00672714">
            <w:pPr>
              <w:pStyle w:val="BodyText"/>
              <w:rPr>
                <w:rFonts w:cs="Arial"/>
                <w:sz w:val="20"/>
                <w:szCs w:val="20"/>
              </w:rPr>
            </w:pPr>
            <w:r w:rsidRPr="00672714">
              <w:rPr>
                <w:rFonts w:cs="Arial"/>
                <w:sz w:val="20"/>
                <w:szCs w:val="20"/>
              </w:rPr>
              <w:t>145</w:t>
            </w:r>
          </w:p>
        </w:tc>
        <w:tc>
          <w:tcPr>
            <w:tcW w:w="310" w:type="pct"/>
          </w:tcPr>
          <w:p w14:paraId="102F705D" w14:textId="77777777" w:rsidR="00247AD2" w:rsidRPr="00672714" w:rsidRDefault="00247AD2" w:rsidP="00672714">
            <w:pPr>
              <w:pStyle w:val="BodyText"/>
              <w:rPr>
                <w:rFonts w:cs="Arial"/>
                <w:sz w:val="20"/>
                <w:szCs w:val="20"/>
              </w:rPr>
            </w:pPr>
            <w:r w:rsidRPr="00672714">
              <w:rPr>
                <w:rFonts w:cs="Arial"/>
                <w:sz w:val="20"/>
                <w:szCs w:val="20"/>
              </w:rPr>
              <w:t>1,939</w:t>
            </w:r>
          </w:p>
        </w:tc>
        <w:tc>
          <w:tcPr>
            <w:tcW w:w="323" w:type="pct"/>
          </w:tcPr>
          <w:p w14:paraId="06F6579C" w14:textId="77777777" w:rsidR="00247AD2" w:rsidRPr="00672714" w:rsidRDefault="00247AD2" w:rsidP="00672714">
            <w:pPr>
              <w:pStyle w:val="BodyText"/>
              <w:rPr>
                <w:rFonts w:cs="Arial"/>
                <w:sz w:val="20"/>
                <w:szCs w:val="20"/>
              </w:rPr>
            </w:pPr>
            <w:r w:rsidRPr="00672714">
              <w:rPr>
                <w:rFonts w:cs="Arial"/>
                <w:sz w:val="20"/>
                <w:szCs w:val="20"/>
              </w:rPr>
              <w:t>2,968</w:t>
            </w:r>
          </w:p>
        </w:tc>
        <w:tc>
          <w:tcPr>
            <w:tcW w:w="298" w:type="pct"/>
          </w:tcPr>
          <w:p w14:paraId="338BBB83" w14:textId="77777777" w:rsidR="00247AD2" w:rsidRPr="00672714" w:rsidRDefault="00247AD2" w:rsidP="00672714">
            <w:pPr>
              <w:pStyle w:val="BodyText"/>
              <w:rPr>
                <w:rFonts w:cs="Arial"/>
                <w:sz w:val="20"/>
                <w:szCs w:val="20"/>
              </w:rPr>
            </w:pPr>
            <w:r w:rsidRPr="00672714">
              <w:rPr>
                <w:rFonts w:cs="Arial"/>
                <w:sz w:val="20"/>
                <w:szCs w:val="20"/>
              </w:rPr>
              <w:t>1,207</w:t>
            </w:r>
          </w:p>
        </w:tc>
        <w:tc>
          <w:tcPr>
            <w:tcW w:w="323" w:type="pct"/>
          </w:tcPr>
          <w:p w14:paraId="12A56124" w14:textId="77777777" w:rsidR="00247AD2" w:rsidRPr="00672714" w:rsidRDefault="00247AD2" w:rsidP="00672714">
            <w:pPr>
              <w:pStyle w:val="BodyText"/>
              <w:rPr>
                <w:rFonts w:cs="Arial"/>
                <w:sz w:val="20"/>
                <w:szCs w:val="20"/>
              </w:rPr>
            </w:pPr>
            <w:r w:rsidRPr="00672714">
              <w:rPr>
                <w:rFonts w:cs="Arial"/>
                <w:sz w:val="20"/>
                <w:szCs w:val="20"/>
              </w:rPr>
              <w:t>4,175</w:t>
            </w:r>
          </w:p>
        </w:tc>
        <w:tc>
          <w:tcPr>
            <w:tcW w:w="286" w:type="pct"/>
          </w:tcPr>
          <w:p w14:paraId="6D8C5FAB" w14:textId="77777777" w:rsidR="00247AD2" w:rsidRPr="00672714" w:rsidRDefault="00247AD2" w:rsidP="00672714">
            <w:pPr>
              <w:pStyle w:val="BodyText"/>
              <w:rPr>
                <w:rFonts w:cs="Arial"/>
                <w:sz w:val="20"/>
                <w:szCs w:val="20"/>
              </w:rPr>
            </w:pPr>
            <w:r w:rsidRPr="00672714">
              <w:rPr>
                <w:rFonts w:cs="Arial"/>
                <w:sz w:val="20"/>
                <w:szCs w:val="20"/>
              </w:rPr>
              <w:t>53</w:t>
            </w:r>
          </w:p>
        </w:tc>
        <w:tc>
          <w:tcPr>
            <w:tcW w:w="286" w:type="pct"/>
          </w:tcPr>
          <w:p w14:paraId="3D3F08CD" w14:textId="77777777" w:rsidR="00247AD2" w:rsidRPr="00672714" w:rsidRDefault="00247AD2" w:rsidP="00672714">
            <w:pPr>
              <w:pStyle w:val="BodyText"/>
              <w:rPr>
                <w:rFonts w:cs="Arial"/>
                <w:sz w:val="20"/>
                <w:szCs w:val="20"/>
              </w:rPr>
            </w:pPr>
            <w:r w:rsidRPr="00672714">
              <w:rPr>
                <w:rFonts w:cs="Arial"/>
                <w:sz w:val="20"/>
                <w:szCs w:val="20"/>
              </w:rPr>
              <w:t>6</w:t>
            </w:r>
          </w:p>
        </w:tc>
        <w:tc>
          <w:tcPr>
            <w:tcW w:w="286" w:type="pct"/>
          </w:tcPr>
          <w:p w14:paraId="364166AE" w14:textId="77777777" w:rsidR="00247AD2" w:rsidRPr="00672714" w:rsidRDefault="00247AD2" w:rsidP="00672714">
            <w:pPr>
              <w:pStyle w:val="BodyText"/>
              <w:rPr>
                <w:rFonts w:cs="Arial"/>
                <w:sz w:val="20"/>
                <w:szCs w:val="20"/>
              </w:rPr>
            </w:pPr>
            <w:r w:rsidRPr="00672714">
              <w:rPr>
                <w:rFonts w:cs="Arial"/>
                <w:sz w:val="20"/>
                <w:szCs w:val="20"/>
              </w:rPr>
              <w:t>59</w:t>
            </w:r>
          </w:p>
        </w:tc>
        <w:tc>
          <w:tcPr>
            <w:tcW w:w="261" w:type="pct"/>
          </w:tcPr>
          <w:p w14:paraId="060D029F"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3C2A4655"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3CD90A0A"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6D62EF55"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07847795"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7FEC5196" w14:textId="77777777" w:rsidR="00247AD2" w:rsidRPr="00672714" w:rsidRDefault="00247AD2" w:rsidP="00672714">
            <w:pPr>
              <w:pStyle w:val="BodyText"/>
              <w:rPr>
                <w:rFonts w:cs="Arial"/>
                <w:sz w:val="20"/>
                <w:szCs w:val="20"/>
              </w:rPr>
            </w:pPr>
            <w:r w:rsidRPr="00672714">
              <w:rPr>
                <w:rFonts w:cs="Arial"/>
                <w:sz w:val="20"/>
                <w:szCs w:val="20"/>
              </w:rPr>
              <w:t>0</w:t>
            </w:r>
          </w:p>
        </w:tc>
        <w:tc>
          <w:tcPr>
            <w:tcW w:w="323" w:type="pct"/>
          </w:tcPr>
          <w:p w14:paraId="2802EC1E" w14:textId="77777777" w:rsidR="00247AD2" w:rsidRPr="00672714" w:rsidRDefault="00247AD2" w:rsidP="00672714">
            <w:pPr>
              <w:pStyle w:val="BodyText"/>
              <w:rPr>
                <w:rFonts w:cs="Arial"/>
                <w:sz w:val="20"/>
                <w:szCs w:val="20"/>
              </w:rPr>
            </w:pPr>
            <w:r w:rsidRPr="00672714">
              <w:rPr>
                <w:rStyle w:val="01bodybold"/>
                <w:rFonts w:cs="Arial"/>
                <w:sz w:val="20"/>
                <w:szCs w:val="20"/>
              </w:rPr>
              <w:t>6,173</w:t>
            </w:r>
          </w:p>
        </w:tc>
      </w:tr>
      <w:tr w:rsidR="006A0585" w:rsidRPr="00672714" w14:paraId="6832F205" w14:textId="77777777" w:rsidTr="006A0585">
        <w:trPr>
          <w:trHeight w:val="453"/>
        </w:trPr>
        <w:tc>
          <w:tcPr>
            <w:tcW w:w="422" w:type="pct"/>
          </w:tcPr>
          <w:p w14:paraId="273908ED" w14:textId="77777777" w:rsidR="00247AD2" w:rsidRPr="00672714" w:rsidRDefault="00247AD2" w:rsidP="00672714">
            <w:pPr>
              <w:pStyle w:val="BodyText"/>
              <w:rPr>
                <w:rFonts w:cs="Arial"/>
                <w:sz w:val="20"/>
                <w:szCs w:val="20"/>
              </w:rPr>
            </w:pPr>
            <w:r w:rsidRPr="00672714">
              <w:rPr>
                <w:rFonts w:cs="Arial"/>
                <w:sz w:val="20"/>
                <w:szCs w:val="20"/>
              </w:rPr>
              <w:t>WA</w:t>
            </w:r>
          </w:p>
        </w:tc>
        <w:tc>
          <w:tcPr>
            <w:tcW w:w="293" w:type="pct"/>
          </w:tcPr>
          <w:p w14:paraId="521821D2" w14:textId="77777777" w:rsidR="00247AD2" w:rsidRPr="00672714" w:rsidRDefault="00247AD2" w:rsidP="00672714">
            <w:pPr>
              <w:pStyle w:val="BodyText"/>
              <w:rPr>
                <w:rFonts w:cs="Arial"/>
                <w:sz w:val="20"/>
                <w:szCs w:val="20"/>
              </w:rPr>
            </w:pPr>
            <w:r w:rsidRPr="00672714">
              <w:rPr>
                <w:rFonts w:cs="Arial"/>
                <w:sz w:val="20"/>
                <w:szCs w:val="20"/>
              </w:rPr>
              <w:t>579</w:t>
            </w:r>
          </w:p>
        </w:tc>
        <w:tc>
          <w:tcPr>
            <w:tcW w:w="286" w:type="pct"/>
          </w:tcPr>
          <w:p w14:paraId="02D65833" w14:textId="77777777" w:rsidR="00247AD2" w:rsidRPr="00672714" w:rsidRDefault="00247AD2" w:rsidP="00672714">
            <w:pPr>
              <w:pStyle w:val="BodyText"/>
              <w:rPr>
                <w:rFonts w:cs="Arial"/>
                <w:sz w:val="20"/>
                <w:szCs w:val="20"/>
              </w:rPr>
            </w:pPr>
            <w:r w:rsidRPr="00672714">
              <w:rPr>
                <w:rFonts w:cs="Arial"/>
                <w:sz w:val="20"/>
                <w:szCs w:val="20"/>
              </w:rPr>
              <w:t>48</w:t>
            </w:r>
          </w:p>
        </w:tc>
        <w:tc>
          <w:tcPr>
            <w:tcW w:w="310" w:type="pct"/>
          </w:tcPr>
          <w:p w14:paraId="74024702" w14:textId="77777777" w:rsidR="00247AD2" w:rsidRPr="00672714" w:rsidRDefault="00247AD2" w:rsidP="00672714">
            <w:pPr>
              <w:pStyle w:val="BodyText"/>
              <w:rPr>
                <w:rFonts w:cs="Arial"/>
                <w:sz w:val="20"/>
                <w:szCs w:val="20"/>
              </w:rPr>
            </w:pPr>
            <w:r w:rsidRPr="00672714">
              <w:rPr>
                <w:rFonts w:cs="Arial"/>
                <w:sz w:val="20"/>
                <w:szCs w:val="20"/>
              </w:rPr>
              <w:t>627</w:t>
            </w:r>
          </w:p>
        </w:tc>
        <w:tc>
          <w:tcPr>
            <w:tcW w:w="323" w:type="pct"/>
          </w:tcPr>
          <w:p w14:paraId="166B178F" w14:textId="77777777" w:rsidR="00247AD2" w:rsidRPr="00672714" w:rsidRDefault="00247AD2" w:rsidP="00672714">
            <w:pPr>
              <w:pStyle w:val="BodyText"/>
              <w:rPr>
                <w:rFonts w:cs="Arial"/>
                <w:sz w:val="20"/>
                <w:szCs w:val="20"/>
              </w:rPr>
            </w:pPr>
            <w:r w:rsidRPr="00672714">
              <w:rPr>
                <w:rFonts w:cs="Arial"/>
                <w:sz w:val="20"/>
                <w:szCs w:val="20"/>
              </w:rPr>
              <w:t>1,232</w:t>
            </w:r>
          </w:p>
        </w:tc>
        <w:tc>
          <w:tcPr>
            <w:tcW w:w="298" w:type="pct"/>
          </w:tcPr>
          <w:p w14:paraId="25738EDC" w14:textId="77777777" w:rsidR="00247AD2" w:rsidRPr="00672714" w:rsidRDefault="00247AD2" w:rsidP="00672714">
            <w:pPr>
              <w:pStyle w:val="BodyText"/>
              <w:rPr>
                <w:rFonts w:cs="Arial"/>
                <w:sz w:val="20"/>
                <w:szCs w:val="20"/>
              </w:rPr>
            </w:pPr>
            <w:r w:rsidRPr="00672714">
              <w:rPr>
                <w:rFonts w:cs="Arial"/>
                <w:sz w:val="20"/>
                <w:szCs w:val="20"/>
              </w:rPr>
              <w:t>444</w:t>
            </w:r>
          </w:p>
        </w:tc>
        <w:tc>
          <w:tcPr>
            <w:tcW w:w="323" w:type="pct"/>
          </w:tcPr>
          <w:p w14:paraId="5D3C5374" w14:textId="77777777" w:rsidR="00247AD2" w:rsidRPr="00672714" w:rsidRDefault="00247AD2" w:rsidP="00672714">
            <w:pPr>
              <w:pStyle w:val="BodyText"/>
              <w:rPr>
                <w:rFonts w:cs="Arial"/>
                <w:sz w:val="20"/>
                <w:szCs w:val="20"/>
              </w:rPr>
            </w:pPr>
            <w:r w:rsidRPr="00672714">
              <w:rPr>
                <w:rFonts w:cs="Arial"/>
                <w:sz w:val="20"/>
                <w:szCs w:val="20"/>
              </w:rPr>
              <w:t>1,676</w:t>
            </w:r>
          </w:p>
        </w:tc>
        <w:tc>
          <w:tcPr>
            <w:tcW w:w="286" w:type="pct"/>
          </w:tcPr>
          <w:p w14:paraId="6E5A788E" w14:textId="77777777" w:rsidR="00247AD2" w:rsidRPr="00672714" w:rsidRDefault="00247AD2" w:rsidP="00672714">
            <w:pPr>
              <w:pStyle w:val="BodyText"/>
              <w:rPr>
                <w:rFonts w:cs="Arial"/>
                <w:sz w:val="20"/>
                <w:szCs w:val="20"/>
              </w:rPr>
            </w:pPr>
            <w:r w:rsidRPr="00672714">
              <w:rPr>
                <w:rFonts w:cs="Arial"/>
                <w:sz w:val="20"/>
                <w:szCs w:val="20"/>
              </w:rPr>
              <w:t>28</w:t>
            </w:r>
          </w:p>
        </w:tc>
        <w:tc>
          <w:tcPr>
            <w:tcW w:w="286" w:type="pct"/>
          </w:tcPr>
          <w:p w14:paraId="1FCFE39D" w14:textId="77777777" w:rsidR="00247AD2" w:rsidRPr="00672714" w:rsidRDefault="00247AD2" w:rsidP="00672714">
            <w:pPr>
              <w:pStyle w:val="BodyText"/>
              <w:rPr>
                <w:rFonts w:cs="Arial"/>
                <w:sz w:val="20"/>
                <w:szCs w:val="20"/>
              </w:rPr>
            </w:pPr>
            <w:r w:rsidRPr="00672714">
              <w:rPr>
                <w:rFonts w:cs="Arial"/>
                <w:sz w:val="20"/>
                <w:szCs w:val="20"/>
              </w:rPr>
              <w:t>2</w:t>
            </w:r>
          </w:p>
        </w:tc>
        <w:tc>
          <w:tcPr>
            <w:tcW w:w="286" w:type="pct"/>
          </w:tcPr>
          <w:p w14:paraId="055BB39D" w14:textId="77777777" w:rsidR="00247AD2" w:rsidRPr="00672714" w:rsidRDefault="00247AD2" w:rsidP="00672714">
            <w:pPr>
              <w:pStyle w:val="BodyText"/>
              <w:rPr>
                <w:rFonts w:cs="Arial"/>
                <w:sz w:val="20"/>
                <w:szCs w:val="20"/>
              </w:rPr>
            </w:pPr>
            <w:r w:rsidRPr="00672714">
              <w:rPr>
                <w:rFonts w:cs="Arial"/>
                <w:sz w:val="20"/>
                <w:szCs w:val="20"/>
              </w:rPr>
              <w:t>30</w:t>
            </w:r>
          </w:p>
        </w:tc>
        <w:tc>
          <w:tcPr>
            <w:tcW w:w="261" w:type="pct"/>
          </w:tcPr>
          <w:p w14:paraId="2A063CA4"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4C5138AB"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62F7D0D6"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58137DFA"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7ED4D0A9"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4555D25D" w14:textId="77777777" w:rsidR="00247AD2" w:rsidRPr="00672714" w:rsidRDefault="00247AD2" w:rsidP="00672714">
            <w:pPr>
              <w:pStyle w:val="BodyText"/>
              <w:rPr>
                <w:rFonts w:cs="Arial"/>
                <w:sz w:val="20"/>
                <w:szCs w:val="20"/>
              </w:rPr>
            </w:pPr>
            <w:r w:rsidRPr="00672714">
              <w:rPr>
                <w:rFonts w:cs="Arial"/>
                <w:sz w:val="20"/>
                <w:szCs w:val="20"/>
              </w:rPr>
              <w:t>0</w:t>
            </w:r>
          </w:p>
        </w:tc>
        <w:tc>
          <w:tcPr>
            <w:tcW w:w="323" w:type="pct"/>
          </w:tcPr>
          <w:p w14:paraId="08741414" w14:textId="77777777" w:rsidR="00247AD2" w:rsidRPr="00672714" w:rsidRDefault="00247AD2" w:rsidP="00672714">
            <w:pPr>
              <w:pStyle w:val="BodyText"/>
              <w:rPr>
                <w:rFonts w:cs="Arial"/>
                <w:sz w:val="20"/>
                <w:szCs w:val="20"/>
              </w:rPr>
            </w:pPr>
            <w:r w:rsidRPr="00672714">
              <w:rPr>
                <w:rStyle w:val="01bodybold"/>
                <w:rFonts w:cs="Arial"/>
                <w:sz w:val="20"/>
                <w:szCs w:val="20"/>
              </w:rPr>
              <w:t>2,333</w:t>
            </w:r>
          </w:p>
        </w:tc>
      </w:tr>
      <w:tr w:rsidR="006A0585" w:rsidRPr="00672714" w14:paraId="6865BFDA" w14:textId="77777777" w:rsidTr="006A0585">
        <w:trPr>
          <w:trHeight w:val="453"/>
        </w:trPr>
        <w:tc>
          <w:tcPr>
            <w:tcW w:w="422" w:type="pct"/>
          </w:tcPr>
          <w:p w14:paraId="057B90D9" w14:textId="77777777" w:rsidR="00247AD2" w:rsidRPr="00672714" w:rsidRDefault="00247AD2" w:rsidP="00672714">
            <w:pPr>
              <w:pStyle w:val="BodyText"/>
              <w:rPr>
                <w:rFonts w:cs="Arial"/>
                <w:sz w:val="20"/>
                <w:szCs w:val="20"/>
              </w:rPr>
            </w:pPr>
            <w:r w:rsidRPr="00672714">
              <w:rPr>
                <w:rFonts w:cs="Arial"/>
                <w:sz w:val="20"/>
                <w:szCs w:val="20"/>
              </w:rPr>
              <w:t>ACT</w:t>
            </w:r>
          </w:p>
        </w:tc>
        <w:tc>
          <w:tcPr>
            <w:tcW w:w="293" w:type="pct"/>
          </w:tcPr>
          <w:p w14:paraId="70707EF0" w14:textId="77777777" w:rsidR="00247AD2" w:rsidRPr="00672714" w:rsidRDefault="00247AD2" w:rsidP="00672714">
            <w:pPr>
              <w:pStyle w:val="BodyText"/>
              <w:rPr>
                <w:rFonts w:cs="Arial"/>
                <w:sz w:val="20"/>
                <w:szCs w:val="20"/>
              </w:rPr>
            </w:pPr>
            <w:r w:rsidRPr="00672714">
              <w:rPr>
                <w:rFonts w:cs="Arial"/>
                <w:sz w:val="20"/>
                <w:szCs w:val="20"/>
              </w:rPr>
              <w:t>1,786</w:t>
            </w:r>
          </w:p>
        </w:tc>
        <w:tc>
          <w:tcPr>
            <w:tcW w:w="286" w:type="pct"/>
          </w:tcPr>
          <w:p w14:paraId="26C2C08A" w14:textId="77777777" w:rsidR="00247AD2" w:rsidRPr="00672714" w:rsidRDefault="00247AD2" w:rsidP="00672714">
            <w:pPr>
              <w:pStyle w:val="BodyText"/>
              <w:rPr>
                <w:rFonts w:cs="Arial"/>
                <w:sz w:val="20"/>
                <w:szCs w:val="20"/>
              </w:rPr>
            </w:pPr>
            <w:r w:rsidRPr="00672714">
              <w:rPr>
                <w:rFonts w:cs="Arial"/>
                <w:sz w:val="20"/>
                <w:szCs w:val="20"/>
              </w:rPr>
              <w:t>88</w:t>
            </w:r>
          </w:p>
        </w:tc>
        <w:tc>
          <w:tcPr>
            <w:tcW w:w="310" w:type="pct"/>
          </w:tcPr>
          <w:p w14:paraId="186131A5" w14:textId="77777777" w:rsidR="00247AD2" w:rsidRPr="00672714" w:rsidRDefault="00247AD2" w:rsidP="00672714">
            <w:pPr>
              <w:pStyle w:val="BodyText"/>
              <w:rPr>
                <w:rFonts w:cs="Arial"/>
                <w:sz w:val="20"/>
                <w:szCs w:val="20"/>
              </w:rPr>
            </w:pPr>
            <w:r w:rsidRPr="00672714">
              <w:rPr>
                <w:rFonts w:cs="Arial"/>
                <w:sz w:val="20"/>
                <w:szCs w:val="20"/>
              </w:rPr>
              <w:t>1,874</w:t>
            </w:r>
          </w:p>
        </w:tc>
        <w:tc>
          <w:tcPr>
            <w:tcW w:w="323" w:type="pct"/>
          </w:tcPr>
          <w:p w14:paraId="63BA53AB" w14:textId="77777777" w:rsidR="00247AD2" w:rsidRPr="00672714" w:rsidRDefault="00247AD2" w:rsidP="00672714">
            <w:pPr>
              <w:pStyle w:val="BodyText"/>
              <w:rPr>
                <w:rFonts w:cs="Arial"/>
                <w:sz w:val="20"/>
                <w:szCs w:val="20"/>
              </w:rPr>
            </w:pPr>
            <w:r w:rsidRPr="00672714">
              <w:rPr>
                <w:rFonts w:cs="Arial"/>
                <w:sz w:val="20"/>
                <w:szCs w:val="20"/>
              </w:rPr>
              <w:t>2,064</w:t>
            </w:r>
          </w:p>
        </w:tc>
        <w:tc>
          <w:tcPr>
            <w:tcW w:w="298" w:type="pct"/>
          </w:tcPr>
          <w:p w14:paraId="7E28A0F5" w14:textId="77777777" w:rsidR="00247AD2" w:rsidRPr="00672714" w:rsidRDefault="00247AD2" w:rsidP="00672714">
            <w:pPr>
              <w:pStyle w:val="BodyText"/>
              <w:rPr>
                <w:rFonts w:cs="Arial"/>
                <w:sz w:val="20"/>
                <w:szCs w:val="20"/>
              </w:rPr>
            </w:pPr>
            <w:r w:rsidRPr="00672714">
              <w:rPr>
                <w:rFonts w:cs="Arial"/>
                <w:sz w:val="20"/>
                <w:szCs w:val="20"/>
              </w:rPr>
              <w:t>352</w:t>
            </w:r>
          </w:p>
        </w:tc>
        <w:tc>
          <w:tcPr>
            <w:tcW w:w="323" w:type="pct"/>
          </w:tcPr>
          <w:p w14:paraId="77B3CF09" w14:textId="77777777" w:rsidR="00247AD2" w:rsidRPr="00672714" w:rsidRDefault="00247AD2" w:rsidP="00672714">
            <w:pPr>
              <w:pStyle w:val="BodyText"/>
              <w:rPr>
                <w:rFonts w:cs="Arial"/>
                <w:sz w:val="20"/>
                <w:szCs w:val="20"/>
              </w:rPr>
            </w:pPr>
            <w:r w:rsidRPr="00672714">
              <w:rPr>
                <w:rFonts w:cs="Arial"/>
                <w:sz w:val="20"/>
                <w:szCs w:val="20"/>
              </w:rPr>
              <w:t>2,416</w:t>
            </w:r>
          </w:p>
        </w:tc>
        <w:tc>
          <w:tcPr>
            <w:tcW w:w="286" w:type="pct"/>
          </w:tcPr>
          <w:p w14:paraId="481A8C2C" w14:textId="77777777" w:rsidR="00247AD2" w:rsidRPr="00672714" w:rsidRDefault="00247AD2" w:rsidP="00672714">
            <w:pPr>
              <w:pStyle w:val="BodyText"/>
              <w:rPr>
                <w:rFonts w:cs="Arial"/>
                <w:sz w:val="20"/>
                <w:szCs w:val="20"/>
              </w:rPr>
            </w:pPr>
            <w:r w:rsidRPr="00672714">
              <w:rPr>
                <w:rFonts w:cs="Arial"/>
                <w:sz w:val="20"/>
                <w:szCs w:val="20"/>
              </w:rPr>
              <w:t>57</w:t>
            </w:r>
          </w:p>
        </w:tc>
        <w:tc>
          <w:tcPr>
            <w:tcW w:w="286" w:type="pct"/>
          </w:tcPr>
          <w:p w14:paraId="3D805039" w14:textId="77777777" w:rsidR="00247AD2" w:rsidRPr="00672714" w:rsidRDefault="00247AD2" w:rsidP="00672714">
            <w:pPr>
              <w:pStyle w:val="BodyText"/>
              <w:rPr>
                <w:rFonts w:cs="Arial"/>
                <w:sz w:val="20"/>
                <w:szCs w:val="20"/>
              </w:rPr>
            </w:pPr>
            <w:r w:rsidRPr="00672714">
              <w:rPr>
                <w:rFonts w:cs="Arial"/>
                <w:sz w:val="20"/>
                <w:szCs w:val="20"/>
              </w:rPr>
              <w:t>5</w:t>
            </w:r>
          </w:p>
        </w:tc>
        <w:tc>
          <w:tcPr>
            <w:tcW w:w="286" w:type="pct"/>
          </w:tcPr>
          <w:p w14:paraId="7E92652F" w14:textId="77777777" w:rsidR="00247AD2" w:rsidRPr="00672714" w:rsidRDefault="00247AD2" w:rsidP="00672714">
            <w:pPr>
              <w:pStyle w:val="BodyText"/>
              <w:rPr>
                <w:rFonts w:cs="Arial"/>
                <w:sz w:val="20"/>
                <w:szCs w:val="20"/>
              </w:rPr>
            </w:pPr>
            <w:r w:rsidRPr="00672714">
              <w:rPr>
                <w:rFonts w:cs="Arial"/>
                <w:sz w:val="20"/>
                <w:szCs w:val="20"/>
              </w:rPr>
              <w:t>62</w:t>
            </w:r>
          </w:p>
        </w:tc>
        <w:tc>
          <w:tcPr>
            <w:tcW w:w="261" w:type="pct"/>
          </w:tcPr>
          <w:p w14:paraId="5140AB0B"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38EE9F49"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356188A4"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79C3BC3D"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651966FF"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1A9121C6" w14:textId="77777777" w:rsidR="00247AD2" w:rsidRPr="00672714" w:rsidRDefault="00247AD2" w:rsidP="00672714">
            <w:pPr>
              <w:pStyle w:val="BodyText"/>
              <w:rPr>
                <w:rFonts w:cs="Arial"/>
                <w:sz w:val="20"/>
                <w:szCs w:val="20"/>
              </w:rPr>
            </w:pPr>
            <w:r w:rsidRPr="00672714">
              <w:rPr>
                <w:rFonts w:cs="Arial"/>
                <w:sz w:val="20"/>
                <w:szCs w:val="20"/>
              </w:rPr>
              <w:t>0</w:t>
            </w:r>
          </w:p>
        </w:tc>
        <w:tc>
          <w:tcPr>
            <w:tcW w:w="323" w:type="pct"/>
          </w:tcPr>
          <w:p w14:paraId="4CC97A4D" w14:textId="77777777" w:rsidR="00247AD2" w:rsidRPr="00672714" w:rsidRDefault="00247AD2" w:rsidP="00672714">
            <w:pPr>
              <w:pStyle w:val="BodyText"/>
              <w:rPr>
                <w:rFonts w:cs="Arial"/>
                <w:sz w:val="20"/>
                <w:szCs w:val="20"/>
              </w:rPr>
            </w:pPr>
            <w:r w:rsidRPr="00672714">
              <w:rPr>
                <w:rStyle w:val="01bodybold"/>
                <w:rFonts w:cs="Arial"/>
                <w:sz w:val="20"/>
                <w:szCs w:val="20"/>
              </w:rPr>
              <w:t>4,352</w:t>
            </w:r>
          </w:p>
        </w:tc>
      </w:tr>
      <w:tr w:rsidR="006A0585" w:rsidRPr="00672714" w14:paraId="67D34D54" w14:textId="77777777" w:rsidTr="006A0585">
        <w:trPr>
          <w:trHeight w:val="453"/>
        </w:trPr>
        <w:tc>
          <w:tcPr>
            <w:tcW w:w="422" w:type="pct"/>
          </w:tcPr>
          <w:p w14:paraId="227DECE8" w14:textId="77777777" w:rsidR="00247AD2" w:rsidRPr="00672714" w:rsidRDefault="00247AD2" w:rsidP="00672714">
            <w:pPr>
              <w:pStyle w:val="BodyText"/>
              <w:rPr>
                <w:rFonts w:cs="Arial"/>
                <w:sz w:val="20"/>
                <w:szCs w:val="20"/>
              </w:rPr>
            </w:pPr>
            <w:r w:rsidRPr="00672714">
              <w:rPr>
                <w:rFonts w:cs="Arial"/>
                <w:sz w:val="20"/>
                <w:szCs w:val="20"/>
              </w:rPr>
              <w:t>NT</w:t>
            </w:r>
          </w:p>
        </w:tc>
        <w:tc>
          <w:tcPr>
            <w:tcW w:w="293" w:type="pct"/>
          </w:tcPr>
          <w:p w14:paraId="53F64A89" w14:textId="77777777" w:rsidR="00247AD2" w:rsidRPr="00672714" w:rsidRDefault="00247AD2" w:rsidP="00672714">
            <w:pPr>
              <w:pStyle w:val="BodyText"/>
              <w:rPr>
                <w:rFonts w:cs="Arial"/>
                <w:sz w:val="20"/>
                <w:szCs w:val="20"/>
              </w:rPr>
            </w:pPr>
            <w:r w:rsidRPr="00672714">
              <w:rPr>
                <w:rFonts w:cs="Arial"/>
                <w:sz w:val="20"/>
                <w:szCs w:val="20"/>
              </w:rPr>
              <w:t>76</w:t>
            </w:r>
          </w:p>
        </w:tc>
        <w:tc>
          <w:tcPr>
            <w:tcW w:w="286" w:type="pct"/>
          </w:tcPr>
          <w:p w14:paraId="2A9643D6" w14:textId="77777777" w:rsidR="00247AD2" w:rsidRPr="00672714" w:rsidRDefault="00247AD2" w:rsidP="00672714">
            <w:pPr>
              <w:pStyle w:val="BodyText"/>
              <w:rPr>
                <w:rFonts w:cs="Arial"/>
                <w:sz w:val="20"/>
                <w:szCs w:val="20"/>
              </w:rPr>
            </w:pPr>
            <w:r w:rsidRPr="00672714">
              <w:rPr>
                <w:rFonts w:cs="Arial"/>
                <w:sz w:val="20"/>
                <w:szCs w:val="20"/>
              </w:rPr>
              <w:t>8</w:t>
            </w:r>
          </w:p>
        </w:tc>
        <w:tc>
          <w:tcPr>
            <w:tcW w:w="310" w:type="pct"/>
          </w:tcPr>
          <w:p w14:paraId="61B528F4" w14:textId="77777777" w:rsidR="00247AD2" w:rsidRPr="00672714" w:rsidRDefault="00247AD2" w:rsidP="00672714">
            <w:pPr>
              <w:pStyle w:val="BodyText"/>
              <w:rPr>
                <w:rFonts w:cs="Arial"/>
                <w:sz w:val="20"/>
                <w:szCs w:val="20"/>
              </w:rPr>
            </w:pPr>
            <w:r w:rsidRPr="00672714">
              <w:rPr>
                <w:rFonts w:cs="Arial"/>
                <w:sz w:val="20"/>
                <w:szCs w:val="20"/>
              </w:rPr>
              <w:t>84</w:t>
            </w:r>
          </w:p>
        </w:tc>
        <w:tc>
          <w:tcPr>
            <w:tcW w:w="323" w:type="pct"/>
          </w:tcPr>
          <w:p w14:paraId="7DF10C07" w14:textId="77777777" w:rsidR="00247AD2" w:rsidRPr="00672714" w:rsidRDefault="00247AD2" w:rsidP="00672714">
            <w:pPr>
              <w:pStyle w:val="BodyText"/>
              <w:rPr>
                <w:rFonts w:cs="Arial"/>
                <w:sz w:val="20"/>
                <w:szCs w:val="20"/>
              </w:rPr>
            </w:pPr>
            <w:r w:rsidRPr="00672714">
              <w:rPr>
                <w:rFonts w:cs="Arial"/>
                <w:sz w:val="20"/>
                <w:szCs w:val="20"/>
              </w:rPr>
              <w:t>264</w:t>
            </w:r>
          </w:p>
        </w:tc>
        <w:tc>
          <w:tcPr>
            <w:tcW w:w="298" w:type="pct"/>
          </w:tcPr>
          <w:p w14:paraId="23675E42" w14:textId="77777777" w:rsidR="00247AD2" w:rsidRPr="00672714" w:rsidRDefault="00247AD2" w:rsidP="00672714">
            <w:pPr>
              <w:pStyle w:val="BodyText"/>
              <w:rPr>
                <w:rFonts w:cs="Arial"/>
                <w:sz w:val="20"/>
                <w:szCs w:val="20"/>
              </w:rPr>
            </w:pPr>
            <w:r w:rsidRPr="00672714">
              <w:rPr>
                <w:rFonts w:cs="Arial"/>
                <w:sz w:val="20"/>
                <w:szCs w:val="20"/>
              </w:rPr>
              <w:t>48</w:t>
            </w:r>
          </w:p>
        </w:tc>
        <w:tc>
          <w:tcPr>
            <w:tcW w:w="323" w:type="pct"/>
          </w:tcPr>
          <w:p w14:paraId="4F97CB3D" w14:textId="77777777" w:rsidR="00247AD2" w:rsidRPr="00672714" w:rsidRDefault="00247AD2" w:rsidP="00672714">
            <w:pPr>
              <w:pStyle w:val="BodyText"/>
              <w:rPr>
                <w:rFonts w:cs="Arial"/>
                <w:sz w:val="20"/>
                <w:szCs w:val="20"/>
              </w:rPr>
            </w:pPr>
            <w:r w:rsidRPr="00672714">
              <w:rPr>
                <w:rFonts w:cs="Arial"/>
                <w:sz w:val="20"/>
                <w:szCs w:val="20"/>
              </w:rPr>
              <w:t>312</w:t>
            </w:r>
          </w:p>
        </w:tc>
        <w:tc>
          <w:tcPr>
            <w:tcW w:w="286" w:type="pct"/>
          </w:tcPr>
          <w:p w14:paraId="0D5CC505" w14:textId="77777777" w:rsidR="00247AD2" w:rsidRPr="00672714" w:rsidRDefault="00247AD2" w:rsidP="00672714">
            <w:pPr>
              <w:pStyle w:val="BodyText"/>
              <w:rPr>
                <w:rFonts w:cs="Arial"/>
                <w:sz w:val="20"/>
                <w:szCs w:val="20"/>
              </w:rPr>
            </w:pPr>
            <w:r w:rsidRPr="00672714">
              <w:rPr>
                <w:rFonts w:cs="Arial"/>
                <w:sz w:val="20"/>
                <w:szCs w:val="20"/>
              </w:rPr>
              <w:t>3</w:t>
            </w:r>
          </w:p>
        </w:tc>
        <w:tc>
          <w:tcPr>
            <w:tcW w:w="286" w:type="pct"/>
          </w:tcPr>
          <w:p w14:paraId="3AFF0CD6" w14:textId="77777777" w:rsidR="00247AD2" w:rsidRPr="00672714" w:rsidRDefault="00247AD2" w:rsidP="00672714">
            <w:pPr>
              <w:pStyle w:val="BodyText"/>
              <w:rPr>
                <w:rFonts w:cs="Arial"/>
                <w:sz w:val="20"/>
                <w:szCs w:val="20"/>
              </w:rPr>
            </w:pPr>
            <w:r w:rsidRPr="00672714">
              <w:rPr>
                <w:rFonts w:cs="Arial"/>
                <w:sz w:val="20"/>
                <w:szCs w:val="20"/>
              </w:rPr>
              <w:t>1</w:t>
            </w:r>
          </w:p>
        </w:tc>
        <w:tc>
          <w:tcPr>
            <w:tcW w:w="286" w:type="pct"/>
          </w:tcPr>
          <w:p w14:paraId="659C342C" w14:textId="77777777" w:rsidR="00247AD2" w:rsidRPr="00672714" w:rsidRDefault="00247AD2" w:rsidP="00672714">
            <w:pPr>
              <w:pStyle w:val="BodyText"/>
              <w:rPr>
                <w:rFonts w:cs="Arial"/>
                <w:sz w:val="20"/>
                <w:szCs w:val="20"/>
              </w:rPr>
            </w:pPr>
            <w:r w:rsidRPr="00672714">
              <w:rPr>
                <w:rFonts w:cs="Arial"/>
                <w:sz w:val="20"/>
                <w:szCs w:val="20"/>
              </w:rPr>
              <w:t>4</w:t>
            </w:r>
          </w:p>
        </w:tc>
        <w:tc>
          <w:tcPr>
            <w:tcW w:w="261" w:type="pct"/>
          </w:tcPr>
          <w:p w14:paraId="348A724C"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3E4FA02E"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0FC0E4FF"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761DCDC5"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706BF52D"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78A9ADDD" w14:textId="77777777" w:rsidR="00247AD2" w:rsidRPr="00672714" w:rsidRDefault="00247AD2" w:rsidP="00672714">
            <w:pPr>
              <w:pStyle w:val="BodyText"/>
              <w:rPr>
                <w:rFonts w:cs="Arial"/>
                <w:sz w:val="20"/>
                <w:szCs w:val="20"/>
              </w:rPr>
            </w:pPr>
            <w:r w:rsidRPr="00672714">
              <w:rPr>
                <w:rFonts w:cs="Arial"/>
                <w:sz w:val="20"/>
                <w:szCs w:val="20"/>
              </w:rPr>
              <w:t>0</w:t>
            </w:r>
          </w:p>
        </w:tc>
        <w:tc>
          <w:tcPr>
            <w:tcW w:w="323" w:type="pct"/>
          </w:tcPr>
          <w:p w14:paraId="207FF47E" w14:textId="77777777" w:rsidR="00247AD2" w:rsidRPr="00672714" w:rsidRDefault="00247AD2" w:rsidP="00672714">
            <w:pPr>
              <w:pStyle w:val="BodyText"/>
              <w:rPr>
                <w:rFonts w:cs="Arial"/>
                <w:sz w:val="20"/>
                <w:szCs w:val="20"/>
              </w:rPr>
            </w:pPr>
            <w:r w:rsidRPr="00672714">
              <w:rPr>
                <w:rStyle w:val="01bodybold"/>
                <w:rFonts w:cs="Arial"/>
                <w:sz w:val="20"/>
                <w:szCs w:val="20"/>
              </w:rPr>
              <w:t>400</w:t>
            </w:r>
          </w:p>
        </w:tc>
      </w:tr>
      <w:tr w:rsidR="006A0585" w:rsidRPr="00672714" w14:paraId="7356C9E7" w14:textId="77777777" w:rsidTr="006A0585">
        <w:trPr>
          <w:trHeight w:val="453"/>
        </w:trPr>
        <w:tc>
          <w:tcPr>
            <w:tcW w:w="422" w:type="pct"/>
          </w:tcPr>
          <w:p w14:paraId="304A7B44" w14:textId="77777777" w:rsidR="00247AD2" w:rsidRPr="00672714" w:rsidRDefault="00247AD2" w:rsidP="00672714">
            <w:pPr>
              <w:pStyle w:val="BodyText"/>
              <w:rPr>
                <w:rFonts w:cs="Arial"/>
                <w:sz w:val="20"/>
                <w:szCs w:val="20"/>
              </w:rPr>
            </w:pPr>
            <w:r w:rsidRPr="00672714">
              <w:rPr>
                <w:rFonts w:cs="Arial"/>
                <w:sz w:val="20"/>
                <w:szCs w:val="20"/>
              </w:rPr>
              <w:t>External territories</w:t>
            </w:r>
          </w:p>
        </w:tc>
        <w:tc>
          <w:tcPr>
            <w:tcW w:w="293" w:type="pct"/>
          </w:tcPr>
          <w:p w14:paraId="34679AD3" w14:textId="77777777" w:rsidR="00247AD2" w:rsidRPr="00672714" w:rsidRDefault="00247AD2" w:rsidP="00672714">
            <w:pPr>
              <w:pStyle w:val="BodyText"/>
              <w:rPr>
                <w:rFonts w:cs="Arial"/>
                <w:sz w:val="20"/>
                <w:szCs w:val="20"/>
              </w:rPr>
            </w:pPr>
            <w:r w:rsidRPr="00672714">
              <w:rPr>
                <w:rFonts w:cs="Arial"/>
                <w:sz w:val="20"/>
                <w:szCs w:val="20"/>
              </w:rPr>
              <w:t>0</w:t>
            </w:r>
          </w:p>
        </w:tc>
        <w:tc>
          <w:tcPr>
            <w:tcW w:w="286" w:type="pct"/>
          </w:tcPr>
          <w:p w14:paraId="05AB5032" w14:textId="77777777" w:rsidR="00247AD2" w:rsidRPr="00672714" w:rsidRDefault="00247AD2" w:rsidP="00672714">
            <w:pPr>
              <w:pStyle w:val="BodyText"/>
              <w:rPr>
                <w:rFonts w:cs="Arial"/>
                <w:sz w:val="20"/>
                <w:szCs w:val="20"/>
              </w:rPr>
            </w:pPr>
            <w:r w:rsidRPr="00672714">
              <w:rPr>
                <w:rFonts w:cs="Arial"/>
                <w:sz w:val="20"/>
                <w:szCs w:val="20"/>
              </w:rPr>
              <w:t>0</w:t>
            </w:r>
          </w:p>
        </w:tc>
        <w:tc>
          <w:tcPr>
            <w:tcW w:w="310" w:type="pct"/>
          </w:tcPr>
          <w:p w14:paraId="183042D7" w14:textId="77777777" w:rsidR="00247AD2" w:rsidRPr="00672714" w:rsidRDefault="00247AD2" w:rsidP="00672714">
            <w:pPr>
              <w:pStyle w:val="BodyText"/>
              <w:rPr>
                <w:rFonts w:cs="Arial"/>
                <w:sz w:val="20"/>
                <w:szCs w:val="20"/>
              </w:rPr>
            </w:pPr>
            <w:r w:rsidRPr="00672714">
              <w:rPr>
                <w:rFonts w:cs="Arial"/>
                <w:sz w:val="20"/>
                <w:szCs w:val="20"/>
              </w:rPr>
              <w:t>0</w:t>
            </w:r>
          </w:p>
        </w:tc>
        <w:tc>
          <w:tcPr>
            <w:tcW w:w="323" w:type="pct"/>
          </w:tcPr>
          <w:p w14:paraId="0E81002F" w14:textId="77777777" w:rsidR="00247AD2" w:rsidRPr="00672714" w:rsidRDefault="00247AD2" w:rsidP="00672714">
            <w:pPr>
              <w:pStyle w:val="BodyText"/>
              <w:rPr>
                <w:rFonts w:cs="Arial"/>
                <w:sz w:val="20"/>
                <w:szCs w:val="20"/>
              </w:rPr>
            </w:pPr>
            <w:r w:rsidRPr="00672714">
              <w:rPr>
                <w:rFonts w:cs="Arial"/>
                <w:sz w:val="20"/>
                <w:szCs w:val="20"/>
              </w:rPr>
              <w:t>0</w:t>
            </w:r>
          </w:p>
        </w:tc>
        <w:tc>
          <w:tcPr>
            <w:tcW w:w="298" w:type="pct"/>
          </w:tcPr>
          <w:p w14:paraId="05F0C8E5" w14:textId="77777777" w:rsidR="00247AD2" w:rsidRPr="00672714" w:rsidRDefault="00247AD2" w:rsidP="00672714">
            <w:pPr>
              <w:pStyle w:val="BodyText"/>
              <w:rPr>
                <w:rFonts w:cs="Arial"/>
                <w:sz w:val="20"/>
                <w:szCs w:val="20"/>
              </w:rPr>
            </w:pPr>
            <w:r w:rsidRPr="00672714">
              <w:rPr>
                <w:rFonts w:cs="Arial"/>
                <w:sz w:val="20"/>
                <w:szCs w:val="20"/>
              </w:rPr>
              <w:t>0</w:t>
            </w:r>
          </w:p>
        </w:tc>
        <w:tc>
          <w:tcPr>
            <w:tcW w:w="323" w:type="pct"/>
          </w:tcPr>
          <w:p w14:paraId="0157A70D" w14:textId="77777777" w:rsidR="00247AD2" w:rsidRPr="00672714" w:rsidRDefault="00247AD2" w:rsidP="00672714">
            <w:pPr>
              <w:pStyle w:val="BodyText"/>
              <w:rPr>
                <w:rFonts w:cs="Arial"/>
                <w:sz w:val="20"/>
                <w:szCs w:val="20"/>
              </w:rPr>
            </w:pPr>
            <w:r w:rsidRPr="00672714">
              <w:rPr>
                <w:rFonts w:cs="Arial"/>
                <w:sz w:val="20"/>
                <w:szCs w:val="20"/>
              </w:rPr>
              <w:t>0</w:t>
            </w:r>
          </w:p>
        </w:tc>
        <w:tc>
          <w:tcPr>
            <w:tcW w:w="286" w:type="pct"/>
          </w:tcPr>
          <w:p w14:paraId="1AB0577F" w14:textId="77777777" w:rsidR="00247AD2" w:rsidRPr="00672714" w:rsidRDefault="00247AD2" w:rsidP="00672714">
            <w:pPr>
              <w:pStyle w:val="BodyText"/>
              <w:rPr>
                <w:rFonts w:cs="Arial"/>
                <w:sz w:val="20"/>
                <w:szCs w:val="20"/>
              </w:rPr>
            </w:pPr>
            <w:r w:rsidRPr="00672714">
              <w:rPr>
                <w:rFonts w:cs="Arial"/>
                <w:sz w:val="20"/>
                <w:szCs w:val="20"/>
              </w:rPr>
              <w:t>0</w:t>
            </w:r>
          </w:p>
        </w:tc>
        <w:tc>
          <w:tcPr>
            <w:tcW w:w="286" w:type="pct"/>
          </w:tcPr>
          <w:p w14:paraId="7A195855" w14:textId="77777777" w:rsidR="00247AD2" w:rsidRPr="00672714" w:rsidRDefault="00247AD2" w:rsidP="00672714">
            <w:pPr>
              <w:pStyle w:val="BodyText"/>
              <w:rPr>
                <w:rFonts w:cs="Arial"/>
                <w:sz w:val="20"/>
                <w:szCs w:val="20"/>
              </w:rPr>
            </w:pPr>
            <w:r w:rsidRPr="00672714">
              <w:rPr>
                <w:rFonts w:cs="Arial"/>
                <w:sz w:val="20"/>
                <w:szCs w:val="20"/>
              </w:rPr>
              <w:t>0</w:t>
            </w:r>
          </w:p>
        </w:tc>
        <w:tc>
          <w:tcPr>
            <w:tcW w:w="286" w:type="pct"/>
          </w:tcPr>
          <w:p w14:paraId="395EBF3C"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02DB36E5"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2ED5975B"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531C3F53"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7DB625A5"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4FCF2A9E"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59A2DD04" w14:textId="77777777" w:rsidR="00247AD2" w:rsidRPr="00672714" w:rsidRDefault="00247AD2" w:rsidP="00672714">
            <w:pPr>
              <w:pStyle w:val="BodyText"/>
              <w:rPr>
                <w:rFonts w:cs="Arial"/>
                <w:sz w:val="20"/>
                <w:szCs w:val="20"/>
              </w:rPr>
            </w:pPr>
            <w:r w:rsidRPr="00672714">
              <w:rPr>
                <w:rFonts w:cs="Arial"/>
                <w:sz w:val="20"/>
                <w:szCs w:val="20"/>
              </w:rPr>
              <w:t>0</w:t>
            </w:r>
          </w:p>
        </w:tc>
        <w:tc>
          <w:tcPr>
            <w:tcW w:w="323" w:type="pct"/>
          </w:tcPr>
          <w:p w14:paraId="5805D8B0" w14:textId="77777777" w:rsidR="00247AD2" w:rsidRPr="00672714" w:rsidRDefault="00247AD2" w:rsidP="00672714">
            <w:pPr>
              <w:pStyle w:val="BodyText"/>
              <w:rPr>
                <w:rFonts w:cs="Arial"/>
                <w:sz w:val="20"/>
                <w:szCs w:val="20"/>
              </w:rPr>
            </w:pPr>
            <w:r w:rsidRPr="00672714">
              <w:rPr>
                <w:rStyle w:val="01bodybold"/>
                <w:rFonts w:cs="Arial"/>
                <w:sz w:val="20"/>
                <w:szCs w:val="20"/>
              </w:rPr>
              <w:t>0</w:t>
            </w:r>
          </w:p>
        </w:tc>
      </w:tr>
      <w:tr w:rsidR="006A0585" w:rsidRPr="00672714" w14:paraId="54ABAB85" w14:textId="77777777" w:rsidTr="006A0585">
        <w:trPr>
          <w:trHeight w:val="453"/>
        </w:trPr>
        <w:tc>
          <w:tcPr>
            <w:tcW w:w="422" w:type="pct"/>
          </w:tcPr>
          <w:p w14:paraId="638C8752" w14:textId="77777777" w:rsidR="00247AD2" w:rsidRPr="00672714" w:rsidRDefault="00247AD2" w:rsidP="00672714">
            <w:pPr>
              <w:pStyle w:val="BodyText"/>
              <w:rPr>
                <w:rFonts w:cs="Arial"/>
                <w:sz w:val="20"/>
                <w:szCs w:val="20"/>
              </w:rPr>
            </w:pPr>
            <w:r w:rsidRPr="00672714">
              <w:rPr>
                <w:rFonts w:cs="Arial"/>
                <w:sz w:val="20"/>
                <w:szCs w:val="20"/>
              </w:rPr>
              <w:t>Overseas</w:t>
            </w:r>
          </w:p>
        </w:tc>
        <w:tc>
          <w:tcPr>
            <w:tcW w:w="293" w:type="pct"/>
          </w:tcPr>
          <w:p w14:paraId="21303DEA" w14:textId="77777777" w:rsidR="00247AD2" w:rsidRPr="00672714" w:rsidRDefault="00247AD2" w:rsidP="00672714">
            <w:pPr>
              <w:pStyle w:val="BodyText"/>
              <w:rPr>
                <w:rFonts w:cs="Arial"/>
                <w:sz w:val="20"/>
                <w:szCs w:val="20"/>
              </w:rPr>
            </w:pPr>
            <w:r w:rsidRPr="00672714">
              <w:rPr>
                <w:rFonts w:cs="Arial"/>
                <w:sz w:val="20"/>
                <w:szCs w:val="20"/>
              </w:rPr>
              <w:t>0</w:t>
            </w:r>
          </w:p>
        </w:tc>
        <w:tc>
          <w:tcPr>
            <w:tcW w:w="286" w:type="pct"/>
          </w:tcPr>
          <w:p w14:paraId="52C40DC7" w14:textId="77777777" w:rsidR="00247AD2" w:rsidRPr="00672714" w:rsidRDefault="00247AD2" w:rsidP="00672714">
            <w:pPr>
              <w:pStyle w:val="BodyText"/>
              <w:rPr>
                <w:rFonts w:cs="Arial"/>
                <w:sz w:val="20"/>
                <w:szCs w:val="20"/>
              </w:rPr>
            </w:pPr>
            <w:r w:rsidRPr="00672714">
              <w:rPr>
                <w:rFonts w:cs="Arial"/>
                <w:sz w:val="20"/>
                <w:szCs w:val="20"/>
              </w:rPr>
              <w:t>0</w:t>
            </w:r>
          </w:p>
        </w:tc>
        <w:tc>
          <w:tcPr>
            <w:tcW w:w="310" w:type="pct"/>
          </w:tcPr>
          <w:p w14:paraId="465167FB" w14:textId="77777777" w:rsidR="00247AD2" w:rsidRPr="00672714" w:rsidRDefault="00247AD2" w:rsidP="00672714">
            <w:pPr>
              <w:pStyle w:val="BodyText"/>
              <w:rPr>
                <w:rFonts w:cs="Arial"/>
                <w:sz w:val="20"/>
                <w:szCs w:val="20"/>
              </w:rPr>
            </w:pPr>
            <w:r w:rsidRPr="00672714">
              <w:rPr>
                <w:rFonts w:cs="Arial"/>
                <w:sz w:val="20"/>
                <w:szCs w:val="20"/>
              </w:rPr>
              <w:t>0</w:t>
            </w:r>
          </w:p>
        </w:tc>
        <w:tc>
          <w:tcPr>
            <w:tcW w:w="323" w:type="pct"/>
          </w:tcPr>
          <w:p w14:paraId="3C0ED61C" w14:textId="77777777" w:rsidR="00247AD2" w:rsidRPr="00672714" w:rsidRDefault="00247AD2" w:rsidP="00672714">
            <w:pPr>
              <w:pStyle w:val="BodyText"/>
              <w:rPr>
                <w:rFonts w:cs="Arial"/>
                <w:sz w:val="20"/>
                <w:szCs w:val="20"/>
              </w:rPr>
            </w:pPr>
            <w:r w:rsidRPr="00672714">
              <w:rPr>
                <w:rFonts w:cs="Arial"/>
                <w:sz w:val="20"/>
                <w:szCs w:val="20"/>
              </w:rPr>
              <w:t>0</w:t>
            </w:r>
          </w:p>
        </w:tc>
        <w:tc>
          <w:tcPr>
            <w:tcW w:w="298" w:type="pct"/>
          </w:tcPr>
          <w:p w14:paraId="2038C66B" w14:textId="77777777" w:rsidR="00247AD2" w:rsidRPr="00672714" w:rsidRDefault="00247AD2" w:rsidP="00672714">
            <w:pPr>
              <w:pStyle w:val="BodyText"/>
              <w:rPr>
                <w:rFonts w:cs="Arial"/>
                <w:sz w:val="20"/>
                <w:szCs w:val="20"/>
              </w:rPr>
            </w:pPr>
            <w:r w:rsidRPr="00672714">
              <w:rPr>
                <w:rFonts w:cs="Arial"/>
                <w:sz w:val="20"/>
                <w:szCs w:val="20"/>
              </w:rPr>
              <w:t>0</w:t>
            </w:r>
          </w:p>
        </w:tc>
        <w:tc>
          <w:tcPr>
            <w:tcW w:w="323" w:type="pct"/>
          </w:tcPr>
          <w:p w14:paraId="3D20ACF8" w14:textId="77777777" w:rsidR="00247AD2" w:rsidRPr="00672714" w:rsidRDefault="00247AD2" w:rsidP="00672714">
            <w:pPr>
              <w:pStyle w:val="BodyText"/>
              <w:rPr>
                <w:rFonts w:cs="Arial"/>
                <w:sz w:val="20"/>
                <w:szCs w:val="20"/>
              </w:rPr>
            </w:pPr>
            <w:r w:rsidRPr="00672714">
              <w:rPr>
                <w:rFonts w:cs="Arial"/>
                <w:sz w:val="20"/>
                <w:szCs w:val="20"/>
              </w:rPr>
              <w:t>0</w:t>
            </w:r>
          </w:p>
        </w:tc>
        <w:tc>
          <w:tcPr>
            <w:tcW w:w="286" w:type="pct"/>
          </w:tcPr>
          <w:p w14:paraId="2998857B" w14:textId="77777777" w:rsidR="00247AD2" w:rsidRPr="00672714" w:rsidRDefault="00247AD2" w:rsidP="00672714">
            <w:pPr>
              <w:pStyle w:val="BodyText"/>
              <w:rPr>
                <w:rFonts w:cs="Arial"/>
                <w:sz w:val="20"/>
                <w:szCs w:val="20"/>
              </w:rPr>
            </w:pPr>
            <w:r w:rsidRPr="00672714">
              <w:rPr>
                <w:rFonts w:cs="Arial"/>
                <w:sz w:val="20"/>
                <w:szCs w:val="20"/>
              </w:rPr>
              <w:t>0</w:t>
            </w:r>
          </w:p>
        </w:tc>
        <w:tc>
          <w:tcPr>
            <w:tcW w:w="286" w:type="pct"/>
          </w:tcPr>
          <w:p w14:paraId="5B457BED" w14:textId="77777777" w:rsidR="00247AD2" w:rsidRPr="00672714" w:rsidRDefault="00247AD2" w:rsidP="00672714">
            <w:pPr>
              <w:pStyle w:val="BodyText"/>
              <w:rPr>
                <w:rFonts w:cs="Arial"/>
                <w:sz w:val="20"/>
                <w:szCs w:val="20"/>
              </w:rPr>
            </w:pPr>
            <w:r w:rsidRPr="00672714">
              <w:rPr>
                <w:rFonts w:cs="Arial"/>
                <w:sz w:val="20"/>
                <w:szCs w:val="20"/>
              </w:rPr>
              <w:t>0</w:t>
            </w:r>
          </w:p>
        </w:tc>
        <w:tc>
          <w:tcPr>
            <w:tcW w:w="286" w:type="pct"/>
          </w:tcPr>
          <w:p w14:paraId="13B00E70"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6426A245"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392C2B20"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6E7F4057"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22D44204"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43F56965" w14:textId="77777777" w:rsidR="00247AD2" w:rsidRPr="00672714" w:rsidRDefault="00247AD2" w:rsidP="00672714">
            <w:pPr>
              <w:pStyle w:val="BodyText"/>
              <w:rPr>
                <w:rFonts w:cs="Arial"/>
                <w:sz w:val="20"/>
                <w:szCs w:val="20"/>
              </w:rPr>
            </w:pPr>
            <w:r w:rsidRPr="00672714">
              <w:rPr>
                <w:rFonts w:cs="Arial"/>
                <w:sz w:val="20"/>
                <w:szCs w:val="20"/>
              </w:rPr>
              <w:t>0</w:t>
            </w:r>
          </w:p>
        </w:tc>
        <w:tc>
          <w:tcPr>
            <w:tcW w:w="261" w:type="pct"/>
          </w:tcPr>
          <w:p w14:paraId="38D92EA5" w14:textId="77777777" w:rsidR="00247AD2" w:rsidRPr="00672714" w:rsidRDefault="00247AD2" w:rsidP="00672714">
            <w:pPr>
              <w:pStyle w:val="BodyText"/>
              <w:rPr>
                <w:rFonts w:cs="Arial"/>
                <w:sz w:val="20"/>
                <w:szCs w:val="20"/>
              </w:rPr>
            </w:pPr>
            <w:r w:rsidRPr="00672714">
              <w:rPr>
                <w:rFonts w:cs="Arial"/>
                <w:sz w:val="20"/>
                <w:szCs w:val="20"/>
              </w:rPr>
              <w:t>0</w:t>
            </w:r>
          </w:p>
        </w:tc>
        <w:tc>
          <w:tcPr>
            <w:tcW w:w="323" w:type="pct"/>
          </w:tcPr>
          <w:p w14:paraId="7EDF3971" w14:textId="77777777" w:rsidR="00247AD2" w:rsidRPr="00672714" w:rsidRDefault="00247AD2" w:rsidP="00672714">
            <w:pPr>
              <w:pStyle w:val="BodyText"/>
              <w:rPr>
                <w:rFonts w:cs="Arial"/>
                <w:sz w:val="20"/>
                <w:szCs w:val="20"/>
              </w:rPr>
            </w:pPr>
            <w:r w:rsidRPr="00672714">
              <w:rPr>
                <w:rStyle w:val="01bodybold"/>
                <w:rFonts w:cs="Arial"/>
                <w:sz w:val="20"/>
                <w:szCs w:val="20"/>
              </w:rPr>
              <w:t>0</w:t>
            </w:r>
          </w:p>
        </w:tc>
      </w:tr>
      <w:tr w:rsidR="006A0585" w:rsidRPr="00672714" w14:paraId="52606B68" w14:textId="77777777" w:rsidTr="006A0585">
        <w:trPr>
          <w:trHeight w:val="453"/>
        </w:trPr>
        <w:tc>
          <w:tcPr>
            <w:tcW w:w="422" w:type="pct"/>
          </w:tcPr>
          <w:p w14:paraId="58DFF6BD" w14:textId="77777777" w:rsidR="00247AD2" w:rsidRPr="00672714" w:rsidRDefault="00247AD2" w:rsidP="00672714">
            <w:pPr>
              <w:pStyle w:val="BodyText"/>
              <w:rPr>
                <w:rFonts w:cs="Arial"/>
                <w:sz w:val="20"/>
                <w:szCs w:val="20"/>
              </w:rPr>
            </w:pPr>
            <w:r w:rsidRPr="00672714">
              <w:rPr>
                <w:rStyle w:val="01bodybold"/>
                <w:rFonts w:cs="Arial"/>
                <w:sz w:val="20"/>
                <w:szCs w:val="20"/>
              </w:rPr>
              <w:t>Total</w:t>
            </w:r>
          </w:p>
        </w:tc>
        <w:tc>
          <w:tcPr>
            <w:tcW w:w="293" w:type="pct"/>
          </w:tcPr>
          <w:p w14:paraId="2309A04E" w14:textId="77777777" w:rsidR="00247AD2" w:rsidRPr="00672714" w:rsidRDefault="00247AD2" w:rsidP="00672714">
            <w:pPr>
              <w:pStyle w:val="BodyText"/>
              <w:rPr>
                <w:rFonts w:cs="Arial"/>
                <w:sz w:val="20"/>
                <w:szCs w:val="20"/>
              </w:rPr>
            </w:pPr>
            <w:r w:rsidRPr="00672714">
              <w:rPr>
                <w:rStyle w:val="01bodybold"/>
                <w:rFonts w:cs="Arial"/>
                <w:sz w:val="20"/>
                <w:szCs w:val="20"/>
              </w:rPr>
              <w:t>9,300</w:t>
            </w:r>
          </w:p>
        </w:tc>
        <w:tc>
          <w:tcPr>
            <w:tcW w:w="286" w:type="pct"/>
          </w:tcPr>
          <w:p w14:paraId="43579C8A" w14:textId="77777777" w:rsidR="00247AD2" w:rsidRPr="00672714" w:rsidRDefault="00247AD2" w:rsidP="00672714">
            <w:pPr>
              <w:pStyle w:val="BodyText"/>
              <w:rPr>
                <w:rFonts w:cs="Arial"/>
                <w:sz w:val="20"/>
                <w:szCs w:val="20"/>
              </w:rPr>
            </w:pPr>
            <w:r w:rsidRPr="00672714">
              <w:rPr>
                <w:rStyle w:val="01bodybold"/>
                <w:rFonts w:cs="Arial"/>
                <w:sz w:val="20"/>
                <w:szCs w:val="20"/>
              </w:rPr>
              <w:t>749</w:t>
            </w:r>
          </w:p>
        </w:tc>
        <w:tc>
          <w:tcPr>
            <w:tcW w:w="310" w:type="pct"/>
          </w:tcPr>
          <w:p w14:paraId="131D298F" w14:textId="77777777" w:rsidR="00247AD2" w:rsidRPr="00672714" w:rsidRDefault="00247AD2" w:rsidP="00672714">
            <w:pPr>
              <w:pStyle w:val="BodyText"/>
              <w:rPr>
                <w:rFonts w:cs="Arial"/>
                <w:sz w:val="20"/>
                <w:szCs w:val="20"/>
              </w:rPr>
            </w:pPr>
            <w:r w:rsidRPr="00672714">
              <w:rPr>
                <w:rStyle w:val="01bodybold"/>
                <w:rFonts w:cs="Arial"/>
                <w:sz w:val="20"/>
                <w:szCs w:val="20"/>
              </w:rPr>
              <w:t>10,049</w:t>
            </w:r>
          </w:p>
        </w:tc>
        <w:tc>
          <w:tcPr>
            <w:tcW w:w="323" w:type="pct"/>
          </w:tcPr>
          <w:p w14:paraId="60D01B1A" w14:textId="77777777" w:rsidR="00247AD2" w:rsidRPr="00672714" w:rsidRDefault="00247AD2" w:rsidP="00672714">
            <w:pPr>
              <w:pStyle w:val="BodyText"/>
              <w:rPr>
                <w:rFonts w:cs="Arial"/>
                <w:sz w:val="20"/>
                <w:szCs w:val="20"/>
              </w:rPr>
            </w:pPr>
            <w:r w:rsidRPr="00672714">
              <w:rPr>
                <w:rStyle w:val="01bodybold"/>
                <w:rFonts w:cs="Arial"/>
                <w:spacing w:val="-2"/>
                <w:sz w:val="20"/>
                <w:szCs w:val="20"/>
              </w:rPr>
              <w:t>16,525</w:t>
            </w:r>
          </w:p>
        </w:tc>
        <w:tc>
          <w:tcPr>
            <w:tcW w:w="298" w:type="pct"/>
          </w:tcPr>
          <w:p w14:paraId="2AACB194" w14:textId="77777777" w:rsidR="00247AD2" w:rsidRPr="00672714" w:rsidRDefault="00247AD2" w:rsidP="00672714">
            <w:pPr>
              <w:pStyle w:val="BodyText"/>
              <w:rPr>
                <w:rFonts w:cs="Arial"/>
                <w:sz w:val="20"/>
                <w:szCs w:val="20"/>
              </w:rPr>
            </w:pPr>
            <w:r w:rsidRPr="00672714">
              <w:rPr>
                <w:rStyle w:val="01bodybold"/>
                <w:rFonts w:cs="Arial"/>
                <w:sz w:val="20"/>
                <w:szCs w:val="20"/>
              </w:rPr>
              <w:t>5,829</w:t>
            </w:r>
          </w:p>
        </w:tc>
        <w:tc>
          <w:tcPr>
            <w:tcW w:w="323" w:type="pct"/>
          </w:tcPr>
          <w:p w14:paraId="3E253B48" w14:textId="77777777" w:rsidR="00247AD2" w:rsidRPr="00672714" w:rsidRDefault="00247AD2" w:rsidP="00672714">
            <w:pPr>
              <w:pStyle w:val="BodyText"/>
              <w:rPr>
                <w:rFonts w:cs="Arial"/>
                <w:sz w:val="20"/>
                <w:szCs w:val="20"/>
              </w:rPr>
            </w:pPr>
            <w:r w:rsidRPr="00672714">
              <w:rPr>
                <w:rStyle w:val="01bodybold"/>
                <w:rFonts w:cs="Arial"/>
                <w:sz w:val="20"/>
                <w:szCs w:val="20"/>
              </w:rPr>
              <w:t>22,354</w:t>
            </w:r>
          </w:p>
        </w:tc>
        <w:tc>
          <w:tcPr>
            <w:tcW w:w="286" w:type="pct"/>
          </w:tcPr>
          <w:p w14:paraId="355FFBB2" w14:textId="77777777" w:rsidR="00247AD2" w:rsidRPr="00672714" w:rsidRDefault="00247AD2" w:rsidP="00672714">
            <w:pPr>
              <w:pStyle w:val="BodyText"/>
              <w:rPr>
                <w:rFonts w:cs="Arial"/>
                <w:sz w:val="20"/>
                <w:szCs w:val="20"/>
              </w:rPr>
            </w:pPr>
            <w:r w:rsidRPr="00672714">
              <w:rPr>
                <w:rStyle w:val="01bodybold"/>
                <w:rFonts w:cs="Arial"/>
                <w:sz w:val="20"/>
                <w:szCs w:val="20"/>
              </w:rPr>
              <w:t>288</w:t>
            </w:r>
          </w:p>
        </w:tc>
        <w:tc>
          <w:tcPr>
            <w:tcW w:w="286" w:type="pct"/>
          </w:tcPr>
          <w:p w14:paraId="3E479A88" w14:textId="77777777" w:rsidR="00247AD2" w:rsidRPr="00672714" w:rsidRDefault="00247AD2" w:rsidP="00672714">
            <w:pPr>
              <w:pStyle w:val="BodyText"/>
              <w:rPr>
                <w:rFonts w:cs="Arial"/>
                <w:sz w:val="20"/>
                <w:szCs w:val="20"/>
              </w:rPr>
            </w:pPr>
            <w:r w:rsidRPr="00672714">
              <w:rPr>
                <w:rStyle w:val="01bodybold"/>
                <w:rFonts w:cs="Arial"/>
                <w:sz w:val="20"/>
                <w:szCs w:val="20"/>
              </w:rPr>
              <w:t>46</w:t>
            </w:r>
          </w:p>
        </w:tc>
        <w:tc>
          <w:tcPr>
            <w:tcW w:w="286" w:type="pct"/>
          </w:tcPr>
          <w:p w14:paraId="5C001617" w14:textId="77777777" w:rsidR="00247AD2" w:rsidRPr="00672714" w:rsidRDefault="00247AD2" w:rsidP="00672714">
            <w:pPr>
              <w:pStyle w:val="BodyText"/>
              <w:rPr>
                <w:rFonts w:cs="Arial"/>
                <w:sz w:val="20"/>
                <w:szCs w:val="20"/>
              </w:rPr>
            </w:pPr>
            <w:r w:rsidRPr="00672714">
              <w:rPr>
                <w:rStyle w:val="01bodybold"/>
                <w:rFonts w:cs="Arial"/>
                <w:sz w:val="20"/>
                <w:szCs w:val="20"/>
              </w:rPr>
              <w:t>334</w:t>
            </w:r>
          </w:p>
        </w:tc>
        <w:tc>
          <w:tcPr>
            <w:tcW w:w="261" w:type="pct"/>
          </w:tcPr>
          <w:p w14:paraId="0A5C6386" w14:textId="77777777" w:rsidR="00247AD2" w:rsidRPr="00672714" w:rsidRDefault="00247AD2" w:rsidP="00672714">
            <w:pPr>
              <w:pStyle w:val="BodyText"/>
              <w:rPr>
                <w:rFonts w:cs="Arial"/>
                <w:sz w:val="20"/>
                <w:szCs w:val="20"/>
              </w:rPr>
            </w:pPr>
            <w:r w:rsidRPr="00672714">
              <w:rPr>
                <w:rStyle w:val="Bold"/>
                <w:rFonts w:cs="Arial"/>
                <w:sz w:val="20"/>
                <w:szCs w:val="20"/>
              </w:rPr>
              <w:t>0</w:t>
            </w:r>
          </w:p>
        </w:tc>
        <w:tc>
          <w:tcPr>
            <w:tcW w:w="261" w:type="pct"/>
          </w:tcPr>
          <w:p w14:paraId="1562C620" w14:textId="77777777" w:rsidR="00247AD2" w:rsidRPr="00672714" w:rsidRDefault="00247AD2" w:rsidP="00672714">
            <w:pPr>
              <w:pStyle w:val="BodyText"/>
              <w:rPr>
                <w:rFonts w:cs="Arial"/>
                <w:sz w:val="20"/>
                <w:szCs w:val="20"/>
              </w:rPr>
            </w:pPr>
            <w:r w:rsidRPr="00672714">
              <w:rPr>
                <w:rStyle w:val="Bold"/>
                <w:rFonts w:cs="Arial"/>
                <w:sz w:val="20"/>
                <w:szCs w:val="20"/>
              </w:rPr>
              <w:t>0</w:t>
            </w:r>
          </w:p>
        </w:tc>
        <w:tc>
          <w:tcPr>
            <w:tcW w:w="261" w:type="pct"/>
          </w:tcPr>
          <w:p w14:paraId="0957872E" w14:textId="77777777" w:rsidR="00247AD2" w:rsidRPr="00672714" w:rsidRDefault="00247AD2" w:rsidP="00672714">
            <w:pPr>
              <w:pStyle w:val="BodyText"/>
              <w:rPr>
                <w:rFonts w:cs="Arial"/>
                <w:sz w:val="20"/>
                <w:szCs w:val="20"/>
              </w:rPr>
            </w:pPr>
            <w:r w:rsidRPr="00672714">
              <w:rPr>
                <w:rStyle w:val="01bodybold"/>
                <w:rFonts w:cs="Arial"/>
                <w:sz w:val="20"/>
                <w:szCs w:val="20"/>
              </w:rPr>
              <w:t>0</w:t>
            </w:r>
          </w:p>
        </w:tc>
        <w:tc>
          <w:tcPr>
            <w:tcW w:w="261" w:type="pct"/>
          </w:tcPr>
          <w:p w14:paraId="7DE9A31C" w14:textId="77777777" w:rsidR="00247AD2" w:rsidRPr="00672714" w:rsidRDefault="00247AD2" w:rsidP="00672714">
            <w:pPr>
              <w:pStyle w:val="BodyText"/>
              <w:rPr>
                <w:rFonts w:cs="Arial"/>
                <w:sz w:val="20"/>
                <w:szCs w:val="20"/>
              </w:rPr>
            </w:pPr>
            <w:r w:rsidRPr="00672714">
              <w:rPr>
                <w:rStyle w:val="01bodybold"/>
                <w:rFonts w:cs="Arial"/>
                <w:sz w:val="20"/>
                <w:szCs w:val="20"/>
              </w:rPr>
              <w:t>0</w:t>
            </w:r>
          </w:p>
        </w:tc>
        <w:tc>
          <w:tcPr>
            <w:tcW w:w="261" w:type="pct"/>
          </w:tcPr>
          <w:p w14:paraId="07235A3E" w14:textId="77777777" w:rsidR="00247AD2" w:rsidRPr="00672714" w:rsidRDefault="00247AD2" w:rsidP="00672714">
            <w:pPr>
              <w:pStyle w:val="BodyText"/>
              <w:rPr>
                <w:rFonts w:cs="Arial"/>
                <w:sz w:val="20"/>
                <w:szCs w:val="20"/>
              </w:rPr>
            </w:pPr>
            <w:r w:rsidRPr="00672714">
              <w:rPr>
                <w:rStyle w:val="01bodybold"/>
                <w:rFonts w:cs="Arial"/>
                <w:sz w:val="20"/>
                <w:szCs w:val="20"/>
              </w:rPr>
              <w:t>0</w:t>
            </w:r>
          </w:p>
        </w:tc>
        <w:tc>
          <w:tcPr>
            <w:tcW w:w="261" w:type="pct"/>
          </w:tcPr>
          <w:p w14:paraId="7249B3BE" w14:textId="77777777" w:rsidR="00247AD2" w:rsidRPr="00672714" w:rsidRDefault="00247AD2" w:rsidP="00672714">
            <w:pPr>
              <w:pStyle w:val="BodyText"/>
              <w:rPr>
                <w:rFonts w:cs="Arial"/>
                <w:sz w:val="20"/>
                <w:szCs w:val="20"/>
              </w:rPr>
            </w:pPr>
            <w:r w:rsidRPr="00672714">
              <w:rPr>
                <w:rStyle w:val="01bodybold"/>
                <w:rFonts w:cs="Arial"/>
                <w:sz w:val="20"/>
                <w:szCs w:val="20"/>
              </w:rPr>
              <w:t>0</w:t>
            </w:r>
          </w:p>
        </w:tc>
        <w:tc>
          <w:tcPr>
            <w:tcW w:w="323" w:type="pct"/>
          </w:tcPr>
          <w:p w14:paraId="10817B35" w14:textId="77777777" w:rsidR="00247AD2" w:rsidRPr="00672714" w:rsidRDefault="00247AD2" w:rsidP="00672714">
            <w:pPr>
              <w:pStyle w:val="BodyText"/>
              <w:rPr>
                <w:rFonts w:cs="Arial"/>
                <w:sz w:val="20"/>
                <w:szCs w:val="20"/>
              </w:rPr>
            </w:pPr>
            <w:r w:rsidRPr="00672714">
              <w:rPr>
                <w:rStyle w:val="01bodybold"/>
                <w:rFonts w:cs="Arial"/>
                <w:spacing w:val="-4"/>
                <w:sz w:val="20"/>
                <w:szCs w:val="20"/>
              </w:rPr>
              <w:t>32,737</w:t>
            </w:r>
          </w:p>
        </w:tc>
      </w:tr>
    </w:tbl>
    <w:p w14:paraId="0CCCF655" w14:textId="640E98A8" w:rsidR="00247AD2" w:rsidRPr="003C55F1" w:rsidRDefault="003C55F1" w:rsidP="003C55F1">
      <w:pPr>
        <w:pStyle w:val="BodyText"/>
        <w:rPr>
          <w:b/>
          <w:bCs/>
        </w:rPr>
      </w:pPr>
      <w:r w:rsidRPr="003C55F1">
        <w:rPr>
          <w:b/>
          <w:bCs/>
        </w:rPr>
        <w:t xml:space="preserve">Table 64: </w:t>
      </w:r>
      <w:r w:rsidR="00247AD2" w:rsidRPr="003C55F1">
        <w:rPr>
          <w:b/>
          <w:bCs/>
        </w:rPr>
        <w:t>Australian Public Service Act non-ongoing employees 2024–25</w:t>
      </w:r>
      <w:r w:rsidR="00247AD2" w:rsidRPr="003C55F1">
        <w:rPr>
          <w:b/>
          <w:bCs/>
          <w:vertAlign w:val="superscript"/>
        </w:rPr>
        <w:t>(a)</w:t>
      </w:r>
      <w:r w:rsidR="00247AD2" w:rsidRPr="003C55F1">
        <w:rPr>
          <w:b/>
          <w:bCs/>
        </w:rPr>
        <w:t xml:space="preserve"> (as at 30 June 2025)</w:t>
      </w:r>
    </w:p>
    <w:tbl>
      <w:tblPr>
        <w:tblStyle w:val="TableGrid"/>
        <w:tblW w:w="5000" w:type="pct"/>
        <w:tblLook w:val="04A0" w:firstRow="1" w:lastRow="0" w:firstColumn="1" w:lastColumn="0" w:noHBand="0" w:noVBand="1"/>
        <w:tblCaption w:val="Australian Public Service Act non-ongoing employees 2024–25(a) (as at 30 June 2025)"/>
      </w:tblPr>
      <w:tblGrid>
        <w:gridCol w:w="998"/>
        <w:gridCol w:w="603"/>
        <w:gridCol w:w="633"/>
        <w:gridCol w:w="653"/>
        <w:gridCol w:w="603"/>
        <w:gridCol w:w="633"/>
        <w:gridCol w:w="653"/>
        <w:gridCol w:w="603"/>
        <w:gridCol w:w="633"/>
        <w:gridCol w:w="653"/>
        <w:gridCol w:w="603"/>
        <w:gridCol w:w="633"/>
        <w:gridCol w:w="653"/>
        <w:gridCol w:w="603"/>
        <w:gridCol w:w="633"/>
        <w:gridCol w:w="653"/>
        <w:gridCol w:w="653"/>
      </w:tblGrid>
      <w:tr w:rsidR="00247AD2" w:rsidRPr="00672714" w14:paraId="63E77EA2" w14:textId="77777777" w:rsidTr="00672714">
        <w:trPr>
          <w:trHeight w:val="369"/>
          <w:tblHeader/>
        </w:trPr>
        <w:tc>
          <w:tcPr>
            <w:tcW w:w="475" w:type="pct"/>
          </w:tcPr>
          <w:p w14:paraId="2E12BFF8" w14:textId="77777777" w:rsidR="00247AD2" w:rsidRPr="00672714" w:rsidRDefault="00247AD2" w:rsidP="00672714">
            <w:pPr>
              <w:pStyle w:val="BodyText"/>
              <w:rPr>
                <w:sz w:val="20"/>
                <w:szCs w:val="20"/>
              </w:rPr>
            </w:pPr>
          </w:p>
        </w:tc>
        <w:tc>
          <w:tcPr>
            <w:tcW w:w="863" w:type="pct"/>
            <w:gridSpan w:val="3"/>
          </w:tcPr>
          <w:p w14:paraId="205B6390" w14:textId="77777777" w:rsidR="00247AD2" w:rsidRPr="00672714" w:rsidRDefault="00247AD2" w:rsidP="00672714">
            <w:pPr>
              <w:pStyle w:val="BodyText"/>
              <w:rPr>
                <w:b/>
                <w:bCs/>
                <w:sz w:val="20"/>
                <w:szCs w:val="20"/>
              </w:rPr>
            </w:pPr>
            <w:r w:rsidRPr="00672714">
              <w:rPr>
                <w:b/>
                <w:bCs/>
                <w:sz w:val="20"/>
                <w:szCs w:val="20"/>
              </w:rPr>
              <w:t>Man/male</w:t>
            </w:r>
          </w:p>
        </w:tc>
        <w:tc>
          <w:tcPr>
            <w:tcW w:w="863" w:type="pct"/>
            <w:gridSpan w:val="3"/>
          </w:tcPr>
          <w:p w14:paraId="6D075650" w14:textId="77777777" w:rsidR="00247AD2" w:rsidRPr="00672714" w:rsidRDefault="00247AD2" w:rsidP="00672714">
            <w:pPr>
              <w:pStyle w:val="BodyText"/>
              <w:rPr>
                <w:b/>
                <w:bCs/>
                <w:sz w:val="20"/>
                <w:szCs w:val="20"/>
              </w:rPr>
            </w:pPr>
            <w:r w:rsidRPr="00672714">
              <w:rPr>
                <w:b/>
                <w:bCs/>
                <w:sz w:val="20"/>
                <w:szCs w:val="20"/>
              </w:rPr>
              <w:t>Woman/female</w:t>
            </w:r>
          </w:p>
        </w:tc>
        <w:tc>
          <w:tcPr>
            <w:tcW w:w="863" w:type="pct"/>
            <w:gridSpan w:val="3"/>
          </w:tcPr>
          <w:p w14:paraId="4D873472" w14:textId="77777777" w:rsidR="00247AD2" w:rsidRPr="00672714" w:rsidRDefault="00247AD2" w:rsidP="00672714">
            <w:pPr>
              <w:pStyle w:val="BodyText"/>
              <w:rPr>
                <w:b/>
                <w:bCs/>
                <w:sz w:val="20"/>
                <w:szCs w:val="20"/>
              </w:rPr>
            </w:pPr>
            <w:r w:rsidRPr="00672714">
              <w:rPr>
                <w:b/>
                <w:bCs/>
                <w:sz w:val="20"/>
                <w:szCs w:val="20"/>
              </w:rPr>
              <w:t>Non-binary</w:t>
            </w:r>
          </w:p>
        </w:tc>
        <w:tc>
          <w:tcPr>
            <w:tcW w:w="825" w:type="pct"/>
            <w:gridSpan w:val="3"/>
          </w:tcPr>
          <w:p w14:paraId="56F3DD24" w14:textId="77777777" w:rsidR="00247AD2" w:rsidRPr="00672714" w:rsidRDefault="00247AD2" w:rsidP="00672714">
            <w:pPr>
              <w:pStyle w:val="BodyText"/>
              <w:rPr>
                <w:b/>
                <w:bCs/>
                <w:sz w:val="20"/>
                <w:szCs w:val="20"/>
              </w:rPr>
            </w:pPr>
            <w:r w:rsidRPr="00672714">
              <w:rPr>
                <w:b/>
                <w:bCs/>
                <w:sz w:val="20"/>
                <w:szCs w:val="20"/>
              </w:rPr>
              <w:t>Prefers not to answer</w:t>
            </w:r>
          </w:p>
        </w:tc>
        <w:tc>
          <w:tcPr>
            <w:tcW w:w="825" w:type="pct"/>
            <w:gridSpan w:val="3"/>
          </w:tcPr>
          <w:p w14:paraId="6477A536" w14:textId="77777777" w:rsidR="00247AD2" w:rsidRPr="00672714" w:rsidRDefault="00247AD2" w:rsidP="00672714">
            <w:pPr>
              <w:pStyle w:val="BodyText"/>
              <w:rPr>
                <w:b/>
                <w:bCs/>
                <w:sz w:val="20"/>
                <w:szCs w:val="20"/>
              </w:rPr>
            </w:pPr>
            <w:r w:rsidRPr="00672714">
              <w:rPr>
                <w:b/>
                <w:bCs/>
                <w:sz w:val="20"/>
                <w:szCs w:val="20"/>
              </w:rPr>
              <w:t>Uses a different term</w:t>
            </w:r>
          </w:p>
        </w:tc>
        <w:tc>
          <w:tcPr>
            <w:tcW w:w="288" w:type="pct"/>
          </w:tcPr>
          <w:p w14:paraId="5D0A017A" w14:textId="77777777" w:rsidR="00247AD2" w:rsidRPr="00672714" w:rsidRDefault="00247AD2" w:rsidP="00672714">
            <w:pPr>
              <w:pStyle w:val="BodyText"/>
              <w:rPr>
                <w:sz w:val="20"/>
                <w:szCs w:val="20"/>
              </w:rPr>
            </w:pPr>
            <w:r w:rsidRPr="00672714">
              <w:rPr>
                <w:rStyle w:val="Bold"/>
                <w:sz w:val="20"/>
                <w:szCs w:val="20"/>
              </w:rPr>
              <w:t>Total</w:t>
            </w:r>
          </w:p>
        </w:tc>
      </w:tr>
      <w:tr w:rsidR="00247AD2" w:rsidRPr="00672714" w14:paraId="5DEF015B" w14:textId="77777777" w:rsidTr="00672714">
        <w:trPr>
          <w:trHeight w:val="597"/>
          <w:tblHeader/>
        </w:trPr>
        <w:tc>
          <w:tcPr>
            <w:tcW w:w="475" w:type="pct"/>
          </w:tcPr>
          <w:p w14:paraId="42F1FA79" w14:textId="77777777" w:rsidR="00247AD2" w:rsidRPr="00672714" w:rsidRDefault="00247AD2" w:rsidP="00672714">
            <w:pPr>
              <w:pStyle w:val="BodyText"/>
              <w:rPr>
                <w:sz w:val="20"/>
                <w:szCs w:val="20"/>
              </w:rPr>
            </w:pPr>
          </w:p>
        </w:tc>
        <w:tc>
          <w:tcPr>
            <w:tcW w:w="288" w:type="pct"/>
          </w:tcPr>
          <w:p w14:paraId="5822C3D4" w14:textId="77777777" w:rsidR="00247AD2" w:rsidRPr="00672714" w:rsidRDefault="00247AD2" w:rsidP="00672714">
            <w:pPr>
              <w:pStyle w:val="BodyText"/>
              <w:rPr>
                <w:sz w:val="20"/>
                <w:szCs w:val="20"/>
              </w:rPr>
            </w:pPr>
            <w:r w:rsidRPr="00672714">
              <w:rPr>
                <w:rStyle w:val="Bold"/>
                <w:sz w:val="20"/>
                <w:szCs w:val="20"/>
              </w:rPr>
              <w:t>Full-time</w:t>
            </w:r>
          </w:p>
        </w:tc>
        <w:tc>
          <w:tcPr>
            <w:tcW w:w="288" w:type="pct"/>
          </w:tcPr>
          <w:p w14:paraId="48BF8DFB" w14:textId="77777777" w:rsidR="00247AD2" w:rsidRPr="00672714" w:rsidRDefault="00247AD2" w:rsidP="00672714">
            <w:pPr>
              <w:pStyle w:val="BodyText"/>
              <w:rPr>
                <w:sz w:val="20"/>
                <w:szCs w:val="20"/>
              </w:rPr>
            </w:pPr>
            <w:r w:rsidRPr="00672714">
              <w:rPr>
                <w:rStyle w:val="Bold"/>
                <w:sz w:val="20"/>
                <w:szCs w:val="20"/>
              </w:rPr>
              <w:t>Part-time</w:t>
            </w:r>
          </w:p>
        </w:tc>
        <w:tc>
          <w:tcPr>
            <w:tcW w:w="288" w:type="pct"/>
          </w:tcPr>
          <w:p w14:paraId="77B6BA96" w14:textId="77777777" w:rsidR="00247AD2" w:rsidRPr="00672714" w:rsidRDefault="00247AD2" w:rsidP="00672714">
            <w:pPr>
              <w:pStyle w:val="BodyText"/>
              <w:rPr>
                <w:sz w:val="20"/>
                <w:szCs w:val="20"/>
              </w:rPr>
            </w:pPr>
            <w:r w:rsidRPr="00672714">
              <w:rPr>
                <w:rStyle w:val="Bold"/>
                <w:sz w:val="20"/>
                <w:szCs w:val="20"/>
              </w:rPr>
              <w:t>Total</w:t>
            </w:r>
          </w:p>
        </w:tc>
        <w:tc>
          <w:tcPr>
            <w:tcW w:w="288" w:type="pct"/>
          </w:tcPr>
          <w:p w14:paraId="3820F59E" w14:textId="77777777" w:rsidR="00247AD2" w:rsidRPr="00672714" w:rsidRDefault="00247AD2" w:rsidP="00672714">
            <w:pPr>
              <w:pStyle w:val="BodyText"/>
              <w:rPr>
                <w:sz w:val="20"/>
                <w:szCs w:val="20"/>
              </w:rPr>
            </w:pPr>
            <w:r w:rsidRPr="00672714">
              <w:rPr>
                <w:rStyle w:val="Bold"/>
                <w:sz w:val="20"/>
                <w:szCs w:val="20"/>
              </w:rPr>
              <w:t>Full-time</w:t>
            </w:r>
          </w:p>
        </w:tc>
        <w:tc>
          <w:tcPr>
            <w:tcW w:w="288" w:type="pct"/>
          </w:tcPr>
          <w:p w14:paraId="637B823E" w14:textId="77777777" w:rsidR="00247AD2" w:rsidRPr="00672714" w:rsidRDefault="00247AD2" w:rsidP="00672714">
            <w:pPr>
              <w:pStyle w:val="BodyText"/>
              <w:rPr>
                <w:sz w:val="20"/>
                <w:szCs w:val="20"/>
              </w:rPr>
            </w:pPr>
            <w:r w:rsidRPr="00672714">
              <w:rPr>
                <w:rStyle w:val="Bold"/>
                <w:sz w:val="20"/>
                <w:szCs w:val="20"/>
              </w:rPr>
              <w:t>Part-time</w:t>
            </w:r>
          </w:p>
        </w:tc>
        <w:tc>
          <w:tcPr>
            <w:tcW w:w="288" w:type="pct"/>
          </w:tcPr>
          <w:p w14:paraId="1440682E" w14:textId="77777777" w:rsidR="00247AD2" w:rsidRPr="00672714" w:rsidRDefault="00247AD2" w:rsidP="00672714">
            <w:pPr>
              <w:pStyle w:val="BodyText"/>
              <w:rPr>
                <w:sz w:val="20"/>
                <w:szCs w:val="20"/>
              </w:rPr>
            </w:pPr>
            <w:r w:rsidRPr="00672714">
              <w:rPr>
                <w:rStyle w:val="Bold"/>
                <w:sz w:val="20"/>
                <w:szCs w:val="20"/>
              </w:rPr>
              <w:t>Total</w:t>
            </w:r>
          </w:p>
        </w:tc>
        <w:tc>
          <w:tcPr>
            <w:tcW w:w="288" w:type="pct"/>
          </w:tcPr>
          <w:p w14:paraId="05E97685" w14:textId="77777777" w:rsidR="00247AD2" w:rsidRPr="00672714" w:rsidRDefault="00247AD2" w:rsidP="00672714">
            <w:pPr>
              <w:pStyle w:val="BodyText"/>
              <w:rPr>
                <w:sz w:val="20"/>
                <w:szCs w:val="20"/>
              </w:rPr>
            </w:pPr>
            <w:r w:rsidRPr="00672714">
              <w:rPr>
                <w:rStyle w:val="Bold"/>
                <w:sz w:val="20"/>
                <w:szCs w:val="20"/>
              </w:rPr>
              <w:t>Full-time</w:t>
            </w:r>
          </w:p>
        </w:tc>
        <w:tc>
          <w:tcPr>
            <w:tcW w:w="288" w:type="pct"/>
          </w:tcPr>
          <w:p w14:paraId="68747C91" w14:textId="77777777" w:rsidR="00247AD2" w:rsidRPr="00672714" w:rsidRDefault="00247AD2" w:rsidP="00672714">
            <w:pPr>
              <w:pStyle w:val="BodyText"/>
              <w:rPr>
                <w:sz w:val="20"/>
                <w:szCs w:val="20"/>
              </w:rPr>
            </w:pPr>
            <w:r w:rsidRPr="00672714">
              <w:rPr>
                <w:rStyle w:val="Bold"/>
                <w:sz w:val="20"/>
                <w:szCs w:val="20"/>
              </w:rPr>
              <w:t>Part-time</w:t>
            </w:r>
          </w:p>
        </w:tc>
        <w:tc>
          <w:tcPr>
            <w:tcW w:w="288" w:type="pct"/>
          </w:tcPr>
          <w:p w14:paraId="57DBC5FA" w14:textId="77777777" w:rsidR="00247AD2" w:rsidRPr="00672714" w:rsidRDefault="00247AD2" w:rsidP="00672714">
            <w:pPr>
              <w:pStyle w:val="BodyText"/>
              <w:rPr>
                <w:sz w:val="20"/>
                <w:szCs w:val="20"/>
              </w:rPr>
            </w:pPr>
            <w:r w:rsidRPr="00672714">
              <w:rPr>
                <w:rStyle w:val="Bold"/>
                <w:sz w:val="20"/>
                <w:szCs w:val="20"/>
              </w:rPr>
              <w:t>Total</w:t>
            </w:r>
          </w:p>
        </w:tc>
        <w:tc>
          <w:tcPr>
            <w:tcW w:w="275" w:type="pct"/>
          </w:tcPr>
          <w:p w14:paraId="2546F8F7" w14:textId="77777777" w:rsidR="00247AD2" w:rsidRPr="00672714" w:rsidRDefault="00247AD2" w:rsidP="00672714">
            <w:pPr>
              <w:pStyle w:val="BodyText"/>
              <w:rPr>
                <w:sz w:val="20"/>
                <w:szCs w:val="20"/>
              </w:rPr>
            </w:pPr>
            <w:r w:rsidRPr="00672714">
              <w:rPr>
                <w:rStyle w:val="Bold"/>
                <w:sz w:val="20"/>
                <w:szCs w:val="20"/>
              </w:rPr>
              <w:t>Full-time</w:t>
            </w:r>
          </w:p>
        </w:tc>
        <w:tc>
          <w:tcPr>
            <w:tcW w:w="275" w:type="pct"/>
          </w:tcPr>
          <w:p w14:paraId="2EC9D9D9" w14:textId="77777777" w:rsidR="00247AD2" w:rsidRPr="00672714" w:rsidRDefault="00247AD2" w:rsidP="00672714">
            <w:pPr>
              <w:pStyle w:val="BodyText"/>
              <w:rPr>
                <w:sz w:val="20"/>
                <w:szCs w:val="20"/>
              </w:rPr>
            </w:pPr>
            <w:r w:rsidRPr="00672714">
              <w:rPr>
                <w:rStyle w:val="Bold"/>
                <w:sz w:val="20"/>
                <w:szCs w:val="20"/>
              </w:rPr>
              <w:t>Part-time</w:t>
            </w:r>
          </w:p>
        </w:tc>
        <w:tc>
          <w:tcPr>
            <w:tcW w:w="275" w:type="pct"/>
          </w:tcPr>
          <w:p w14:paraId="10B72391" w14:textId="77777777" w:rsidR="00247AD2" w:rsidRPr="00672714" w:rsidRDefault="00247AD2" w:rsidP="00672714">
            <w:pPr>
              <w:pStyle w:val="BodyText"/>
              <w:rPr>
                <w:sz w:val="20"/>
                <w:szCs w:val="20"/>
              </w:rPr>
            </w:pPr>
            <w:r w:rsidRPr="00672714">
              <w:rPr>
                <w:rStyle w:val="Bold"/>
                <w:sz w:val="20"/>
                <w:szCs w:val="20"/>
              </w:rPr>
              <w:t>Total</w:t>
            </w:r>
          </w:p>
        </w:tc>
        <w:tc>
          <w:tcPr>
            <w:tcW w:w="275" w:type="pct"/>
          </w:tcPr>
          <w:p w14:paraId="5CDC1AF6" w14:textId="77777777" w:rsidR="00247AD2" w:rsidRPr="00672714" w:rsidRDefault="00247AD2" w:rsidP="00672714">
            <w:pPr>
              <w:pStyle w:val="BodyText"/>
              <w:rPr>
                <w:sz w:val="20"/>
                <w:szCs w:val="20"/>
              </w:rPr>
            </w:pPr>
            <w:r w:rsidRPr="00672714">
              <w:rPr>
                <w:rStyle w:val="Bold"/>
                <w:sz w:val="20"/>
                <w:szCs w:val="20"/>
              </w:rPr>
              <w:t>Full-time</w:t>
            </w:r>
          </w:p>
        </w:tc>
        <w:tc>
          <w:tcPr>
            <w:tcW w:w="275" w:type="pct"/>
          </w:tcPr>
          <w:p w14:paraId="03032C6F" w14:textId="77777777" w:rsidR="00247AD2" w:rsidRPr="00672714" w:rsidRDefault="00247AD2" w:rsidP="00672714">
            <w:pPr>
              <w:pStyle w:val="BodyText"/>
              <w:rPr>
                <w:sz w:val="20"/>
                <w:szCs w:val="20"/>
              </w:rPr>
            </w:pPr>
            <w:r w:rsidRPr="00672714">
              <w:rPr>
                <w:rStyle w:val="Bold"/>
                <w:sz w:val="20"/>
                <w:szCs w:val="20"/>
              </w:rPr>
              <w:t>Part-time</w:t>
            </w:r>
          </w:p>
        </w:tc>
        <w:tc>
          <w:tcPr>
            <w:tcW w:w="275" w:type="pct"/>
          </w:tcPr>
          <w:p w14:paraId="2BCC425E" w14:textId="77777777" w:rsidR="00247AD2" w:rsidRPr="00672714" w:rsidRDefault="00247AD2" w:rsidP="00672714">
            <w:pPr>
              <w:pStyle w:val="BodyText"/>
              <w:rPr>
                <w:sz w:val="20"/>
                <w:szCs w:val="20"/>
              </w:rPr>
            </w:pPr>
            <w:r w:rsidRPr="00672714">
              <w:rPr>
                <w:rStyle w:val="Bold"/>
                <w:sz w:val="20"/>
                <w:szCs w:val="20"/>
              </w:rPr>
              <w:t>Total</w:t>
            </w:r>
          </w:p>
        </w:tc>
        <w:tc>
          <w:tcPr>
            <w:tcW w:w="288" w:type="pct"/>
          </w:tcPr>
          <w:p w14:paraId="561AD1C9" w14:textId="77777777" w:rsidR="00247AD2" w:rsidRPr="00672714" w:rsidRDefault="00247AD2" w:rsidP="00672714">
            <w:pPr>
              <w:pStyle w:val="BodyText"/>
              <w:rPr>
                <w:sz w:val="20"/>
                <w:szCs w:val="20"/>
              </w:rPr>
            </w:pPr>
          </w:p>
        </w:tc>
      </w:tr>
      <w:tr w:rsidR="00247AD2" w:rsidRPr="00672714" w14:paraId="795FAE86" w14:textId="77777777" w:rsidTr="006A0585">
        <w:trPr>
          <w:trHeight w:val="396"/>
        </w:trPr>
        <w:tc>
          <w:tcPr>
            <w:tcW w:w="475" w:type="pct"/>
          </w:tcPr>
          <w:p w14:paraId="3513EB22" w14:textId="77777777" w:rsidR="00247AD2" w:rsidRPr="00672714" w:rsidRDefault="00247AD2" w:rsidP="00672714">
            <w:pPr>
              <w:pStyle w:val="BodyText"/>
              <w:rPr>
                <w:sz w:val="20"/>
                <w:szCs w:val="20"/>
              </w:rPr>
            </w:pPr>
            <w:r w:rsidRPr="00672714">
              <w:rPr>
                <w:sz w:val="20"/>
                <w:szCs w:val="20"/>
              </w:rPr>
              <w:t>NSW</w:t>
            </w:r>
          </w:p>
        </w:tc>
        <w:tc>
          <w:tcPr>
            <w:tcW w:w="288" w:type="pct"/>
          </w:tcPr>
          <w:p w14:paraId="5830407B" w14:textId="77777777" w:rsidR="00247AD2" w:rsidRPr="00672714" w:rsidRDefault="00247AD2" w:rsidP="00672714">
            <w:pPr>
              <w:pStyle w:val="BodyText"/>
              <w:rPr>
                <w:sz w:val="20"/>
                <w:szCs w:val="20"/>
              </w:rPr>
            </w:pPr>
            <w:r w:rsidRPr="00672714">
              <w:rPr>
                <w:sz w:val="20"/>
                <w:szCs w:val="20"/>
              </w:rPr>
              <w:t>2</w:t>
            </w:r>
          </w:p>
        </w:tc>
        <w:tc>
          <w:tcPr>
            <w:tcW w:w="288" w:type="pct"/>
          </w:tcPr>
          <w:p w14:paraId="4E269350" w14:textId="77777777" w:rsidR="00247AD2" w:rsidRPr="00672714" w:rsidRDefault="00247AD2" w:rsidP="00672714">
            <w:pPr>
              <w:pStyle w:val="BodyText"/>
              <w:rPr>
                <w:sz w:val="20"/>
                <w:szCs w:val="20"/>
              </w:rPr>
            </w:pPr>
            <w:r w:rsidRPr="00672714">
              <w:rPr>
                <w:sz w:val="20"/>
                <w:szCs w:val="20"/>
              </w:rPr>
              <w:t>13</w:t>
            </w:r>
          </w:p>
        </w:tc>
        <w:tc>
          <w:tcPr>
            <w:tcW w:w="288" w:type="pct"/>
          </w:tcPr>
          <w:p w14:paraId="38EE3BBB" w14:textId="77777777" w:rsidR="00247AD2" w:rsidRPr="00672714" w:rsidRDefault="00247AD2" w:rsidP="00672714">
            <w:pPr>
              <w:pStyle w:val="BodyText"/>
              <w:rPr>
                <w:sz w:val="20"/>
                <w:szCs w:val="20"/>
              </w:rPr>
            </w:pPr>
            <w:r w:rsidRPr="00672714">
              <w:rPr>
                <w:sz w:val="20"/>
                <w:szCs w:val="20"/>
              </w:rPr>
              <w:t>15</w:t>
            </w:r>
          </w:p>
        </w:tc>
        <w:tc>
          <w:tcPr>
            <w:tcW w:w="288" w:type="pct"/>
          </w:tcPr>
          <w:p w14:paraId="26763C58" w14:textId="77777777" w:rsidR="00247AD2" w:rsidRPr="00672714" w:rsidRDefault="00247AD2" w:rsidP="00672714">
            <w:pPr>
              <w:pStyle w:val="BodyText"/>
              <w:rPr>
                <w:sz w:val="20"/>
                <w:szCs w:val="20"/>
              </w:rPr>
            </w:pPr>
            <w:r w:rsidRPr="00672714">
              <w:rPr>
                <w:sz w:val="20"/>
                <w:szCs w:val="20"/>
              </w:rPr>
              <w:t>7</w:t>
            </w:r>
          </w:p>
        </w:tc>
        <w:tc>
          <w:tcPr>
            <w:tcW w:w="288" w:type="pct"/>
          </w:tcPr>
          <w:p w14:paraId="20F5B36B" w14:textId="77777777" w:rsidR="00247AD2" w:rsidRPr="00672714" w:rsidRDefault="00247AD2" w:rsidP="00672714">
            <w:pPr>
              <w:pStyle w:val="BodyText"/>
              <w:rPr>
                <w:sz w:val="20"/>
                <w:szCs w:val="20"/>
              </w:rPr>
            </w:pPr>
            <w:r w:rsidRPr="00672714">
              <w:rPr>
                <w:sz w:val="20"/>
                <w:szCs w:val="20"/>
              </w:rPr>
              <w:t>47</w:t>
            </w:r>
          </w:p>
        </w:tc>
        <w:tc>
          <w:tcPr>
            <w:tcW w:w="288" w:type="pct"/>
          </w:tcPr>
          <w:p w14:paraId="0CF0D33C" w14:textId="77777777" w:rsidR="00247AD2" w:rsidRPr="00672714" w:rsidRDefault="00247AD2" w:rsidP="00672714">
            <w:pPr>
              <w:pStyle w:val="BodyText"/>
              <w:rPr>
                <w:sz w:val="20"/>
                <w:szCs w:val="20"/>
              </w:rPr>
            </w:pPr>
            <w:r w:rsidRPr="00672714">
              <w:rPr>
                <w:sz w:val="20"/>
                <w:szCs w:val="20"/>
              </w:rPr>
              <w:t>54</w:t>
            </w:r>
          </w:p>
        </w:tc>
        <w:tc>
          <w:tcPr>
            <w:tcW w:w="288" w:type="pct"/>
          </w:tcPr>
          <w:p w14:paraId="0DE46397" w14:textId="77777777" w:rsidR="00247AD2" w:rsidRPr="00672714" w:rsidRDefault="00247AD2" w:rsidP="00672714">
            <w:pPr>
              <w:pStyle w:val="BodyText"/>
              <w:rPr>
                <w:sz w:val="20"/>
                <w:szCs w:val="20"/>
              </w:rPr>
            </w:pPr>
            <w:r w:rsidRPr="00672714">
              <w:rPr>
                <w:sz w:val="20"/>
                <w:szCs w:val="20"/>
              </w:rPr>
              <w:t>0</w:t>
            </w:r>
          </w:p>
        </w:tc>
        <w:tc>
          <w:tcPr>
            <w:tcW w:w="288" w:type="pct"/>
          </w:tcPr>
          <w:p w14:paraId="0DCD5394" w14:textId="77777777" w:rsidR="00247AD2" w:rsidRPr="00672714" w:rsidRDefault="00247AD2" w:rsidP="00672714">
            <w:pPr>
              <w:pStyle w:val="BodyText"/>
              <w:rPr>
                <w:sz w:val="20"/>
                <w:szCs w:val="20"/>
              </w:rPr>
            </w:pPr>
            <w:r w:rsidRPr="00672714">
              <w:rPr>
                <w:sz w:val="20"/>
                <w:szCs w:val="20"/>
              </w:rPr>
              <w:t>1</w:t>
            </w:r>
          </w:p>
        </w:tc>
        <w:tc>
          <w:tcPr>
            <w:tcW w:w="288" w:type="pct"/>
          </w:tcPr>
          <w:p w14:paraId="190BFF54" w14:textId="77777777" w:rsidR="00247AD2" w:rsidRPr="00672714" w:rsidRDefault="00247AD2" w:rsidP="00672714">
            <w:pPr>
              <w:pStyle w:val="BodyText"/>
              <w:rPr>
                <w:sz w:val="20"/>
                <w:szCs w:val="20"/>
              </w:rPr>
            </w:pPr>
            <w:r w:rsidRPr="00672714">
              <w:rPr>
                <w:sz w:val="20"/>
                <w:szCs w:val="20"/>
              </w:rPr>
              <w:t>1</w:t>
            </w:r>
          </w:p>
        </w:tc>
        <w:tc>
          <w:tcPr>
            <w:tcW w:w="275" w:type="pct"/>
          </w:tcPr>
          <w:p w14:paraId="7C4EF395" w14:textId="77777777" w:rsidR="00247AD2" w:rsidRPr="00672714" w:rsidRDefault="00247AD2" w:rsidP="00672714">
            <w:pPr>
              <w:pStyle w:val="BodyText"/>
              <w:rPr>
                <w:sz w:val="20"/>
                <w:szCs w:val="20"/>
              </w:rPr>
            </w:pPr>
            <w:r w:rsidRPr="00672714">
              <w:rPr>
                <w:sz w:val="20"/>
                <w:szCs w:val="20"/>
              </w:rPr>
              <w:t>0</w:t>
            </w:r>
          </w:p>
        </w:tc>
        <w:tc>
          <w:tcPr>
            <w:tcW w:w="275" w:type="pct"/>
          </w:tcPr>
          <w:p w14:paraId="7BE39290" w14:textId="77777777" w:rsidR="00247AD2" w:rsidRPr="00672714" w:rsidRDefault="00247AD2" w:rsidP="00672714">
            <w:pPr>
              <w:pStyle w:val="BodyText"/>
              <w:rPr>
                <w:sz w:val="20"/>
                <w:szCs w:val="20"/>
              </w:rPr>
            </w:pPr>
            <w:r w:rsidRPr="00672714">
              <w:rPr>
                <w:sz w:val="20"/>
                <w:szCs w:val="20"/>
              </w:rPr>
              <w:t>0</w:t>
            </w:r>
          </w:p>
        </w:tc>
        <w:tc>
          <w:tcPr>
            <w:tcW w:w="275" w:type="pct"/>
          </w:tcPr>
          <w:p w14:paraId="647A8CD4" w14:textId="77777777" w:rsidR="00247AD2" w:rsidRPr="00672714" w:rsidRDefault="00247AD2" w:rsidP="00672714">
            <w:pPr>
              <w:pStyle w:val="BodyText"/>
              <w:rPr>
                <w:sz w:val="20"/>
                <w:szCs w:val="20"/>
              </w:rPr>
            </w:pPr>
            <w:r w:rsidRPr="00672714">
              <w:rPr>
                <w:sz w:val="20"/>
                <w:szCs w:val="20"/>
              </w:rPr>
              <w:t>0</w:t>
            </w:r>
          </w:p>
        </w:tc>
        <w:tc>
          <w:tcPr>
            <w:tcW w:w="275" w:type="pct"/>
          </w:tcPr>
          <w:p w14:paraId="4C799E38" w14:textId="77777777" w:rsidR="00247AD2" w:rsidRPr="00672714" w:rsidRDefault="00247AD2" w:rsidP="00672714">
            <w:pPr>
              <w:pStyle w:val="BodyText"/>
              <w:rPr>
                <w:sz w:val="20"/>
                <w:szCs w:val="20"/>
              </w:rPr>
            </w:pPr>
            <w:r w:rsidRPr="00672714">
              <w:rPr>
                <w:sz w:val="20"/>
                <w:szCs w:val="20"/>
              </w:rPr>
              <w:t>0</w:t>
            </w:r>
          </w:p>
        </w:tc>
        <w:tc>
          <w:tcPr>
            <w:tcW w:w="275" w:type="pct"/>
          </w:tcPr>
          <w:p w14:paraId="70B7B830" w14:textId="77777777" w:rsidR="00247AD2" w:rsidRPr="00672714" w:rsidRDefault="00247AD2" w:rsidP="00672714">
            <w:pPr>
              <w:pStyle w:val="BodyText"/>
              <w:rPr>
                <w:sz w:val="20"/>
                <w:szCs w:val="20"/>
              </w:rPr>
            </w:pPr>
            <w:r w:rsidRPr="00672714">
              <w:rPr>
                <w:sz w:val="20"/>
                <w:szCs w:val="20"/>
              </w:rPr>
              <w:t>0</w:t>
            </w:r>
          </w:p>
        </w:tc>
        <w:tc>
          <w:tcPr>
            <w:tcW w:w="275" w:type="pct"/>
          </w:tcPr>
          <w:p w14:paraId="5321EE37" w14:textId="77777777" w:rsidR="00247AD2" w:rsidRPr="00672714" w:rsidRDefault="00247AD2" w:rsidP="00672714">
            <w:pPr>
              <w:pStyle w:val="BodyText"/>
              <w:rPr>
                <w:sz w:val="20"/>
                <w:szCs w:val="20"/>
              </w:rPr>
            </w:pPr>
            <w:r w:rsidRPr="00672714">
              <w:rPr>
                <w:sz w:val="20"/>
                <w:szCs w:val="20"/>
              </w:rPr>
              <w:t>0</w:t>
            </w:r>
          </w:p>
        </w:tc>
        <w:tc>
          <w:tcPr>
            <w:tcW w:w="288" w:type="pct"/>
          </w:tcPr>
          <w:p w14:paraId="57BC99A8" w14:textId="77777777" w:rsidR="00247AD2" w:rsidRPr="00672714" w:rsidRDefault="00247AD2" w:rsidP="00672714">
            <w:pPr>
              <w:pStyle w:val="BodyText"/>
              <w:rPr>
                <w:sz w:val="20"/>
                <w:szCs w:val="20"/>
              </w:rPr>
            </w:pPr>
            <w:r w:rsidRPr="00672714">
              <w:rPr>
                <w:rStyle w:val="01bodybold"/>
                <w:sz w:val="20"/>
                <w:szCs w:val="20"/>
              </w:rPr>
              <w:t xml:space="preserve">70 </w:t>
            </w:r>
          </w:p>
        </w:tc>
      </w:tr>
      <w:tr w:rsidR="00247AD2" w:rsidRPr="00672714" w14:paraId="656C883C" w14:textId="77777777" w:rsidTr="006A0585">
        <w:trPr>
          <w:trHeight w:val="396"/>
        </w:trPr>
        <w:tc>
          <w:tcPr>
            <w:tcW w:w="475" w:type="pct"/>
          </w:tcPr>
          <w:p w14:paraId="66B74B7B" w14:textId="77777777" w:rsidR="00247AD2" w:rsidRPr="00672714" w:rsidRDefault="00247AD2" w:rsidP="00672714">
            <w:pPr>
              <w:pStyle w:val="BodyText"/>
              <w:rPr>
                <w:sz w:val="20"/>
                <w:szCs w:val="20"/>
              </w:rPr>
            </w:pPr>
            <w:r w:rsidRPr="00672714">
              <w:rPr>
                <w:sz w:val="20"/>
                <w:szCs w:val="20"/>
              </w:rPr>
              <w:lastRenderedPageBreak/>
              <w:t>Qld</w:t>
            </w:r>
          </w:p>
        </w:tc>
        <w:tc>
          <w:tcPr>
            <w:tcW w:w="288" w:type="pct"/>
          </w:tcPr>
          <w:p w14:paraId="20D790D1" w14:textId="77777777" w:rsidR="00247AD2" w:rsidRPr="00672714" w:rsidRDefault="00247AD2" w:rsidP="00672714">
            <w:pPr>
              <w:pStyle w:val="BodyText"/>
              <w:rPr>
                <w:sz w:val="20"/>
                <w:szCs w:val="20"/>
              </w:rPr>
            </w:pPr>
            <w:r w:rsidRPr="00672714">
              <w:rPr>
                <w:sz w:val="20"/>
                <w:szCs w:val="20"/>
              </w:rPr>
              <w:t>5</w:t>
            </w:r>
          </w:p>
        </w:tc>
        <w:tc>
          <w:tcPr>
            <w:tcW w:w="288" w:type="pct"/>
          </w:tcPr>
          <w:p w14:paraId="08DB6152" w14:textId="77777777" w:rsidR="00247AD2" w:rsidRPr="00672714" w:rsidRDefault="00247AD2" w:rsidP="00672714">
            <w:pPr>
              <w:pStyle w:val="BodyText"/>
              <w:rPr>
                <w:sz w:val="20"/>
                <w:szCs w:val="20"/>
              </w:rPr>
            </w:pPr>
            <w:r w:rsidRPr="00672714">
              <w:rPr>
                <w:sz w:val="20"/>
                <w:szCs w:val="20"/>
              </w:rPr>
              <w:t>10</w:t>
            </w:r>
          </w:p>
        </w:tc>
        <w:tc>
          <w:tcPr>
            <w:tcW w:w="288" w:type="pct"/>
          </w:tcPr>
          <w:p w14:paraId="63312D86" w14:textId="77777777" w:rsidR="00247AD2" w:rsidRPr="00672714" w:rsidRDefault="00247AD2" w:rsidP="00672714">
            <w:pPr>
              <w:pStyle w:val="BodyText"/>
              <w:rPr>
                <w:sz w:val="20"/>
                <w:szCs w:val="20"/>
              </w:rPr>
            </w:pPr>
            <w:r w:rsidRPr="00672714">
              <w:rPr>
                <w:sz w:val="20"/>
                <w:szCs w:val="20"/>
              </w:rPr>
              <w:t>15</w:t>
            </w:r>
          </w:p>
        </w:tc>
        <w:tc>
          <w:tcPr>
            <w:tcW w:w="288" w:type="pct"/>
          </w:tcPr>
          <w:p w14:paraId="70AC6A5C" w14:textId="77777777" w:rsidR="00247AD2" w:rsidRPr="00672714" w:rsidRDefault="00247AD2" w:rsidP="00672714">
            <w:pPr>
              <w:pStyle w:val="BodyText"/>
              <w:rPr>
                <w:sz w:val="20"/>
                <w:szCs w:val="20"/>
              </w:rPr>
            </w:pPr>
            <w:r w:rsidRPr="00672714">
              <w:rPr>
                <w:sz w:val="20"/>
                <w:szCs w:val="20"/>
              </w:rPr>
              <w:t>13</w:t>
            </w:r>
          </w:p>
        </w:tc>
        <w:tc>
          <w:tcPr>
            <w:tcW w:w="288" w:type="pct"/>
          </w:tcPr>
          <w:p w14:paraId="21792EDB" w14:textId="77777777" w:rsidR="00247AD2" w:rsidRPr="00672714" w:rsidRDefault="00247AD2" w:rsidP="00672714">
            <w:pPr>
              <w:pStyle w:val="BodyText"/>
              <w:rPr>
                <w:sz w:val="20"/>
                <w:szCs w:val="20"/>
              </w:rPr>
            </w:pPr>
            <w:r w:rsidRPr="00672714">
              <w:rPr>
                <w:sz w:val="20"/>
                <w:szCs w:val="20"/>
              </w:rPr>
              <w:t>32</w:t>
            </w:r>
          </w:p>
        </w:tc>
        <w:tc>
          <w:tcPr>
            <w:tcW w:w="288" w:type="pct"/>
          </w:tcPr>
          <w:p w14:paraId="41073C88" w14:textId="77777777" w:rsidR="00247AD2" w:rsidRPr="00672714" w:rsidRDefault="00247AD2" w:rsidP="00672714">
            <w:pPr>
              <w:pStyle w:val="BodyText"/>
              <w:rPr>
                <w:sz w:val="20"/>
                <w:szCs w:val="20"/>
              </w:rPr>
            </w:pPr>
            <w:r w:rsidRPr="00672714">
              <w:rPr>
                <w:sz w:val="20"/>
                <w:szCs w:val="20"/>
              </w:rPr>
              <w:t>45</w:t>
            </w:r>
          </w:p>
        </w:tc>
        <w:tc>
          <w:tcPr>
            <w:tcW w:w="288" w:type="pct"/>
          </w:tcPr>
          <w:p w14:paraId="4DAA175B" w14:textId="77777777" w:rsidR="00247AD2" w:rsidRPr="00672714" w:rsidRDefault="00247AD2" w:rsidP="00672714">
            <w:pPr>
              <w:pStyle w:val="BodyText"/>
              <w:rPr>
                <w:sz w:val="20"/>
                <w:szCs w:val="20"/>
              </w:rPr>
            </w:pPr>
            <w:r w:rsidRPr="00672714">
              <w:rPr>
                <w:sz w:val="20"/>
                <w:szCs w:val="20"/>
              </w:rPr>
              <w:t>0</w:t>
            </w:r>
          </w:p>
        </w:tc>
        <w:tc>
          <w:tcPr>
            <w:tcW w:w="288" w:type="pct"/>
          </w:tcPr>
          <w:p w14:paraId="114ED1C2" w14:textId="77777777" w:rsidR="00247AD2" w:rsidRPr="00672714" w:rsidRDefault="00247AD2" w:rsidP="00672714">
            <w:pPr>
              <w:pStyle w:val="BodyText"/>
              <w:rPr>
                <w:sz w:val="20"/>
                <w:szCs w:val="20"/>
              </w:rPr>
            </w:pPr>
            <w:r w:rsidRPr="00672714">
              <w:rPr>
                <w:sz w:val="20"/>
                <w:szCs w:val="20"/>
              </w:rPr>
              <w:t>0</w:t>
            </w:r>
          </w:p>
        </w:tc>
        <w:tc>
          <w:tcPr>
            <w:tcW w:w="288" w:type="pct"/>
          </w:tcPr>
          <w:p w14:paraId="17D1AED6" w14:textId="77777777" w:rsidR="00247AD2" w:rsidRPr="00672714" w:rsidRDefault="00247AD2" w:rsidP="00672714">
            <w:pPr>
              <w:pStyle w:val="BodyText"/>
              <w:rPr>
                <w:sz w:val="20"/>
                <w:szCs w:val="20"/>
              </w:rPr>
            </w:pPr>
            <w:r w:rsidRPr="00672714">
              <w:rPr>
                <w:sz w:val="20"/>
                <w:szCs w:val="20"/>
              </w:rPr>
              <w:t>0</w:t>
            </w:r>
          </w:p>
        </w:tc>
        <w:tc>
          <w:tcPr>
            <w:tcW w:w="275" w:type="pct"/>
          </w:tcPr>
          <w:p w14:paraId="622CF36C" w14:textId="77777777" w:rsidR="00247AD2" w:rsidRPr="00672714" w:rsidRDefault="00247AD2" w:rsidP="00672714">
            <w:pPr>
              <w:pStyle w:val="BodyText"/>
              <w:rPr>
                <w:sz w:val="20"/>
                <w:szCs w:val="20"/>
              </w:rPr>
            </w:pPr>
            <w:r w:rsidRPr="00672714">
              <w:rPr>
                <w:sz w:val="20"/>
                <w:szCs w:val="20"/>
              </w:rPr>
              <w:t>0</w:t>
            </w:r>
          </w:p>
        </w:tc>
        <w:tc>
          <w:tcPr>
            <w:tcW w:w="275" w:type="pct"/>
          </w:tcPr>
          <w:p w14:paraId="71837276" w14:textId="77777777" w:rsidR="00247AD2" w:rsidRPr="00672714" w:rsidRDefault="00247AD2" w:rsidP="00672714">
            <w:pPr>
              <w:pStyle w:val="BodyText"/>
              <w:rPr>
                <w:sz w:val="20"/>
                <w:szCs w:val="20"/>
              </w:rPr>
            </w:pPr>
            <w:r w:rsidRPr="00672714">
              <w:rPr>
                <w:sz w:val="20"/>
                <w:szCs w:val="20"/>
              </w:rPr>
              <w:t>0</w:t>
            </w:r>
          </w:p>
        </w:tc>
        <w:tc>
          <w:tcPr>
            <w:tcW w:w="275" w:type="pct"/>
          </w:tcPr>
          <w:p w14:paraId="5ACB1F36" w14:textId="77777777" w:rsidR="00247AD2" w:rsidRPr="00672714" w:rsidRDefault="00247AD2" w:rsidP="00672714">
            <w:pPr>
              <w:pStyle w:val="BodyText"/>
              <w:rPr>
                <w:sz w:val="20"/>
                <w:szCs w:val="20"/>
              </w:rPr>
            </w:pPr>
            <w:r w:rsidRPr="00672714">
              <w:rPr>
                <w:sz w:val="20"/>
                <w:szCs w:val="20"/>
              </w:rPr>
              <w:t>0</w:t>
            </w:r>
          </w:p>
        </w:tc>
        <w:tc>
          <w:tcPr>
            <w:tcW w:w="275" w:type="pct"/>
          </w:tcPr>
          <w:p w14:paraId="3D794EAE" w14:textId="77777777" w:rsidR="00247AD2" w:rsidRPr="00672714" w:rsidRDefault="00247AD2" w:rsidP="00672714">
            <w:pPr>
              <w:pStyle w:val="BodyText"/>
              <w:rPr>
                <w:sz w:val="20"/>
                <w:szCs w:val="20"/>
              </w:rPr>
            </w:pPr>
            <w:r w:rsidRPr="00672714">
              <w:rPr>
                <w:sz w:val="20"/>
                <w:szCs w:val="20"/>
              </w:rPr>
              <w:t>0</w:t>
            </w:r>
          </w:p>
        </w:tc>
        <w:tc>
          <w:tcPr>
            <w:tcW w:w="275" w:type="pct"/>
          </w:tcPr>
          <w:p w14:paraId="71CC50E9" w14:textId="77777777" w:rsidR="00247AD2" w:rsidRPr="00672714" w:rsidRDefault="00247AD2" w:rsidP="00672714">
            <w:pPr>
              <w:pStyle w:val="BodyText"/>
              <w:rPr>
                <w:sz w:val="20"/>
                <w:szCs w:val="20"/>
              </w:rPr>
            </w:pPr>
            <w:r w:rsidRPr="00672714">
              <w:rPr>
                <w:sz w:val="20"/>
                <w:szCs w:val="20"/>
              </w:rPr>
              <w:t>0</w:t>
            </w:r>
          </w:p>
        </w:tc>
        <w:tc>
          <w:tcPr>
            <w:tcW w:w="275" w:type="pct"/>
          </w:tcPr>
          <w:p w14:paraId="4648E378" w14:textId="77777777" w:rsidR="00247AD2" w:rsidRPr="00672714" w:rsidRDefault="00247AD2" w:rsidP="00672714">
            <w:pPr>
              <w:pStyle w:val="BodyText"/>
              <w:rPr>
                <w:sz w:val="20"/>
                <w:szCs w:val="20"/>
              </w:rPr>
            </w:pPr>
            <w:r w:rsidRPr="00672714">
              <w:rPr>
                <w:sz w:val="20"/>
                <w:szCs w:val="20"/>
              </w:rPr>
              <w:t>0</w:t>
            </w:r>
          </w:p>
        </w:tc>
        <w:tc>
          <w:tcPr>
            <w:tcW w:w="288" w:type="pct"/>
          </w:tcPr>
          <w:p w14:paraId="754B50ED" w14:textId="77777777" w:rsidR="00247AD2" w:rsidRPr="00672714" w:rsidRDefault="00247AD2" w:rsidP="00672714">
            <w:pPr>
              <w:pStyle w:val="BodyText"/>
              <w:rPr>
                <w:sz w:val="20"/>
                <w:szCs w:val="20"/>
              </w:rPr>
            </w:pPr>
            <w:r w:rsidRPr="00672714">
              <w:rPr>
                <w:rStyle w:val="01bodybold"/>
                <w:sz w:val="20"/>
                <w:szCs w:val="20"/>
              </w:rPr>
              <w:t xml:space="preserve">60 </w:t>
            </w:r>
          </w:p>
        </w:tc>
      </w:tr>
      <w:tr w:rsidR="00247AD2" w:rsidRPr="00672714" w14:paraId="45A5F12A" w14:textId="77777777" w:rsidTr="006A0585">
        <w:trPr>
          <w:trHeight w:val="396"/>
        </w:trPr>
        <w:tc>
          <w:tcPr>
            <w:tcW w:w="475" w:type="pct"/>
          </w:tcPr>
          <w:p w14:paraId="0FB3549E" w14:textId="77777777" w:rsidR="00247AD2" w:rsidRPr="00672714" w:rsidRDefault="00247AD2" w:rsidP="00672714">
            <w:pPr>
              <w:pStyle w:val="BodyText"/>
              <w:rPr>
                <w:sz w:val="20"/>
                <w:szCs w:val="20"/>
              </w:rPr>
            </w:pPr>
            <w:r w:rsidRPr="00672714">
              <w:rPr>
                <w:sz w:val="20"/>
                <w:szCs w:val="20"/>
              </w:rPr>
              <w:t>SA</w:t>
            </w:r>
          </w:p>
        </w:tc>
        <w:tc>
          <w:tcPr>
            <w:tcW w:w="288" w:type="pct"/>
          </w:tcPr>
          <w:p w14:paraId="6DC1FDAC" w14:textId="77777777" w:rsidR="00247AD2" w:rsidRPr="00672714" w:rsidRDefault="00247AD2" w:rsidP="00672714">
            <w:pPr>
              <w:pStyle w:val="BodyText"/>
              <w:rPr>
                <w:sz w:val="20"/>
                <w:szCs w:val="20"/>
              </w:rPr>
            </w:pPr>
            <w:r w:rsidRPr="00672714">
              <w:rPr>
                <w:sz w:val="20"/>
                <w:szCs w:val="20"/>
              </w:rPr>
              <w:t>2</w:t>
            </w:r>
          </w:p>
        </w:tc>
        <w:tc>
          <w:tcPr>
            <w:tcW w:w="288" w:type="pct"/>
          </w:tcPr>
          <w:p w14:paraId="462DAC3D" w14:textId="77777777" w:rsidR="00247AD2" w:rsidRPr="00672714" w:rsidRDefault="00247AD2" w:rsidP="00672714">
            <w:pPr>
              <w:pStyle w:val="BodyText"/>
              <w:rPr>
                <w:sz w:val="20"/>
                <w:szCs w:val="20"/>
              </w:rPr>
            </w:pPr>
            <w:r w:rsidRPr="00672714">
              <w:rPr>
                <w:sz w:val="20"/>
                <w:szCs w:val="20"/>
              </w:rPr>
              <w:t>11</w:t>
            </w:r>
          </w:p>
        </w:tc>
        <w:tc>
          <w:tcPr>
            <w:tcW w:w="288" w:type="pct"/>
          </w:tcPr>
          <w:p w14:paraId="61358AA2" w14:textId="77777777" w:rsidR="00247AD2" w:rsidRPr="00672714" w:rsidRDefault="00247AD2" w:rsidP="00672714">
            <w:pPr>
              <w:pStyle w:val="BodyText"/>
              <w:rPr>
                <w:sz w:val="20"/>
                <w:szCs w:val="20"/>
              </w:rPr>
            </w:pPr>
            <w:r w:rsidRPr="00672714">
              <w:rPr>
                <w:sz w:val="20"/>
                <w:szCs w:val="20"/>
              </w:rPr>
              <w:t>13</w:t>
            </w:r>
          </w:p>
        </w:tc>
        <w:tc>
          <w:tcPr>
            <w:tcW w:w="288" w:type="pct"/>
          </w:tcPr>
          <w:p w14:paraId="5E1446F6" w14:textId="77777777" w:rsidR="00247AD2" w:rsidRPr="00672714" w:rsidRDefault="00247AD2" w:rsidP="00672714">
            <w:pPr>
              <w:pStyle w:val="BodyText"/>
              <w:rPr>
                <w:sz w:val="20"/>
                <w:szCs w:val="20"/>
              </w:rPr>
            </w:pPr>
            <w:r w:rsidRPr="00672714">
              <w:rPr>
                <w:sz w:val="20"/>
                <w:szCs w:val="20"/>
              </w:rPr>
              <w:t>4</w:t>
            </w:r>
          </w:p>
        </w:tc>
        <w:tc>
          <w:tcPr>
            <w:tcW w:w="288" w:type="pct"/>
          </w:tcPr>
          <w:p w14:paraId="4AF32A9A" w14:textId="77777777" w:rsidR="00247AD2" w:rsidRPr="00672714" w:rsidRDefault="00247AD2" w:rsidP="00672714">
            <w:pPr>
              <w:pStyle w:val="BodyText"/>
              <w:rPr>
                <w:sz w:val="20"/>
                <w:szCs w:val="20"/>
              </w:rPr>
            </w:pPr>
            <w:r w:rsidRPr="00672714">
              <w:rPr>
                <w:sz w:val="20"/>
                <w:szCs w:val="20"/>
              </w:rPr>
              <w:t>16</w:t>
            </w:r>
          </w:p>
        </w:tc>
        <w:tc>
          <w:tcPr>
            <w:tcW w:w="288" w:type="pct"/>
          </w:tcPr>
          <w:p w14:paraId="6DB62A9D" w14:textId="77777777" w:rsidR="00247AD2" w:rsidRPr="00672714" w:rsidRDefault="00247AD2" w:rsidP="00672714">
            <w:pPr>
              <w:pStyle w:val="BodyText"/>
              <w:rPr>
                <w:sz w:val="20"/>
                <w:szCs w:val="20"/>
              </w:rPr>
            </w:pPr>
            <w:r w:rsidRPr="00672714">
              <w:rPr>
                <w:sz w:val="20"/>
                <w:szCs w:val="20"/>
              </w:rPr>
              <w:t>20</w:t>
            </w:r>
          </w:p>
        </w:tc>
        <w:tc>
          <w:tcPr>
            <w:tcW w:w="288" w:type="pct"/>
          </w:tcPr>
          <w:p w14:paraId="008DAC9E" w14:textId="77777777" w:rsidR="00247AD2" w:rsidRPr="00672714" w:rsidRDefault="00247AD2" w:rsidP="00672714">
            <w:pPr>
              <w:pStyle w:val="BodyText"/>
              <w:rPr>
                <w:sz w:val="20"/>
                <w:szCs w:val="20"/>
              </w:rPr>
            </w:pPr>
            <w:r w:rsidRPr="00672714">
              <w:rPr>
                <w:sz w:val="20"/>
                <w:szCs w:val="20"/>
              </w:rPr>
              <w:t>0</w:t>
            </w:r>
          </w:p>
        </w:tc>
        <w:tc>
          <w:tcPr>
            <w:tcW w:w="288" w:type="pct"/>
          </w:tcPr>
          <w:p w14:paraId="5623EC4F" w14:textId="77777777" w:rsidR="00247AD2" w:rsidRPr="00672714" w:rsidRDefault="00247AD2" w:rsidP="00672714">
            <w:pPr>
              <w:pStyle w:val="BodyText"/>
              <w:rPr>
                <w:sz w:val="20"/>
                <w:szCs w:val="20"/>
              </w:rPr>
            </w:pPr>
            <w:r w:rsidRPr="00672714">
              <w:rPr>
                <w:sz w:val="20"/>
                <w:szCs w:val="20"/>
              </w:rPr>
              <w:t>0</w:t>
            </w:r>
          </w:p>
        </w:tc>
        <w:tc>
          <w:tcPr>
            <w:tcW w:w="288" w:type="pct"/>
          </w:tcPr>
          <w:p w14:paraId="3B2D7468" w14:textId="77777777" w:rsidR="00247AD2" w:rsidRPr="00672714" w:rsidRDefault="00247AD2" w:rsidP="00672714">
            <w:pPr>
              <w:pStyle w:val="BodyText"/>
              <w:rPr>
                <w:sz w:val="20"/>
                <w:szCs w:val="20"/>
              </w:rPr>
            </w:pPr>
            <w:r w:rsidRPr="00672714">
              <w:rPr>
                <w:sz w:val="20"/>
                <w:szCs w:val="20"/>
              </w:rPr>
              <w:t>0</w:t>
            </w:r>
          </w:p>
        </w:tc>
        <w:tc>
          <w:tcPr>
            <w:tcW w:w="275" w:type="pct"/>
          </w:tcPr>
          <w:p w14:paraId="59D799B0" w14:textId="77777777" w:rsidR="00247AD2" w:rsidRPr="00672714" w:rsidRDefault="00247AD2" w:rsidP="00672714">
            <w:pPr>
              <w:pStyle w:val="BodyText"/>
              <w:rPr>
                <w:sz w:val="20"/>
                <w:szCs w:val="20"/>
              </w:rPr>
            </w:pPr>
            <w:r w:rsidRPr="00672714">
              <w:rPr>
                <w:sz w:val="20"/>
                <w:szCs w:val="20"/>
              </w:rPr>
              <w:t>0</w:t>
            </w:r>
          </w:p>
        </w:tc>
        <w:tc>
          <w:tcPr>
            <w:tcW w:w="275" w:type="pct"/>
          </w:tcPr>
          <w:p w14:paraId="3F2FE1F5" w14:textId="77777777" w:rsidR="00247AD2" w:rsidRPr="00672714" w:rsidRDefault="00247AD2" w:rsidP="00672714">
            <w:pPr>
              <w:pStyle w:val="BodyText"/>
              <w:rPr>
                <w:sz w:val="20"/>
                <w:szCs w:val="20"/>
              </w:rPr>
            </w:pPr>
            <w:r w:rsidRPr="00672714">
              <w:rPr>
                <w:sz w:val="20"/>
                <w:szCs w:val="20"/>
              </w:rPr>
              <w:t>0</w:t>
            </w:r>
          </w:p>
        </w:tc>
        <w:tc>
          <w:tcPr>
            <w:tcW w:w="275" w:type="pct"/>
          </w:tcPr>
          <w:p w14:paraId="2AFC58DC" w14:textId="77777777" w:rsidR="00247AD2" w:rsidRPr="00672714" w:rsidRDefault="00247AD2" w:rsidP="00672714">
            <w:pPr>
              <w:pStyle w:val="BodyText"/>
              <w:rPr>
                <w:sz w:val="20"/>
                <w:szCs w:val="20"/>
              </w:rPr>
            </w:pPr>
            <w:r w:rsidRPr="00672714">
              <w:rPr>
                <w:sz w:val="20"/>
                <w:szCs w:val="20"/>
              </w:rPr>
              <w:t>0</w:t>
            </w:r>
          </w:p>
        </w:tc>
        <w:tc>
          <w:tcPr>
            <w:tcW w:w="275" w:type="pct"/>
          </w:tcPr>
          <w:p w14:paraId="2DE9B622" w14:textId="77777777" w:rsidR="00247AD2" w:rsidRPr="00672714" w:rsidRDefault="00247AD2" w:rsidP="00672714">
            <w:pPr>
              <w:pStyle w:val="BodyText"/>
              <w:rPr>
                <w:sz w:val="20"/>
                <w:szCs w:val="20"/>
              </w:rPr>
            </w:pPr>
            <w:r w:rsidRPr="00672714">
              <w:rPr>
                <w:sz w:val="20"/>
                <w:szCs w:val="20"/>
              </w:rPr>
              <w:t>0</w:t>
            </w:r>
          </w:p>
        </w:tc>
        <w:tc>
          <w:tcPr>
            <w:tcW w:w="275" w:type="pct"/>
          </w:tcPr>
          <w:p w14:paraId="79FCF164" w14:textId="77777777" w:rsidR="00247AD2" w:rsidRPr="00672714" w:rsidRDefault="00247AD2" w:rsidP="00672714">
            <w:pPr>
              <w:pStyle w:val="BodyText"/>
              <w:rPr>
                <w:sz w:val="20"/>
                <w:szCs w:val="20"/>
              </w:rPr>
            </w:pPr>
            <w:r w:rsidRPr="00672714">
              <w:rPr>
                <w:sz w:val="20"/>
                <w:szCs w:val="20"/>
              </w:rPr>
              <w:t>0</w:t>
            </w:r>
          </w:p>
        </w:tc>
        <w:tc>
          <w:tcPr>
            <w:tcW w:w="275" w:type="pct"/>
          </w:tcPr>
          <w:p w14:paraId="77C58E9F" w14:textId="77777777" w:rsidR="00247AD2" w:rsidRPr="00672714" w:rsidRDefault="00247AD2" w:rsidP="00672714">
            <w:pPr>
              <w:pStyle w:val="BodyText"/>
              <w:rPr>
                <w:sz w:val="20"/>
                <w:szCs w:val="20"/>
              </w:rPr>
            </w:pPr>
            <w:r w:rsidRPr="00672714">
              <w:rPr>
                <w:sz w:val="20"/>
                <w:szCs w:val="20"/>
              </w:rPr>
              <w:t>0</w:t>
            </w:r>
          </w:p>
        </w:tc>
        <w:tc>
          <w:tcPr>
            <w:tcW w:w="288" w:type="pct"/>
          </w:tcPr>
          <w:p w14:paraId="70FD6F5B" w14:textId="77777777" w:rsidR="00247AD2" w:rsidRPr="00672714" w:rsidRDefault="00247AD2" w:rsidP="00672714">
            <w:pPr>
              <w:pStyle w:val="BodyText"/>
              <w:rPr>
                <w:sz w:val="20"/>
                <w:szCs w:val="20"/>
              </w:rPr>
            </w:pPr>
            <w:r w:rsidRPr="00672714">
              <w:rPr>
                <w:rStyle w:val="01bodybold"/>
                <w:sz w:val="20"/>
                <w:szCs w:val="20"/>
              </w:rPr>
              <w:t xml:space="preserve">33 </w:t>
            </w:r>
          </w:p>
        </w:tc>
      </w:tr>
      <w:tr w:rsidR="00247AD2" w:rsidRPr="00672714" w14:paraId="30556A63" w14:textId="77777777" w:rsidTr="006A0585">
        <w:trPr>
          <w:trHeight w:val="396"/>
        </w:trPr>
        <w:tc>
          <w:tcPr>
            <w:tcW w:w="475" w:type="pct"/>
          </w:tcPr>
          <w:p w14:paraId="0A21C2E2" w14:textId="77777777" w:rsidR="00247AD2" w:rsidRPr="00672714" w:rsidRDefault="00247AD2" w:rsidP="00672714">
            <w:pPr>
              <w:pStyle w:val="BodyText"/>
              <w:rPr>
                <w:sz w:val="20"/>
                <w:szCs w:val="20"/>
              </w:rPr>
            </w:pPr>
            <w:r w:rsidRPr="00672714">
              <w:rPr>
                <w:sz w:val="20"/>
                <w:szCs w:val="20"/>
              </w:rPr>
              <w:t>Tas</w:t>
            </w:r>
          </w:p>
        </w:tc>
        <w:tc>
          <w:tcPr>
            <w:tcW w:w="288" w:type="pct"/>
          </w:tcPr>
          <w:p w14:paraId="4C3E1DC9" w14:textId="77777777" w:rsidR="00247AD2" w:rsidRPr="00672714" w:rsidRDefault="00247AD2" w:rsidP="00672714">
            <w:pPr>
              <w:pStyle w:val="BodyText"/>
              <w:rPr>
                <w:sz w:val="20"/>
                <w:szCs w:val="20"/>
              </w:rPr>
            </w:pPr>
            <w:r w:rsidRPr="00672714">
              <w:rPr>
                <w:sz w:val="20"/>
                <w:szCs w:val="20"/>
              </w:rPr>
              <w:t>4</w:t>
            </w:r>
          </w:p>
        </w:tc>
        <w:tc>
          <w:tcPr>
            <w:tcW w:w="288" w:type="pct"/>
          </w:tcPr>
          <w:p w14:paraId="06097F04" w14:textId="77777777" w:rsidR="00247AD2" w:rsidRPr="00672714" w:rsidRDefault="00247AD2" w:rsidP="00672714">
            <w:pPr>
              <w:pStyle w:val="BodyText"/>
              <w:rPr>
                <w:sz w:val="20"/>
                <w:szCs w:val="20"/>
              </w:rPr>
            </w:pPr>
            <w:r w:rsidRPr="00672714">
              <w:rPr>
                <w:sz w:val="20"/>
                <w:szCs w:val="20"/>
              </w:rPr>
              <w:t>3</w:t>
            </w:r>
          </w:p>
        </w:tc>
        <w:tc>
          <w:tcPr>
            <w:tcW w:w="288" w:type="pct"/>
          </w:tcPr>
          <w:p w14:paraId="355A6B82" w14:textId="77777777" w:rsidR="00247AD2" w:rsidRPr="00672714" w:rsidRDefault="00247AD2" w:rsidP="00672714">
            <w:pPr>
              <w:pStyle w:val="BodyText"/>
              <w:rPr>
                <w:sz w:val="20"/>
                <w:szCs w:val="20"/>
              </w:rPr>
            </w:pPr>
            <w:r w:rsidRPr="00672714">
              <w:rPr>
                <w:sz w:val="20"/>
                <w:szCs w:val="20"/>
              </w:rPr>
              <w:t>7</w:t>
            </w:r>
          </w:p>
        </w:tc>
        <w:tc>
          <w:tcPr>
            <w:tcW w:w="288" w:type="pct"/>
          </w:tcPr>
          <w:p w14:paraId="68DB36C3" w14:textId="77777777" w:rsidR="00247AD2" w:rsidRPr="00672714" w:rsidRDefault="00247AD2" w:rsidP="00672714">
            <w:pPr>
              <w:pStyle w:val="BodyText"/>
              <w:rPr>
                <w:sz w:val="20"/>
                <w:szCs w:val="20"/>
              </w:rPr>
            </w:pPr>
            <w:r w:rsidRPr="00672714">
              <w:rPr>
                <w:sz w:val="20"/>
                <w:szCs w:val="20"/>
              </w:rPr>
              <w:t>3</w:t>
            </w:r>
          </w:p>
        </w:tc>
        <w:tc>
          <w:tcPr>
            <w:tcW w:w="288" w:type="pct"/>
          </w:tcPr>
          <w:p w14:paraId="3CD0BD31" w14:textId="77777777" w:rsidR="00247AD2" w:rsidRPr="00672714" w:rsidRDefault="00247AD2" w:rsidP="00672714">
            <w:pPr>
              <w:pStyle w:val="BodyText"/>
              <w:rPr>
                <w:sz w:val="20"/>
                <w:szCs w:val="20"/>
              </w:rPr>
            </w:pPr>
            <w:r w:rsidRPr="00672714">
              <w:rPr>
                <w:sz w:val="20"/>
                <w:szCs w:val="20"/>
              </w:rPr>
              <w:t>3</w:t>
            </w:r>
          </w:p>
        </w:tc>
        <w:tc>
          <w:tcPr>
            <w:tcW w:w="288" w:type="pct"/>
          </w:tcPr>
          <w:p w14:paraId="2EF6DF49" w14:textId="77777777" w:rsidR="00247AD2" w:rsidRPr="00672714" w:rsidRDefault="00247AD2" w:rsidP="00672714">
            <w:pPr>
              <w:pStyle w:val="BodyText"/>
              <w:rPr>
                <w:sz w:val="20"/>
                <w:szCs w:val="20"/>
              </w:rPr>
            </w:pPr>
            <w:r w:rsidRPr="00672714">
              <w:rPr>
                <w:sz w:val="20"/>
                <w:szCs w:val="20"/>
              </w:rPr>
              <w:t>6</w:t>
            </w:r>
          </w:p>
        </w:tc>
        <w:tc>
          <w:tcPr>
            <w:tcW w:w="288" w:type="pct"/>
          </w:tcPr>
          <w:p w14:paraId="4FE0CF3B" w14:textId="77777777" w:rsidR="00247AD2" w:rsidRPr="00672714" w:rsidRDefault="00247AD2" w:rsidP="00672714">
            <w:pPr>
              <w:pStyle w:val="BodyText"/>
              <w:rPr>
                <w:sz w:val="20"/>
                <w:szCs w:val="20"/>
              </w:rPr>
            </w:pPr>
            <w:r w:rsidRPr="00672714">
              <w:rPr>
                <w:sz w:val="20"/>
                <w:szCs w:val="20"/>
              </w:rPr>
              <w:t>0</w:t>
            </w:r>
          </w:p>
        </w:tc>
        <w:tc>
          <w:tcPr>
            <w:tcW w:w="288" w:type="pct"/>
          </w:tcPr>
          <w:p w14:paraId="7E7AF0DB" w14:textId="77777777" w:rsidR="00247AD2" w:rsidRPr="00672714" w:rsidRDefault="00247AD2" w:rsidP="00672714">
            <w:pPr>
              <w:pStyle w:val="BodyText"/>
              <w:rPr>
                <w:sz w:val="20"/>
                <w:szCs w:val="20"/>
              </w:rPr>
            </w:pPr>
            <w:r w:rsidRPr="00672714">
              <w:rPr>
                <w:sz w:val="20"/>
                <w:szCs w:val="20"/>
              </w:rPr>
              <w:t>0</w:t>
            </w:r>
          </w:p>
        </w:tc>
        <w:tc>
          <w:tcPr>
            <w:tcW w:w="288" w:type="pct"/>
          </w:tcPr>
          <w:p w14:paraId="4D770D60" w14:textId="77777777" w:rsidR="00247AD2" w:rsidRPr="00672714" w:rsidRDefault="00247AD2" w:rsidP="00672714">
            <w:pPr>
              <w:pStyle w:val="BodyText"/>
              <w:rPr>
                <w:sz w:val="20"/>
                <w:szCs w:val="20"/>
              </w:rPr>
            </w:pPr>
            <w:r w:rsidRPr="00672714">
              <w:rPr>
                <w:sz w:val="20"/>
                <w:szCs w:val="20"/>
              </w:rPr>
              <w:t>0</w:t>
            </w:r>
          </w:p>
        </w:tc>
        <w:tc>
          <w:tcPr>
            <w:tcW w:w="275" w:type="pct"/>
          </w:tcPr>
          <w:p w14:paraId="6B48F39D" w14:textId="77777777" w:rsidR="00247AD2" w:rsidRPr="00672714" w:rsidRDefault="00247AD2" w:rsidP="00672714">
            <w:pPr>
              <w:pStyle w:val="BodyText"/>
              <w:rPr>
                <w:sz w:val="20"/>
                <w:szCs w:val="20"/>
              </w:rPr>
            </w:pPr>
            <w:r w:rsidRPr="00672714">
              <w:rPr>
                <w:sz w:val="20"/>
                <w:szCs w:val="20"/>
              </w:rPr>
              <w:t>0</w:t>
            </w:r>
          </w:p>
        </w:tc>
        <w:tc>
          <w:tcPr>
            <w:tcW w:w="275" w:type="pct"/>
          </w:tcPr>
          <w:p w14:paraId="68B6C2C5" w14:textId="77777777" w:rsidR="00247AD2" w:rsidRPr="00672714" w:rsidRDefault="00247AD2" w:rsidP="00672714">
            <w:pPr>
              <w:pStyle w:val="BodyText"/>
              <w:rPr>
                <w:sz w:val="20"/>
                <w:szCs w:val="20"/>
              </w:rPr>
            </w:pPr>
            <w:r w:rsidRPr="00672714">
              <w:rPr>
                <w:sz w:val="20"/>
                <w:szCs w:val="20"/>
              </w:rPr>
              <w:t>0</w:t>
            </w:r>
          </w:p>
        </w:tc>
        <w:tc>
          <w:tcPr>
            <w:tcW w:w="275" w:type="pct"/>
          </w:tcPr>
          <w:p w14:paraId="465AFFC5" w14:textId="77777777" w:rsidR="00247AD2" w:rsidRPr="00672714" w:rsidRDefault="00247AD2" w:rsidP="00672714">
            <w:pPr>
              <w:pStyle w:val="BodyText"/>
              <w:rPr>
                <w:sz w:val="20"/>
                <w:szCs w:val="20"/>
              </w:rPr>
            </w:pPr>
            <w:r w:rsidRPr="00672714">
              <w:rPr>
                <w:sz w:val="20"/>
                <w:szCs w:val="20"/>
              </w:rPr>
              <w:t>0</w:t>
            </w:r>
          </w:p>
        </w:tc>
        <w:tc>
          <w:tcPr>
            <w:tcW w:w="275" w:type="pct"/>
          </w:tcPr>
          <w:p w14:paraId="2C12FA3D" w14:textId="77777777" w:rsidR="00247AD2" w:rsidRPr="00672714" w:rsidRDefault="00247AD2" w:rsidP="00672714">
            <w:pPr>
              <w:pStyle w:val="BodyText"/>
              <w:rPr>
                <w:sz w:val="20"/>
                <w:szCs w:val="20"/>
              </w:rPr>
            </w:pPr>
            <w:r w:rsidRPr="00672714">
              <w:rPr>
                <w:sz w:val="20"/>
                <w:szCs w:val="20"/>
              </w:rPr>
              <w:t>0</w:t>
            </w:r>
          </w:p>
        </w:tc>
        <w:tc>
          <w:tcPr>
            <w:tcW w:w="275" w:type="pct"/>
          </w:tcPr>
          <w:p w14:paraId="6F16CF8C" w14:textId="77777777" w:rsidR="00247AD2" w:rsidRPr="00672714" w:rsidRDefault="00247AD2" w:rsidP="00672714">
            <w:pPr>
              <w:pStyle w:val="BodyText"/>
              <w:rPr>
                <w:sz w:val="20"/>
                <w:szCs w:val="20"/>
              </w:rPr>
            </w:pPr>
            <w:r w:rsidRPr="00672714">
              <w:rPr>
                <w:sz w:val="20"/>
                <w:szCs w:val="20"/>
              </w:rPr>
              <w:t>0</w:t>
            </w:r>
          </w:p>
        </w:tc>
        <w:tc>
          <w:tcPr>
            <w:tcW w:w="275" w:type="pct"/>
          </w:tcPr>
          <w:p w14:paraId="59252272" w14:textId="77777777" w:rsidR="00247AD2" w:rsidRPr="00672714" w:rsidRDefault="00247AD2" w:rsidP="00672714">
            <w:pPr>
              <w:pStyle w:val="BodyText"/>
              <w:rPr>
                <w:sz w:val="20"/>
                <w:szCs w:val="20"/>
              </w:rPr>
            </w:pPr>
            <w:r w:rsidRPr="00672714">
              <w:rPr>
                <w:sz w:val="20"/>
                <w:szCs w:val="20"/>
              </w:rPr>
              <w:t>0</w:t>
            </w:r>
          </w:p>
        </w:tc>
        <w:tc>
          <w:tcPr>
            <w:tcW w:w="288" w:type="pct"/>
          </w:tcPr>
          <w:p w14:paraId="00A76189" w14:textId="77777777" w:rsidR="00247AD2" w:rsidRPr="00672714" w:rsidRDefault="00247AD2" w:rsidP="00672714">
            <w:pPr>
              <w:pStyle w:val="BodyText"/>
              <w:rPr>
                <w:sz w:val="20"/>
                <w:szCs w:val="20"/>
              </w:rPr>
            </w:pPr>
            <w:r w:rsidRPr="00672714">
              <w:rPr>
                <w:rStyle w:val="01bodybold"/>
                <w:sz w:val="20"/>
                <w:szCs w:val="20"/>
              </w:rPr>
              <w:t xml:space="preserve">13 </w:t>
            </w:r>
          </w:p>
        </w:tc>
      </w:tr>
      <w:tr w:rsidR="00247AD2" w:rsidRPr="00672714" w14:paraId="789F6DD8" w14:textId="77777777" w:rsidTr="006A0585">
        <w:trPr>
          <w:trHeight w:val="396"/>
        </w:trPr>
        <w:tc>
          <w:tcPr>
            <w:tcW w:w="475" w:type="pct"/>
          </w:tcPr>
          <w:p w14:paraId="57DF127C" w14:textId="77777777" w:rsidR="00247AD2" w:rsidRPr="00672714" w:rsidRDefault="00247AD2" w:rsidP="00672714">
            <w:pPr>
              <w:pStyle w:val="BodyText"/>
              <w:rPr>
                <w:sz w:val="20"/>
                <w:szCs w:val="20"/>
              </w:rPr>
            </w:pPr>
            <w:r w:rsidRPr="00672714">
              <w:rPr>
                <w:sz w:val="20"/>
                <w:szCs w:val="20"/>
              </w:rPr>
              <w:t>Vic</w:t>
            </w:r>
          </w:p>
        </w:tc>
        <w:tc>
          <w:tcPr>
            <w:tcW w:w="288" w:type="pct"/>
          </w:tcPr>
          <w:p w14:paraId="23D4FF12" w14:textId="77777777" w:rsidR="00247AD2" w:rsidRPr="00672714" w:rsidRDefault="00247AD2" w:rsidP="00672714">
            <w:pPr>
              <w:pStyle w:val="BodyText"/>
              <w:rPr>
                <w:sz w:val="20"/>
                <w:szCs w:val="20"/>
              </w:rPr>
            </w:pPr>
            <w:r w:rsidRPr="00672714">
              <w:rPr>
                <w:sz w:val="20"/>
                <w:szCs w:val="20"/>
              </w:rPr>
              <w:t>5</w:t>
            </w:r>
          </w:p>
        </w:tc>
        <w:tc>
          <w:tcPr>
            <w:tcW w:w="288" w:type="pct"/>
          </w:tcPr>
          <w:p w14:paraId="3D4A136E" w14:textId="77777777" w:rsidR="00247AD2" w:rsidRPr="00672714" w:rsidRDefault="00247AD2" w:rsidP="00672714">
            <w:pPr>
              <w:pStyle w:val="BodyText"/>
              <w:rPr>
                <w:sz w:val="20"/>
                <w:szCs w:val="20"/>
              </w:rPr>
            </w:pPr>
            <w:r w:rsidRPr="00672714">
              <w:rPr>
                <w:sz w:val="20"/>
                <w:szCs w:val="20"/>
              </w:rPr>
              <w:t>38</w:t>
            </w:r>
          </w:p>
        </w:tc>
        <w:tc>
          <w:tcPr>
            <w:tcW w:w="288" w:type="pct"/>
          </w:tcPr>
          <w:p w14:paraId="5DD83E26" w14:textId="77777777" w:rsidR="00247AD2" w:rsidRPr="00672714" w:rsidRDefault="00247AD2" w:rsidP="00672714">
            <w:pPr>
              <w:pStyle w:val="BodyText"/>
              <w:rPr>
                <w:sz w:val="20"/>
                <w:szCs w:val="20"/>
              </w:rPr>
            </w:pPr>
            <w:r w:rsidRPr="00672714">
              <w:rPr>
                <w:sz w:val="20"/>
                <w:szCs w:val="20"/>
              </w:rPr>
              <w:t>43</w:t>
            </w:r>
          </w:p>
        </w:tc>
        <w:tc>
          <w:tcPr>
            <w:tcW w:w="288" w:type="pct"/>
          </w:tcPr>
          <w:p w14:paraId="4BD513D1" w14:textId="77777777" w:rsidR="00247AD2" w:rsidRPr="00672714" w:rsidRDefault="00247AD2" w:rsidP="00672714">
            <w:pPr>
              <w:pStyle w:val="BodyText"/>
              <w:rPr>
                <w:sz w:val="20"/>
                <w:szCs w:val="20"/>
              </w:rPr>
            </w:pPr>
            <w:r w:rsidRPr="00672714">
              <w:rPr>
                <w:sz w:val="20"/>
                <w:szCs w:val="20"/>
              </w:rPr>
              <w:t>10</w:t>
            </w:r>
          </w:p>
        </w:tc>
        <w:tc>
          <w:tcPr>
            <w:tcW w:w="288" w:type="pct"/>
          </w:tcPr>
          <w:p w14:paraId="486614DD" w14:textId="77777777" w:rsidR="00247AD2" w:rsidRPr="00672714" w:rsidRDefault="00247AD2" w:rsidP="00672714">
            <w:pPr>
              <w:pStyle w:val="BodyText"/>
              <w:rPr>
                <w:sz w:val="20"/>
                <w:szCs w:val="20"/>
              </w:rPr>
            </w:pPr>
            <w:r w:rsidRPr="00672714">
              <w:rPr>
                <w:sz w:val="20"/>
                <w:szCs w:val="20"/>
              </w:rPr>
              <w:t>80</w:t>
            </w:r>
          </w:p>
        </w:tc>
        <w:tc>
          <w:tcPr>
            <w:tcW w:w="288" w:type="pct"/>
          </w:tcPr>
          <w:p w14:paraId="0F3B3742" w14:textId="77777777" w:rsidR="00247AD2" w:rsidRPr="00672714" w:rsidRDefault="00247AD2" w:rsidP="00672714">
            <w:pPr>
              <w:pStyle w:val="BodyText"/>
              <w:rPr>
                <w:sz w:val="20"/>
                <w:szCs w:val="20"/>
              </w:rPr>
            </w:pPr>
            <w:r w:rsidRPr="00672714">
              <w:rPr>
                <w:sz w:val="20"/>
                <w:szCs w:val="20"/>
              </w:rPr>
              <w:t>90</w:t>
            </w:r>
          </w:p>
        </w:tc>
        <w:tc>
          <w:tcPr>
            <w:tcW w:w="288" w:type="pct"/>
          </w:tcPr>
          <w:p w14:paraId="6DC391B3" w14:textId="77777777" w:rsidR="00247AD2" w:rsidRPr="00672714" w:rsidRDefault="00247AD2" w:rsidP="00672714">
            <w:pPr>
              <w:pStyle w:val="BodyText"/>
              <w:rPr>
                <w:sz w:val="20"/>
                <w:szCs w:val="20"/>
              </w:rPr>
            </w:pPr>
            <w:r w:rsidRPr="00672714">
              <w:rPr>
                <w:sz w:val="20"/>
                <w:szCs w:val="20"/>
              </w:rPr>
              <w:t>1</w:t>
            </w:r>
          </w:p>
        </w:tc>
        <w:tc>
          <w:tcPr>
            <w:tcW w:w="288" w:type="pct"/>
          </w:tcPr>
          <w:p w14:paraId="02B97F1C" w14:textId="77777777" w:rsidR="00247AD2" w:rsidRPr="00672714" w:rsidRDefault="00247AD2" w:rsidP="00672714">
            <w:pPr>
              <w:pStyle w:val="BodyText"/>
              <w:rPr>
                <w:sz w:val="20"/>
                <w:szCs w:val="20"/>
              </w:rPr>
            </w:pPr>
            <w:r w:rsidRPr="00672714">
              <w:rPr>
                <w:sz w:val="20"/>
                <w:szCs w:val="20"/>
              </w:rPr>
              <w:t>0</w:t>
            </w:r>
          </w:p>
        </w:tc>
        <w:tc>
          <w:tcPr>
            <w:tcW w:w="288" w:type="pct"/>
          </w:tcPr>
          <w:p w14:paraId="214E0B0C" w14:textId="77777777" w:rsidR="00247AD2" w:rsidRPr="00672714" w:rsidRDefault="00247AD2" w:rsidP="00672714">
            <w:pPr>
              <w:pStyle w:val="BodyText"/>
              <w:rPr>
                <w:sz w:val="20"/>
                <w:szCs w:val="20"/>
              </w:rPr>
            </w:pPr>
            <w:r w:rsidRPr="00672714">
              <w:rPr>
                <w:sz w:val="20"/>
                <w:szCs w:val="20"/>
              </w:rPr>
              <w:t>1</w:t>
            </w:r>
          </w:p>
        </w:tc>
        <w:tc>
          <w:tcPr>
            <w:tcW w:w="275" w:type="pct"/>
          </w:tcPr>
          <w:p w14:paraId="4A0A95D7" w14:textId="77777777" w:rsidR="00247AD2" w:rsidRPr="00672714" w:rsidRDefault="00247AD2" w:rsidP="00672714">
            <w:pPr>
              <w:pStyle w:val="BodyText"/>
              <w:rPr>
                <w:sz w:val="20"/>
                <w:szCs w:val="20"/>
              </w:rPr>
            </w:pPr>
            <w:r w:rsidRPr="00672714">
              <w:rPr>
                <w:sz w:val="20"/>
                <w:szCs w:val="20"/>
              </w:rPr>
              <w:t>0</w:t>
            </w:r>
          </w:p>
        </w:tc>
        <w:tc>
          <w:tcPr>
            <w:tcW w:w="275" w:type="pct"/>
          </w:tcPr>
          <w:p w14:paraId="132338B8" w14:textId="77777777" w:rsidR="00247AD2" w:rsidRPr="00672714" w:rsidRDefault="00247AD2" w:rsidP="00672714">
            <w:pPr>
              <w:pStyle w:val="BodyText"/>
              <w:rPr>
                <w:sz w:val="20"/>
                <w:szCs w:val="20"/>
              </w:rPr>
            </w:pPr>
            <w:r w:rsidRPr="00672714">
              <w:rPr>
                <w:sz w:val="20"/>
                <w:szCs w:val="20"/>
              </w:rPr>
              <w:t>0</w:t>
            </w:r>
          </w:p>
        </w:tc>
        <w:tc>
          <w:tcPr>
            <w:tcW w:w="275" w:type="pct"/>
          </w:tcPr>
          <w:p w14:paraId="494395A1" w14:textId="77777777" w:rsidR="00247AD2" w:rsidRPr="00672714" w:rsidRDefault="00247AD2" w:rsidP="00672714">
            <w:pPr>
              <w:pStyle w:val="BodyText"/>
              <w:rPr>
                <w:sz w:val="20"/>
                <w:szCs w:val="20"/>
              </w:rPr>
            </w:pPr>
            <w:r w:rsidRPr="00672714">
              <w:rPr>
                <w:sz w:val="20"/>
                <w:szCs w:val="20"/>
              </w:rPr>
              <w:t>0</w:t>
            </w:r>
          </w:p>
        </w:tc>
        <w:tc>
          <w:tcPr>
            <w:tcW w:w="275" w:type="pct"/>
          </w:tcPr>
          <w:p w14:paraId="40D01077" w14:textId="77777777" w:rsidR="00247AD2" w:rsidRPr="00672714" w:rsidRDefault="00247AD2" w:rsidP="00672714">
            <w:pPr>
              <w:pStyle w:val="BodyText"/>
              <w:rPr>
                <w:sz w:val="20"/>
                <w:szCs w:val="20"/>
              </w:rPr>
            </w:pPr>
            <w:r w:rsidRPr="00672714">
              <w:rPr>
                <w:sz w:val="20"/>
                <w:szCs w:val="20"/>
              </w:rPr>
              <w:t>0</w:t>
            </w:r>
          </w:p>
        </w:tc>
        <w:tc>
          <w:tcPr>
            <w:tcW w:w="275" w:type="pct"/>
          </w:tcPr>
          <w:p w14:paraId="091469F2" w14:textId="77777777" w:rsidR="00247AD2" w:rsidRPr="00672714" w:rsidRDefault="00247AD2" w:rsidP="00672714">
            <w:pPr>
              <w:pStyle w:val="BodyText"/>
              <w:rPr>
                <w:sz w:val="20"/>
                <w:szCs w:val="20"/>
              </w:rPr>
            </w:pPr>
            <w:r w:rsidRPr="00672714">
              <w:rPr>
                <w:sz w:val="20"/>
                <w:szCs w:val="20"/>
              </w:rPr>
              <w:t>0</w:t>
            </w:r>
          </w:p>
        </w:tc>
        <w:tc>
          <w:tcPr>
            <w:tcW w:w="275" w:type="pct"/>
          </w:tcPr>
          <w:p w14:paraId="6F310BAE" w14:textId="77777777" w:rsidR="00247AD2" w:rsidRPr="00672714" w:rsidRDefault="00247AD2" w:rsidP="00672714">
            <w:pPr>
              <w:pStyle w:val="BodyText"/>
              <w:rPr>
                <w:sz w:val="20"/>
                <w:szCs w:val="20"/>
              </w:rPr>
            </w:pPr>
            <w:r w:rsidRPr="00672714">
              <w:rPr>
                <w:sz w:val="20"/>
                <w:szCs w:val="20"/>
              </w:rPr>
              <w:t>0</w:t>
            </w:r>
          </w:p>
        </w:tc>
        <w:tc>
          <w:tcPr>
            <w:tcW w:w="288" w:type="pct"/>
          </w:tcPr>
          <w:p w14:paraId="4799F6D7" w14:textId="77777777" w:rsidR="00247AD2" w:rsidRPr="00672714" w:rsidRDefault="00247AD2" w:rsidP="00672714">
            <w:pPr>
              <w:pStyle w:val="BodyText"/>
              <w:rPr>
                <w:sz w:val="20"/>
                <w:szCs w:val="20"/>
              </w:rPr>
            </w:pPr>
            <w:r w:rsidRPr="00672714">
              <w:rPr>
                <w:rStyle w:val="01bodybold"/>
                <w:sz w:val="20"/>
                <w:szCs w:val="20"/>
              </w:rPr>
              <w:t xml:space="preserve">134 </w:t>
            </w:r>
          </w:p>
        </w:tc>
      </w:tr>
      <w:tr w:rsidR="00247AD2" w:rsidRPr="00672714" w14:paraId="0CD98672" w14:textId="77777777" w:rsidTr="006A0585">
        <w:trPr>
          <w:trHeight w:val="396"/>
        </w:trPr>
        <w:tc>
          <w:tcPr>
            <w:tcW w:w="475" w:type="pct"/>
          </w:tcPr>
          <w:p w14:paraId="1745EC36" w14:textId="77777777" w:rsidR="00247AD2" w:rsidRPr="00672714" w:rsidRDefault="00247AD2" w:rsidP="00672714">
            <w:pPr>
              <w:pStyle w:val="BodyText"/>
              <w:rPr>
                <w:sz w:val="20"/>
                <w:szCs w:val="20"/>
              </w:rPr>
            </w:pPr>
            <w:r w:rsidRPr="00672714">
              <w:rPr>
                <w:sz w:val="20"/>
                <w:szCs w:val="20"/>
              </w:rPr>
              <w:t>WA</w:t>
            </w:r>
          </w:p>
        </w:tc>
        <w:tc>
          <w:tcPr>
            <w:tcW w:w="288" w:type="pct"/>
          </w:tcPr>
          <w:p w14:paraId="70838717" w14:textId="77777777" w:rsidR="00247AD2" w:rsidRPr="00672714" w:rsidRDefault="00247AD2" w:rsidP="00672714">
            <w:pPr>
              <w:pStyle w:val="BodyText"/>
              <w:rPr>
                <w:sz w:val="20"/>
                <w:szCs w:val="20"/>
              </w:rPr>
            </w:pPr>
            <w:r w:rsidRPr="00672714">
              <w:rPr>
                <w:sz w:val="20"/>
                <w:szCs w:val="20"/>
              </w:rPr>
              <w:t>1</w:t>
            </w:r>
          </w:p>
        </w:tc>
        <w:tc>
          <w:tcPr>
            <w:tcW w:w="288" w:type="pct"/>
          </w:tcPr>
          <w:p w14:paraId="00E27565" w14:textId="77777777" w:rsidR="00247AD2" w:rsidRPr="00672714" w:rsidRDefault="00247AD2" w:rsidP="00672714">
            <w:pPr>
              <w:pStyle w:val="BodyText"/>
              <w:rPr>
                <w:sz w:val="20"/>
                <w:szCs w:val="20"/>
              </w:rPr>
            </w:pPr>
            <w:r w:rsidRPr="00672714">
              <w:rPr>
                <w:sz w:val="20"/>
                <w:szCs w:val="20"/>
              </w:rPr>
              <w:t>11</w:t>
            </w:r>
          </w:p>
        </w:tc>
        <w:tc>
          <w:tcPr>
            <w:tcW w:w="288" w:type="pct"/>
          </w:tcPr>
          <w:p w14:paraId="0ABE56DF" w14:textId="77777777" w:rsidR="00247AD2" w:rsidRPr="00672714" w:rsidRDefault="00247AD2" w:rsidP="00672714">
            <w:pPr>
              <w:pStyle w:val="BodyText"/>
              <w:rPr>
                <w:sz w:val="20"/>
                <w:szCs w:val="20"/>
              </w:rPr>
            </w:pPr>
            <w:r w:rsidRPr="00672714">
              <w:rPr>
                <w:sz w:val="20"/>
                <w:szCs w:val="20"/>
              </w:rPr>
              <w:t>12</w:t>
            </w:r>
          </w:p>
        </w:tc>
        <w:tc>
          <w:tcPr>
            <w:tcW w:w="288" w:type="pct"/>
          </w:tcPr>
          <w:p w14:paraId="43175ED0" w14:textId="77777777" w:rsidR="00247AD2" w:rsidRPr="00672714" w:rsidRDefault="00247AD2" w:rsidP="00672714">
            <w:pPr>
              <w:pStyle w:val="BodyText"/>
              <w:rPr>
                <w:sz w:val="20"/>
                <w:szCs w:val="20"/>
              </w:rPr>
            </w:pPr>
            <w:r w:rsidRPr="00672714">
              <w:rPr>
                <w:sz w:val="20"/>
                <w:szCs w:val="20"/>
              </w:rPr>
              <w:t>6</w:t>
            </w:r>
          </w:p>
        </w:tc>
        <w:tc>
          <w:tcPr>
            <w:tcW w:w="288" w:type="pct"/>
          </w:tcPr>
          <w:p w14:paraId="729D2092" w14:textId="77777777" w:rsidR="00247AD2" w:rsidRPr="00672714" w:rsidRDefault="00247AD2" w:rsidP="00672714">
            <w:pPr>
              <w:pStyle w:val="BodyText"/>
              <w:rPr>
                <w:sz w:val="20"/>
                <w:szCs w:val="20"/>
              </w:rPr>
            </w:pPr>
            <w:r w:rsidRPr="00672714">
              <w:rPr>
                <w:sz w:val="20"/>
                <w:szCs w:val="20"/>
              </w:rPr>
              <w:t>44</w:t>
            </w:r>
          </w:p>
        </w:tc>
        <w:tc>
          <w:tcPr>
            <w:tcW w:w="288" w:type="pct"/>
          </w:tcPr>
          <w:p w14:paraId="10F782D1" w14:textId="77777777" w:rsidR="00247AD2" w:rsidRPr="00672714" w:rsidRDefault="00247AD2" w:rsidP="00672714">
            <w:pPr>
              <w:pStyle w:val="BodyText"/>
              <w:rPr>
                <w:sz w:val="20"/>
                <w:szCs w:val="20"/>
              </w:rPr>
            </w:pPr>
            <w:r w:rsidRPr="00672714">
              <w:rPr>
                <w:sz w:val="20"/>
                <w:szCs w:val="20"/>
              </w:rPr>
              <w:t>50</w:t>
            </w:r>
          </w:p>
        </w:tc>
        <w:tc>
          <w:tcPr>
            <w:tcW w:w="288" w:type="pct"/>
          </w:tcPr>
          <w:p w14:paraId="0262567C" w14:textId="77777777" w:rsidR="00247AD2" w:rsidRPr="00672714" w:rsidRDefault="00247AD2" w:rsidP="00672714">
            <w:pPr>
              <w:pStyle w:val="BodyText"/>
              <w:rPr>
                <w:sz w:val="20"/>
                <w:szCs w:val="20"/>
              </w:rPr>
            </w:pPr>
            <w:r w:rsidRPr="00672714">
              <w:rPr>
                <w:sz w:val="20"/>
                <w:szCs w:val="20"/>
              </w:rPr>
              <w:t>0</w:t>
            </w:r>
          </w:p>
        </w:tc>
        <w:tc>
          <w:tcPr>
            <w:tcW w:w="288" w:type="pct"/>
          </w:tcPr>
          <w:p w14:paraId="119C7C43" w14:textId="77777777" w:rsidR="00247AD2" w:rsidRPr="00672714" w:rsidRDefault="00247AD2" w:rsidP="00672714">
            <w:pPr>
              <w:pStyle w:val="BodyText"/>
              <w:rPr>
                <w:sz w:val="20"/>
                <w:szCs w:val="20"/>
              </w:rPr>
            </w:pPr>
            <w:r w:rsidRPr="00672714">
              <w:rPr>
                <w:sz w:val="20"/>
                <w:szCs w:val="20"/>
              </w:rPr>
              <w:t>0</w:t>
            </w:r>
          </w:p>
        </w:tc>
        <w:tc>
          <w:tcPr>
            <w:tcW w:w="288" w:type="pct"/>
          </w:tcPr>
          <w:p w14:paraId="3B57C612" w14:textId="77777777" w:rsidR="00247AD2" w:rsidRPr="00672714" w:rsidRDefault="00247AD2" w:rsidP="00672714">
            <w:pPr>
              <w:pStyle w:val="BodyText"/>
              <w:rPr>
                <w:sz w:val="20"/>
                <w:szCs w:val="20"/>
              </w:rPr>
            </w:pPr>
            <w:r w:rsidRPr="00672714">
              <w:rPr>
                <w:sz w:val="20"/>
                <w:szCs w:val="20"/>
              </w:rPr>
              <w:t>0</w:t>
            </w:r>
          </w:p>
        </w:tc>
        <w:tc>
          <w:tcPr>
            <w:tcW w:w="275" w:type="pct"/>
          </w:tcPr>
          <w:p w14:paraId="31568611" w14:textId="77777777" w:rsidR="00247AD2" w:rsidRPr="00672714" w:rsidRDefault="00247AD2" w:rsidP="00672714">
            <w:pPr>
              <w:pStyle w:val="BodyText"/>
              <w:rPr>
                <w:sz w:val="20"/>
                <w:szCs w:val="20"/>
              </w:rPr>
            </w:pPr>
            <w:r w:rsidRPr="00672714">
              <w:rPr>
                <w:sz w:val="20"/>
                <w:szCs w:val="20"/>
              </w:rPr>
              <w:t>0</w:t>
            </w:r>
          </w:p>
        </w:tc>
        <w:tc>
          <w:tcPr>
            <w:tcW w:w="275" w:type="pct"/>
          </w:tcPr>
          <w:p w14:paraId="5F6218BC" w14:textId="77777777" w:rsidR="00247AD2" w:rsidRPr="00672714" w:rsidRDefault="00247AD2" w:rsidP="00672714">
            <w:pPr>
              <w:pStyle w:val="BodyText"/>
              <w:rPr>
                <w:sz w:val="20"/>
                <w:szCs w:val="20"/>
              </w:rPr>
            </w:pPr>
            <w:r w:rsidRPr="00672714">
              <w:rPr>
                <w:sz w:val="20"/>
                <w:szCs w:val="20"/>
              </w:rPr>
              <w:t>0</w:t>
            </w:r>
          </w:p>
        </w:tc>
        <w:tc>
          <w:tcPr>
            <w:tcW w:w="275" w:type="pct"/>
          </w:tcPr>
          <w:p w14:paraId="515BC6FA" w14:textId="77777777" w:rsidR="00247AD2" w:rsidRPr="00672714" w:rsidRDefault="00247AD2" w:rsidP="00672714">
            <w:pPr>
              <w:pStyle w:val="BodyText"/>
              <w:rPr>
                <w:sz w:val="20"/>
                <w:szCs w:val="20"/>
              </w:rPr>
            </w:pPr>
            <w:r w:rsidRPr="00672714">
              <w:rPr>
                <w:sz w:val="20"/>
                <w:szCs w:val="20"/>
              </w:rPr>
              <w:t>0</w:t>
            </w:r>
          </w:p>
        </w:tc>
        <w:tc>
          <w:tcPr>
            <w:tcW w:w="275" w:type="pct"/>
          </w:tcPr>
          <w:p w14:paraId="48ED4720" w14:textId="77777777" w:rsidR="00247AD2" w:rsidRPr="00672714" w:rsidRDefault="00247AD2" w:rsidP="00672714">
            <w:pPr>
              <w:pStyle w:val="BodyText"/>
              <w:rPr>
                <w:sz w:val="20"/>
                <w:szCs w:val="20"/>
              </w:rPr>
            </w:pPr>
            <w:r w:rsidRPr="00672714">
              <w:rPr>
                <w:sz w:val="20"/>
                <w:szCs w:val="20"/>
              </w:rPr>
              <w:t>0</w:t>
            </w:r>
          </w:p>
        </w:tc>
        <w:tc>
          <w:tcPr>
            <w:tcW w:w="275" w:type="pct"/>
          </w:tcPr>
          <w:p w14:paraId="51CE7C74" w14:textId="77777777" w:rsidR="00247AD2" w:rsidRPr="00672714" w:rsidRDefault="00247AD2" w:rsidP="00672714">
            <w:pPr>
              <w:pStyle w:val="BodyText"/>
              <w:rPr>
                <w:sz w:val="20"/>
                <w:szCs w:val="20"/>
              </w:rPr>
            </w:pPr>
            <w:r w:rsidRPr="00672714">
              <w:rPr>
                <w:sz w:val="20"/>
                <w:szCs w:val="20"/>
              </w:rPr>
              <w:t>0</w:t>
            </w:r>
          </w:p>
        </w:tc>
        <w:tc>
          <w:tcPr>
            <w:tcW w:w="275" w:type="pct"/>
          </w:tcPr>
          <w:p w14:paraId="79894235" w14:textId="77777777" w:rsidR="00247AD2" w:rsidRPr="00672714" w:rsidRDefault="00247AD2" w:rsidP="00672714">
            <w:pPr>
              <w:pStyle w:val="BodyText"/>
              <w:rPr>
                <w:sz w:val="20"/>
                <w:szCs w:val="20"/>
              </w:rPr>
            </w:pPr>
            <w:r w:rsidRPr="00672714">
              <w:rPr>
                <w:sz w:val="20"/>
                <w:szCs w:val="20"/>
              </w:rPr>
              <w:t>0</w:t>
            </w:r>
          </w:p>
        </w:tc>
        <w:tc>
          <w:tcPr>
            <w:tcW w:w="288" w:type="pct"/>
          </w:tcPr>
          <w:p w14:paraId="21BDE3D1" w14:textId="77777777" w:rsidR="00247AD2" w:rsidRPr="00672714" w:rsidRDefault="00247AD2" w:rsidP="00672714">
            <w:pPr>
              <w:pStyle w:val="BodyText"/>
              <w:rPr>
                <w:sz w:val="20"/>
                <w:szCs w:val="20"/>
              </w:rPr>
            </w:pPr>
            <w:r w:rsidRPr="00672714">
              <w:rPr>
                <w:rStyle w:val="01bodybold"/>
                <w:sz w:val="20"/>
                <w:szCs w:val="20"/>
              </w:rPr>
              <w:t xml:space="preserve">62 </w:t>
            </w:r>
          </w:p>
        </w:tc>
      </w:tr>
      <w:tr w:rsidR="00247AD2" w:rsidRPr="00672714" w14:paraId="60649F23" w14:textId="77777777" w:rsidTr="006A0585">
        <w:trPr>
          <w:trHeight w:val="396"/>
        </w:trPr>
        <w:tc>
          <w:tcPr>
            <w:tcW w:w="475" w:type="pct"/>
          </w:tcPr>
          <w:p w14:paraId="10077BC3" w14:textId="77777777" w:rsidR="00247AD2" w:rsidRPr="00672714" w:rsidRDefault="00247AD2" w:rsidP="00672714">
            <w:pPr>
              <w:pStyle w:val="BodyText"/>
              <w:rPr>
                <w:sz w:val="20"/>
                <w:szCs w:val="20"/>
              </w:rPr>
            </w:pPr>
            <w:r w:rsidRPr="00672714">
              <w:rPr>
                <w:sz w:val="20"/>
                <w:szCs w:val="20"/>
              </w:rPr>
              <w:t>ACT</w:t>
            </w:r>
          </w:p>
        </w:tc>
        <w:tc>
          <w:tcPr>
            <w:tcW w:w="288" w:type="pct"/>
          </w:tcPr>
          <w:p w14:paraId="0A23B219" w14:textId="77777777" w:rsidR="00247AD2" w:rsidRPr="00672714" w:rsidRDefault="00247AD2" w:rsidP="00672714">
            <w:pPr>
              <w:pStyle w:val="BodyText"/>
              <w:rPr>
                <w:sz w:val="20"/>
                <w:szCs w:val="20"/>
              </w:rPr>
            </w:pPr>
            <w:r w:rsidRPr="00672714">
              <w:rPr>
                <w:sz w:val="20"/>
                <w:szCs w:val="20"/>
              </w:rPr>
              <w:t>18</w:t>
            </w:r>
          </w:p>
        </w:tc>
        <w:tc>
          <w:tcPr>
            <w:tcW w:w="288" w:type="pct"/>
          </w:tcPr>
          <w:p w14:paraId="16741CC9" w14:textId="77777777" w:rsidR="00247AD2" w:rsidRPr="00672714" w:rsidRDefault="00247AD2" w:rsidP="00672714">
            <w:pPr>
              <w:pStyle w:val="BodyText"/>
              <w:rPr>
                <w:sz w:val="20"/>
                <w:szCs w:val="20"/>
              </w:rPr>
            </w:pPr>
            <w:r w:rsidRPr="00672714">
              <w:rPr>
                <w:sz w:val="20"/>
                <w:szCs w:val="20"/>
              </w:rPr>
              <w:t>6</w:t>
            </w:r>
          </w:p>
        </w:tc>
        <w:tc>
          <w:tcPr>
            <w:tcW w:w="288" w:type="pct"/>
          </w:tcPr>
          <w:p w14:paraId="7F810B3B" w14:textId="77777777" w:rsidR="00247AD2" w:rsidRPr="00672714" w:rsidRDefault="00247AD2" w:rsidP="00672714">
            <w:pPr>
              <w:pStyle w:val="BodyText"/>
              <w:rPr>
                <w:sz w:val="20"/>
                <w:szCs w:val="20"/>
              </w:rPr>
            </w:pPr>
            <w:r w:rsidRPr="00672714">
              <w:rPr>
                <w:sz w:val="20"/>
                <w:szCs w:val="20"/>
              </w:rPr>
              <w:t>24</w:t>
            </w:r>
          </w:p>
        </w:tc>
        <w:tc>
          <w:tcPr>
            <w:tcW w:w="288" w:type="pct"/>
          </w:tcPr>
          <w:p w14:paraId="1498C9D3" w14:textId="77777777" w:rsidR="00247AD2" w:rsidRPr="00672714" w:rsidRDefault="00247AD2" w:rsidP="00672714">
            <w:pPr>
              <w:pStyle w:val="BodyText"/>
              <w:rPr>
                <w:sz w:val="20"/>
                <w:szCs w:val="20"/>
              </w:rPr>
            </w:pPr>
            <w:r w:rsidRPr="00672714">
              <w:rPr>
                <w:sz w:val="20"/>
                <w:szCs w:val="20"/>
              </w:rPr>
              <w:t>12</w:t>
            </w:r>
          </w:p>
        </w:tc>
        <w:tc>
          <w:tcPr>
            <w:tcW w:w="288" w:type="pct"/>
          </w:tcPr>
          <w:p w14:paraId="44837300" w14:textId="77777777" w:rsidR="00247AD2" w:rsidRPr="00672714" w:rsidRDefault="00247AD2" w:rsidP="00672714">
            <w:pPr>
              <w:pStyle w:val="BodyText"/>
              <w:rPr>
                <w:sz w:val="20"/>
                <w:szCs w:val="20"/>
              </w:rPr>
            </w:pPr>
            <w:r w:rsidRPr="00672714">
              <w:rPr>
                <w:sz w:val="20"/>
                <w:szCs w:val="20"/>
              </w:rPr>
              <w:t>14</w:t>
            </w:r>
          </w:p>
        </w:tc>
        <w:tc>
          <w:tcPr>
            <w:tcW w:w="288" w:type="pct"/>
          </w:tcPr>
          <w:p w14:paraId="01DFAE8E" w14:textId="77777777" w:rsidR="00247AD2" w:rsidRPr="00672714" w:rsidRDefault="00247AD2" w:rsidP="00672714">
            <w:pPr>
              <w:pStyle w:val="BodyText"/>
              <w:rPr>
                <w:sz w:val="20"/>
                <w:szCs w:val="20"/>
              </w:rPr>
            </w:pPr>
            <w:r w:rsidRPr="00672714">
              <w:rPr>
                <w:sz w:val="20"/>
                <w:szCs w:val="20"/>
              </w:rPr>
              <w:t>26</w:t>
            </w:r>
          </w:p>
        </w:tc>
        <w:tc>
          <w:tcPr>
            <w:tcW w:w="288" w:type="pct"/>
          </w:tcPr>
          <w:p w14:paraId="7D38321B" w14:textId="77777777" w:rsidR="00247AD2" w:rsidRPr="00672714" w:rsidRDefault="00247AD2" w:rsidP="00672714">
            <w:pPr>
              <w:pStyle w:val="BodyText"/>
              <w:rPr>
                <w:sz w:val="20"/>
                <w:szCs w:val="20"/>
              </w:rPr>
            </w:pPr>
            <w:r w:rsidRPr="00672714">
              <w:rPr>
                <w:sz w:val="20"/>
                <w:szCs w:val="20"/>
              </w:rPr>
              <w:t>2</w:t>
            </w:r>
          </w:p>
        </w:tc>
        <w:tc>
          <w:tcPr>
            <w:tcW w:w="288" w:type="pct"/>
          </w:tcPr>
          <w:p w14:paraId="6FE742AC" w14:textId="77777777" w:rsidR="00247AD2" w:rsidRPr="00672714" w:rsidRDefault="00247AD2" w:rsidP="00672714">
            <w:pPr>
              <w:pStyle w:val="BodyText"/>
              <w:rPr>
                <w:sz w:val="20"/>
                <w:szCs w:val="20"/>
              </w:rPr>
            </w:pPr>
            <w:r w:rsidRPr="00672714">
              <w:rPr>
                <w:sz w:val="20"/>
                <w:szCs w:val="20"/>
              </w:rPr>
              <w:t>0</w:t>
            </w:r>
          </w:p>
        </w:tc>
        <w:tc>
          <w:tcPr>
            <w:tcW w:w="288" w:type="pct"/>
          </w:tcPr>
          <w:p w14:paraId="15F5C3FD" w14:textId="77777777" w:rsidR="00247AD2" w:rsidRPr="00672714" w:rsidRDefault="00247AD2" w:rsidP="00672714">
            <w:pPr>
              <w:pStyle w:val="BodyText"/>
              <w:rPr>
                <w:sz w:val="20"/>
                <w:szCs w:val="20"/>
              </w:rPr>
            </w:pPr>
            <w:r w:rsidRPr="00672714">
              <w:rPr>
                <w:sz w:val="20"/>
                <w:szCs w:val="20"/>
              </w:rPr>
              <w:t>2</w:t>
            </w:r>
          </w:p>
        </w:tc>
        <w:tc>
          <w:tcPr>
            <w:tcW w:w="275" w:type="pct"/>
          </w:tcPr>
          <w:p w14:paraId="106C6BFF" w14:textId="77777777" w:rsidR="00247AD2" w:rsidRPr="00672714" w:rsidRDefault="00247AD2" w:rsidP="00672714">
            <w:pPr>
              <w:pStyle w:val="BodyText"/>
              <w:rPr>
                <w:sz w:val="20"/>
                <w:szCs w:val="20"/>
              </w:rPr>
            </w:pPr>
            <w:r w:rsidRPr="00672714">
              <w:rPr>
                <w:sz w:val="20"/>
                <w:szCs w:val="20"/>
              </w:rPr>
              <w:t>0</w:t>
            </w:r>
          </w:p>
        </w:tc>
        <w:tc>
          <w:tcPr>
            <w:tcW w:w="275" w:type="pct"/>
          </w:tcPr>
          <w:p w14:paraId="2A77DA1F" w14:textId="77777777" w:rsidR="00247AD2" w:rsidRPr="00672714" w:rsidRDefault="00247AD2" w:rsidP="00672714">
            <w:pPr>
              <w:pStyle w:val="BodyText"/>
              <w:rPr>
                <w:sz w:val="20"/>
                <w:szCs w:val="20"/>
              </w:rPr>
            </w:pPr>
            <w:r w:rsidRPr="00672714">
              <w:rPr>
                <w:sz w:val="20"/>
                <w:szCs w:val="20"/>
              </w:rPr>
              <w:t>0</w:t>
            </w:r>
          </w:p>
        </w:tc>
        <w:tc>
          <w:tcPr>
            <w:tcW w:w="275" w:type="pct"/>
          </w:tcPr>
          <w:p w14:paraId="52F7B1D9" w14:textId="77777777" w:rsidR="00247AD2" w:rsidRPr="00672714" w:rsidRDefault="00247AD2" w:rsidP="00672714">
            <w:pPr>
              <w:pStyle w:val="BodyText"/>
              <w:rPr>
                <w:sz w:val="20"/>
                <w:szCs w:val="20"/>
              </w:rPr>
            </w:pPr>
            <w:r w:rsidRPr="00672714">
              <w:rPr>
                <w:sz w:val="20"/>
                <w:szCs w:val="20"/>
              </w:rPr>
              <w:t>0</w:t>
            </w:r>
          </w:p>
        </w:tc>
        <w:tc>
          <w:tcPr>
            <w:tcW w:w="275" w:type="pct"/>
          </w:tcPr>
          <w:p w14:paraId="036EC2D4" w14:textId="77777777" w:rsidR="00247AD2" w:rsidRPr="00672714" w:rsidRDefault="00247AD2" w:rsidP="00672714">
            <w:pPr>
              <w:pStyle w:val="BodyText"/>
              <w:rPr>
                <w:sz w:val="20"/>
                <w:szCs w:val="20"/>
              </w:rPr>
            </w:pPr>
            <w:r w:rsidRPr="00672714">
              <w:rPr>
                <w:sz w:val="20"/>
                <w:szCs w:val="20"/>
              </w:rPr>
              <w:t>0</w:t>
            </w:r>
          </w:p>
        </w:tc>
        <w:tc>
          <w:tcPr>
            <w:tcW w:w="275" w:type="pct"/>
          </w:tcPr>
          <w:p w14:paraId="4B34EF32" w14:textId="77777777" w:rsidR="00247AD2" w:rsidRPr="00672714" w:rsidRDefault="00247AD2" w:rsidP="00672714">
            <w:pPr>
              <w:pStyle w:val="BodyText"/>
              <w:rPr>
                <w:sz w:val="20"/>
                <w:szCs w:val="20"/>
              </w:rPr>
            </w:pPr>
            <w:r w:rsidRPr="00672714">
              <w:rPr>
                <w:sz w:val="20"/>
                <w:szCs w:val="20"/>
              </w:rPr>
              <w:t>0</w:t>
            </w:r>
          </w:p>
        </w:tc>
        <w:tc>
          <w:tcPr>
            <w:tcW w:w="275" w:type="pct"/>
          </w:tcPr>
          <w:p w14:paraId="48C92323" w14:textId="77777777" w:rsidR="00247AD2" w:rsidRPr="00672714" w:rsidRDefault="00247AD2" w:rsidP="00672714">
            <w:pPr>
              <w:pStyle w:val="BodyText"/>
              <w:rPr>
                <w:sz w:val="20"/>
                <w:szCs w:val="20"/>
              </w:rPr>
            </w:pPr>
            <w:r w:rsidRPr="00672714">
              <w:rPr>
                <w:sz w:val="20"/>
                <w:szCs w:val="20"/>
              </w:rPr>
              <w:t>0</w:t>
            </w:r>
          </w:p>
        </w:tc>
        <w:tc>
          <w:tcPr>
            <w:tcW w:w="288" w:type="pct"/>
          </w:tcPr>
          <w:p w14:paraId="6755C49D" w14:textId="77777777" w:rsidR="00247AD2" w:rsidRPr="00672714" w:rsidRDefault="00247AD2" w:rsidP="00672714">
            <w:pPr>
              <w:pStyle w:val="BodyText"/>
              <w:rPr>
                <w:sz w:val="20"/>
                <w:szCs w:val="20"/>
              </w:rPr>
            </w:pPr>
            <w:r w:rsidRPr="00672714">
              <w:rPr>
                <w:rStyle w:val="01bodybold"/>
                <w:sz w:val="20"/>
                <w:szCs w:val="20"/>
              </w:rPr>
              <w:t xml:space="preserve">52 </w:t>
            </w:r>
          </w:p>
        </w:tc>
      </w:tr>
      <w:tr w:rsidR="00247AD2" w:rsidRPr="00672714" w14:paraId="5221EE70" w14:textId="77777777" w:rsidTr="006A0585">
        <w:trPr>
          <w:trHeight w:val="396"/>
        </w:trPr>
        <w:tc>
          <w:tcPr>
            <w:tcW w:w="475" w:type="pct"/>
          </w:tcPr>
          <w:p w14:paraId="0F39F555" w14:textId="77777777" w:rsidR="00247AD2" w:rsidRPr="00672714" w:rsidRDefault="00247AD2" w:rsidP="00672714">
            <w:pPr>
              <w:pStyle w:val="BodyText"/>
              <w:rPr>
                <w:sz w:val="20"/>
                <w:szCs w:val="20"/>
              </w:rPr>
            </w:pPr>
            <w:r w:rsidRPr="00672714">
              <w:rPr>
                <w:sz w:val="20"/>
                <w:szCs w:val="20"/>
              </w:rPr>
              <w:t>NT</w:t>
            </w:r>
          </w:p>
        </w:tc>
        <w:tc>
          <w:tcPr>
            <w:tcW w:w="288" w:type="pct"/>
          </w:tcPr>
          <w:p w14:paraId="3D857BC5" w14:textId="77777777" w:rsidR="00247AD2" w:rsidRPr="00672714" w:rsidRDefault="00247AD2" w:rsidP="00672714">
            <w:pPr>
              <w:pStyle w:val="BodyText"/>
              <w:rPr>
                <w:sz w:val="20"/>
                <w:szCs w:val="20"/>
              </w:rPr>
            </w:pPr>
            <w:r w:rsidRPr="00672714">
              <w:rPr>
                <w:sz w:val="20"/>
                <w:szCs w:val="20"/>
              </w:rPr>
              <w:t>2</w:t>
            </w:r>
          </w:p>
        </w:tc>
        <w:tc>
          <w:tcPr>
            <w:tcW w:w="288" w:type="pct"/>
          </w:tcPr>
          <w:p w14:paraId="44EA0FC1" w14:textId="77777777" w:rsidR="00247AD2" w:rsidRPr="00672714" w:rsidRDefault="00247AD2" w:rsidP="00672714">
            <w:pPr>
              <w:pStyle w:val="BodyText"/>
              <w:rPr>
                <w:sz w:val="20"/>
                <w:szCs w:val="20"/>
              </w:rPr>
            </w:pPr>
            <w:r w:rsidRPr="00672714">
              <w:rPr>
                <w:sz w:val="20"/>
                <w:szCs w:val="20"/>
              </w:rPr>
              <w:t>0</w:t>
            </w:r>
          </w:p>
        </w:tc>
        <w:tc>
          <w:tcPr>
            <w:tcW w:w="288" w:type="pct"/>
          </w:tcPr>
          <w:p w14:paraId="626B3B20" w14:textId="77777777" w:rsidR="00247AD2" w:rsidRPr="00672714" w:rsidRDefault="00247AD2" w:rsidP="00672714">
            <w:pPr>
              <w:pStyle w:val="BodyText"/>
              <w:rPr>
                <w:sz w:val="20"/>
                <w:szCs w:val="20"/>
              </w:rPr>
            </w:pPr>
            <w:r w:rsidRPr="00672714">
              <w:rPr>
                <w:sz w:val="20"/>
                <w:szCs w:val="20"/>
              </w:rPr>
              <w:t>2</w:t>
            </w:r>
          </w:p>
        </w:tc>
        <w:tc>
          <w:tcPr>
            <w:tcW w:w="288" w:type="pct"/>
          </w:tcPr>
          <w:p w14:paraId="46C81690" w14:textId="77777777" w:rsidR="00247AD2" w:rsidRPr="00672714" w:rsidRDefault="00247AD2" w:rsidP="00672714">
            <w:pPr>
              <w:pStyle w:val="BodyText"/>
              <w:rPr>
                <w:sz w:val="20"/>
                <w:szCs w:val="20"/>
              </w:rPr>
            </w:pPr>
            <w:r w:rsidRPr="00672714">
              <w:rPr>
                <w:sz w:val="20"/>
                <w:szCs w:val="20"/>
              </w:rPr>
              <w:t>5</w:t>
            </w:r>
          </w:p>
        </w:tc>
        <w:tc>
          <w:tcPr>
            <w:tcW w:w="288" w:type="pct"/>
          </w:tcPr>
          <w:p w14:paraId="05166749" w14:textId="77777777" w:rsidR="00247AD2" w:rsidRPr="00672714" w:rsidRDefault="00247AD2" w:rsidP="00672714">
            <w:pPr>
              <w:pStyle w:val="BodyText"/>
              <w:rPr>
                <w:sz w:val="20"/>
                <w:szCs w:val="20"/>
              </w:rPr>
            </w:pPr>
            <w:r w:rsidRPr="00672714">
              <w:rPr>
                <w:sz w:val="20"/>
                <w:szCs w:val="20"/>
              </w:rPr>
              <w:t>6</w:t>
            </w:r>
          </w:p>
        </w:tc>
        <w:tc>
          <w:tcPr>
            <w:tcW w:w="288" w:type="pct"/>
          </w:tcPr>
          <w:p w14:paraId="47850E3F" w14:textId="77777777" w:rsidR="00247AD2" w:rsidRPr="00672714" w:rsidRDefault="00247AD2" w:rsidP="00672714">
            <w:pPr>
              <w:pStyle w:val="BodyText"/>
              <w:rPr>
                <w:sz w:val="20"/>
                <w:szCs w:val="20"/>
              </w:rPr>
            </w:pPr>
            <w:r w:rsidRPr="00672714">
              <w:rPr>
                <w:sz w:val="20"/>
                <w:szCs w:val="20"/>
              </w:rPr>
              <w:t>11</w:t>
            </w:r>
          </w:p>
        </w:tc>
        <w:tc>
          <w:tcPr>
            <w:tcW w:w="288" w:type="pct"/>
          </w:tcPr>
          <w:p w14:paraId="56805F9A" w14:textId="77777777" w:rsidR="00247AD2" w:rsidRPr="00672714" w:rsidRDefault="00247AD2" w:rsidP="00672714">
            <w:pPr>
              <w:pStyle w:val="BodyText"/>
              <w:rPr>
                <w:sz w:val="20"/>
                <w:szCs w:val="20"/>
              </w:rPr>
            </w:pPr>
            <w:r w:rsidRPr="00672714">
              <w:rPr>
                <w:sz w:val="20"/>
                <w:szCs w:val="20"/>
              </w:rPr>
              <w:t>0</w:t>
            </w:r>
          </w:p>
        </w:tc>
        <w:tc>
          <w:tcPr>
            <w:tcW w:w="288" w:type="pct"/>
          </w:tcPr>
          <w:p w14:paraId="15E0732F" w14:textId="77777777" w:rsidR="00247AD2" w:rsidRPr="00672714" w:rsidRDefault="00247AD2" w:rsidP="00672714">
            <w:pPr>
              <w:pStyle w:val="BodyText"/>
              <w:rPr>
                <w:sz w:val="20"/>
                <w:szCs w:val="20"/>
              </w:rPr>
            </w:pPr>
            <w:r w:rsidRPr="00672714">
              <w:rPr>
                <w:sz w:val="20"/>
                <w:szCs w:val="20"/>
              </w:rPr>
              <w:t>0</w:t>
            </w:r>
          </w:p>
        </w:tc>
        <w:tc>
          <w:tcPr>
            <w:tcW w:w="288" w:type="pct"/>
          </w:tcPr>
          <w:p w14:paraId="5EAF9C8D" w14:textId="77777777" w:rsidR="00247AD2" w:rsidRPr="00672714" w:rsidRDefault="00247AD2" w:rsidP="00672714">
            <w:pPr>
              <w:pStyle w:val="BodyText"/>
              <w:rPr>
                <w:sz w:val="20"/>
                <w:szCs w:val="20"/>
              </w:rPr>
            </w:pPr>
            <w:r w:rsidRPr="00672714">
              <w:rPr>
                <w:sz w:val="20"/>
                <w:szCs w:val="20"/>
              </w:rPr>
              <w:t>0</w:t>
            </w:r>
          </w:p>
        </w:tc>
        <w:tc>
          <w:tcPr>
            <w:tcW w:w="275" w:type="pct"/>
          </w:tcPr>
          <w:p w14:paraId="1215BC32" w14:textId="77777777" w:rsidR="00247AD2" w:rsidRPr="00672714" w:rsidRDefault="00247AD2" w:rsidP="00672714">
            <w:pPr>
              <w:pStyle w:val="BodyText"/>
              <w:rPr>
                <w:sz w:val="20"/>
                <w:szCs w:val="20"/>
              </w:rPr>
            </w:pPr>
            <w:r w:rsidRPr="00672714">
              <w:rPr>
                <w:sz w:val="20"/>
                <w:szCs w:val="20"/>
              </w:rPr>
              <w:t>0</w:t>
            </w:r>
          </w:p>
        </w:tc>
        <w:tc>
          <w:tcPr>
            <w:tcW w:w="275" w:type="pct"/>
          </w:tcPr>
          <w:p w14:paraId="66E17E03" w14:textId="77777777" w:rsidR="00247AD2" w:rsidRPr="00672714" w:rsidRDefault="00247AD2" w:rsidP="00672714">
            <w:pPr>
              <w:pStyle w:val="BodyText"/>
              <w:rPr>
                <w:sz w:val="20"/>
                <w:szCs w:val="20"/>
              </w:rPr>
            </w:pPr>
            <w:r w:rsidRPr="00672714">
              <w:rPr>
                <w:sz w:val="20"/>
                <w:szCs w:val="20"/>
              </w:rPr>
              <w:t>0</w:t>
            </w:r>
          </w:p>
        </w:tc>
        <w:tc>
          <w:tcPr>
            <w:tcW w:w="275" w:type="pct"/>
          </w:tcPr>
          <w:p w14:paraId="73AC2D9A" w14:textId="77777777" w:rsidR="00247AD2" w:rsidRPr="00672714" w:rsidRDefault="00247AD2" w:rsidP="00672714">
            <w:pPr>
              <w:pStyle w:val="BodyText"/>
              <w:rPr>
                <w:sz w:val="20"/>
                <w:szCs w:val="20"/>
              </w:rPr>
            </w:pPr>
            <w:r w:rsidRPr="00672714">
              <w:rPr>
                <w:sz w:val="20"/>
                <w:szCs w:val="20"/>
              </w:rPr>
              <w:t>0</w:t>
            </w:r>
          </w:p>
        </w:tc>
        <w:tc>
          <w:tcPr>
            <w:tcW w:w="275" w:type="pct"/>
          </w:tcPr>
          <w:p w14:paraId="2F5E5818" w14:textId="77777777" w:rsidR="00247AD2" w:rsidRPr="00672714" w:rsidRDefault="00247AD2" w:rsidP="00672714">
            <w:pPr>
              <w:pStyle w:val="BodyText"/>
              <w:rPr>
                <w:sz w:val="20"/>
                <w:szCs w:val="20"/>
              </w:rPr>
            </w:pPr>
            <w:r w:rsidRPr="00672714">
              <w:rPr>
                <w:sz w:val="20"/>
                <w:szCs w:val="20"/>
              </w:rPr>
              <w:t>0</w:t>
            </w:r>
          </w:p>
        </w:tc>
        <w:tc>
          <w:tcPr>
            <w:tcW w:w="275" w:type="pct"/>
          </w:tcPr>
          <w:p w14:paraId="516660F7" w14:textId="77777777" w:rsidR="00247AD2" w:rsidRPr="00672714" w:rsidRDefault="00247AD2" w:rsidP="00672714">
            <w:pPr>
              <w:pStyle w:val="BodyText"/>
              <w:rPr>
                <w:sz w:val="20"/>
                <w:szCs w:val="20"/>
              </w:rPr>
            </w:pPr>
            <w:r w:rsidRPr="00672714">
              <w:rPr>
                <w:sz w:val="20"/>
                <w:szCs w:val="20"/>
              </w:rPr>
              <w:t>0</w:t>
            </w:r>
          </w:p>
        </w:tc>
        <w:tc>
          <w:tcPr>
            <w:tcW w:w="275" w:type="pct"/>
          </w:tcPr>
          <w:p w14:paraId="5FA2D22C" w14:textId="77777777" w:rsidR="00247AD2" w:rsidRPr="00672714" w:rsidRDefault="00247AD2" w:rsidP="00672714">
            <w:pPr>
              <w:pStyle w:val="BodyText"/>
              <w:rPr>
                <w:sz w:val="20"/>
                <w:szCs w:val="20"/>
              </w:rPr>
            </w:pPr>
            <w:r w:rsidRPr="00672714">
              <w:rPr>
                <w:sz w:val="20"/>
                <w:szCs w:val="20"/>
              </w:rPr>
              <w:t>0</w:t>
            </w:r>
          </w:p>
        </w:tc>
        <w:tc>
          <w:tcPr>
            <w:tcW w:w="288" w:type="pct"/>
          </w:tcPr>
          <w:p w14:paraId="0465D826" w14:textId="77777777" w:rsidR="00247AD2" w:rsidRPr="00672714" w:rsidRDefault="00247AD2" w:rsidP="00672714">
            <w:pPr>
              <w:pStyle w:val="BodyText"/>
              <w:rPr>
                <w:sz w:val="20"/>
                <w:szCs w:val="20"/>
              </w:rPr>
            </w:pPr>
            <w:r w:rsidRPr="00672714">
              <w:rPr>
                <w:rStyle w:val="01bodybold"/>
                <w:sz w:val="20"/>
                <w:szCs w:val="20"/>
              </w:rPr>
              <w:t xml:space="preserve">13 </w:t>
            </w:r>
          </w:p>
        </w:tc>
      </w:tr>
      <w:tr w:rsidR="00247AD2" w:rsidRPr="00672714" w14:paraId="43A1AFCE" w14:textId="77777777" w:rsidTr="006A0585">
        <w:trPr>
          <w:trHeight w:val="396"/>
        </w:trPr>
        <w:tc>
          <w:tcPr>
            <w:tcW w:w="475" w:type="pct"/>
          </w:tcPr>
          <w:p w14:paraId="7AC52736" w14:textId="77777777" w:rsidR="00247AD2" w:rsidRPr="00672714" w:rsidRDefault="00247AD2" w:rsidP="00672714">
            <w:pPr>
              <w:pStyle w:val="BodyText"/>
              <w:rPr>
                <w:sz w:val="20"/>
                <w:szCs w:val="20"/>
              </w:rPr>
            </w:pPr>
            <w:r w:rsidRPr="00672714">
              <w:rPr>
                <w:sz w:val="20"/>
                <w:szCs w:val="20"/>
              </w:rPr>
              <w:t>External territories</w:t>
            </w:r>
          </w:p>
        </w:tc>
        <w:tc>
          <w:tcPr>
            <w:tcW w:w="288" w:type="pct"/>
          </w:tcPr>
          <w:p w14:paraId="787E2B5D" w14:textId="77777777" w:rsidR="00247AD2" w:rsidRPr="00672714" w:rsidRDefault="00247AD2" w:rsidP="00672714">
            <w:pPr>
              <w:pStyle w:val="BodyText"/>
              <w:rPr>
                <w:sz w:val="20"/>
                <w:szCs w:val="20"/>
              </w:rPr>
            </w:pPr>
            <w:r w:rsidRPr="00672714">
              <w:rPr>
                <w:sz w:val="20"/>
                <w:szCs w:val="20"/>
              </w:rPr>
              <w:t>0</w:t>
            </w:r>
          </w:p>
        </w:tc>
        <w:tc>
          <w:tcPr>
            <w:tcW w:w="288" w:type="pct"/>
          </w:tcPr>
          <w:p w14:paraId="1B528C98" w14:textId="77777777" w:rsidR="00247AD2" w:rsidRPr="00672714" w:rsidRDefault="00247AD2" w:rsidP="00672714">
            <w:pPr>
              <w:pStyle w:val="BodyText"/>
              <w:rPr>
                <w:sz w:val="20"/>
                <w:szCs w:val="20"/>
              </w:rPr>
            </w:pPr>
            <w:r w:rsidRPr="00672714">
              <w:rPr>
                <w:sz w:val="20"/>
                <w:szCs w:val="20"/>
              </w:rPr>
              <w:t>0</w:t>
            </w:r>
          </w:p>
        </w:tc>
        <w:tc>
          <w:tcPr>
            <w:tcW w:w="288" w:type="pct"/>
          </w:tcPr>
          <w:p w14:paraId="48E855CC" w14:textId="77777777" w:rsidR="00247AD2" w:rsidRPr="00672714" w:rsidRDefault="00247AD2" w:rsidP="00672714">
            <w:pPr>
              <w:pStyle w:val="BodyText"/>
              <w:rPr>
                <w:sz w:val="20"/>
                <w:szCs w:val="20"/>
              </w:rPr>
            </w:pPr>
            <w:r w:rsidRPr="00672714">
              <w:rPr>
                <w:sz w:val="20"/>
                <w:szCs w:val="20"/>
              </w:rPr>
              <w:t>0</w:t>
            </w:r>
          </w:p>
        </w:tc>
        <w:tc>
          <w:tcPr>
            <w:tcW w:w="288" w:type="pct"/>
          </w:tcPr>
          <w:p w14:paraId="14303DE4" w14:textId="77777777" w:rsidR="00247AD2" w:rsidRPr="00672714" w:rsidRDefault="00247AD2" w:rsidP="00672714">
            <w:pPr>
              <w:pStyle w:val="BodyText"/>
              <w:rPr>
                <w:sz w:val="20"/>
                <w:szCs w:val="20"/>
              </w:rPr>
            </w:pPr>
            <w:r w:rsidRPr="00672714">
              <w:rPr>
                <w:sz w:val="20"/>
                <w:szCs w:val="20"/>
              </w:rPr>
              <w:t>0</w:t>
            </w:r>
          </w:p>
        </w:tc>
        <w:tc>
          <w:tcPr>
            <w:tcW w:w="288" w:type="pct"/>
          </w:tcPr>
          <w:p w14:paraId="19C311F2" w14:textId="77777777" w:rsidR="00247AD2" w:rsidRPr="00672714" w:rsidRDefault="00247AD2" w:rsidP="00672714">
            <w:pPr>
              <w:pStyle w:val="BodyText"/>
              <w:rPr>
                <w:sz w:val="20"/>
                <w:szCs w:val="20"/>
              </w:rPr>
            </w:pPr>
            <w:r w:rsidRPr="00672714">
              <w:rPr>
                <w:sz w:val="20"/>
                <w:szCs w:val="20"/>
              </w:rPr>
              <w:t>0</w:t>
            </w:r>
          </w:p>
        </w:tc>
        <w:tc>
          <w:tcPr>
            <w:tcW w:w="288" w:type="pct"/>
          </w:tcPr>
          <w:p w14:paraId="6B943AA4" w14:textId="77777777" w:rsidR="00247AD2" w:rsidRPr="00672714" w:rsidRDefault="00247AD2" w:rsidP="00672714">
            <w:pPr>
              <w:pStyle w:val="BodyText"/>
              <w:rPr>
                <w:sz w:val="20"/>
                <w:szCs w:val="20"/>
              </w:rPr>
            </w:pPr>
            <w:r w:rsidRPr="00672714">
              <w:rPr>
                <w:sz w:val="20"/>
                <w:szCs w:val="20"/>
              </w:rPr>
              <w:t>0</w:t>
            </w:r>
          </w:p>
        </w:tc>
        <w:tc>
          <w:tcPr>
            <w:tcW w:w="288" w:type="pct"/>
          </w:tcPr>
          <w:p w14:paraId="309A9B97" w14:textId="77777777" w:rsidR="00247AD2" w:rsidRPr="00672714" w:rsidRDefault="00247AD2" w:rsidP="00672714">
            <w:pPr>
              <w:pStyle w:val="BodyText"/>
              <w:rPr>
                <w:sz w:val="20"/>
                <w:szCs w:val="20"/>
              </w:rPr>
            </w:pPr>
            <w:r w:rsidRPr="00672714">
              <w:rPr>
                <w:sz w:val="20"/>
                <w:szCs w:val="20"/>
              </w:rPr>
              <w:t>0</w:t>
            </w:r>
          </w:p>
        </w:tc>
        <w:tc>
          <w:tcPr>
            <w:tcW w:w="288" w:type="pct"/>
          </w:tcPr>
          <w:p w14:paraId="364FCCFE" w14:textId="77777777" w:rsidR="00247AD2" w:rsidRPr="00672714" w:rsidRDefault="00247AD2" w:rsidP="00672714">
            <w:pPr>
              <w:pStyle w:val="BodyText"/>
              <w:rPr>
                <w:sz w:val="20"/>
                <w:szCs w:val="20"/>
              </w:rPr>
            </w:pPr>
            <w:r w:rsidRPr="00672714">
              <w:rPr>
                <w:sz w:val="20"/>
                <w:szCs w:val="20"/>
              </w:rPr>
              <w:t>0</w:t>
            </w:r>
          </w:p>
        </w:tc>
        <w:tc>
          <w:tcPr>
            <w:tcW w:w="288" w:type="pct"/>
          </w:tcPr>
          <w:p w14:paraId="2E77FDA6" w14:textId="77777777" w:rsidR="00247AD2" w:rsidRPr="00672714" w:rsidRDefault="00247AD2" w:rsidP="00672714">
            <w:pPr>
              <w:pStyle w:val="BodyText"/>
              <w:rPr>
                <w:sz w:val="20"/>
                <w:szCs w:val="20"/>
              </w:rPr>
            </w:pPr>
            <w:r w:rsidRPr="00672714">
              <w:rPr>
                <w:sz w:val="20"/>
                <w:szCs w:val="20"/>
              </w:rPr>
              <w:t>0</w:t>
            </w:r>
          </w:p>
        </w:tc>
        <w:tc>
          <w:tcPr>
            <w:tcW w:w="275" w:type="pct"/>
          </w:tcPr>
          <w:p w14:paraId="4C4A86D2" w14:textId="77777777" w:rsidR="00247AD2" w:rsidRPr="00672714" w:rsidRDefault="00247AD2" w:rsidP="00672714">
            <w:pPr>
              <w:pStyle w:val="BodyText"/>
              <w:rPr>
                <w:sz w:val="20"/>
                <w:szCs w:val="20"/>
              </w:rPr>
            </w:pPr>
            <w:r w:rsidRPr="00672714">
              <w:rPr>
                <w:sz w:val="20"/>
                <w:szCs w:val="20"/>
              </w:rPr>
              <w:t>0</w:t>
            </w:r>
          </w:p>
        </w:tc>
        <w:tc>
          <w:tcPr>
            <w:tcW w:w="275" w:type="pct"/>
          </w:tcPr>
          <w:p w14:paraId="622304FF" w14:textId="77777777" w:rsidR="00247AD2" w:rsidRPr="00672714" w:rsidRDefault="00247AD2" w:rsidP="00672714">
            <w:pPr>
              <w:pStyle w:val="BodyText"/>
              <w:rPr>
                <w:sz w:val="20"/>
                <w:szCs w:val="20"/>
              </w:rPr>
            </w:pPr>
            <w:r w:rsidRPr="00672714">
              <w:rPr>
                <w:sz w:val="20"/>
                <w:szCs w:val="20"/>
              </w:rPr>
              <w:t>0</w:t>
            </w:r>
          </w:p>
        </w:tc>
        <w:tc>
          <w:tcPr>
            <w:tcW w:w="275" w:type="pct"/>
          </w:tcPr>
          <w:p w14:paraId="74839B40" w14:textId="77777777" w:rsidR="00247AD2" w:rsidRPr="00672714" w:rsidRDefault="00247AD2" w:rsidP="00672714">
            <w:pPr>
              <w:pStyle w:val="BodyText"/>
              <w:rPr>
                <w:sz w:val="20"/>
                <w:szCs w:val="20"/>
              </w:rPr>
            </w:pPr>
            <w:r w:rsidRPr="00672714">
              <w:rPr>
                <w:sz w:val="20"/>
                <w:szCs w:val="20"/>
              </w:rPr>
              <w:t>0</w:t>
            </w:r>
          </w:p>
        </w:tc>
        <w:tc>
          <w:tcPr>
            <w:tcW w:w="275" w:type="pct"/>
          </w:tcPr>
          <w:p w14:paraId="77E7E6AD" w14:textId="77777777" w:rsidR="00247AD2" w:rsidRPr="00672714" w:rsidRDefault="00247AD2" w:rsidP="00672714">
            <w:pPr>
              <w:pStyle w:val="BodyText"/>
              <w:rPr>
                <w:sz w:val="20"/>
                <w:szCs w:val="20"/>
              </w:rPr>
            </w:pPr>
            <w:r w:rsidRPr="00672714">
              <w:rPr>
                <w:sz w:val="20"/>
                <w:szCs w:val="20"/>
              </w:rPr>
              <w:t>0</w:t>
            </w:r>
          </w:p>
        </w:tc>
        <w:tc>
          <w:tcPr>
            <w:tcW w:w="275" w:type="pct"/>
          </w:tcPr>
          <w:p w14:paraId="16896194" w14:textId="77777777" w:rsidR="00247AD2" w:rsidRPr="00672714" w:rsidRDefault="00247AD2" w:rsidP="00672714">
            <w:pPr>
              <w:pStyle w:val="BodyText"/>
              <w:rPr>
                <w:sz w:val="20"/>
                <w:szCs w:val="20"/>
              </w:rPr>
            </w:pPr>
            <w:r w:rsidRPr="00672714">
              <w:rPr>
                <w:sz w:val="20"/>
                <w:szCs w:val="20"/>
              </w:rPr>
              <w:t>0</w:t>
            </w:r>
          </w:p>
        </w:tc>
        <w:tc>
          <w:tcPr>
            <w:tcW w:w="275" w:type="pct"/>
          </w:tcPr>
          <w:p w14:paraId="2F711F71" w14:textId="77777777" w:rsidR="00247AD2" w:rsidRPr="00672714" w:rsidRDefault="00247AD2" w:rsidP="00672714">
            <w:pPr>
              <w:pStyle w:val="BodyText"/>
              <w:rPr>
                <w:sz w:val="20"/>
                <w:szCs w:val="20"/>
              </w:rPr>
            </w:pPr>
            <w:r w:rsidRPr="00672714">
              <w:rPr>
                <w:sz w:val="20"/>
                <w:szCs w:val="20"/>
              </w:rPr>
              <w:t>0</w:t>
            </w:r>
          </w:p>
        </w:tc>
        <w:tc>
          <w:tcPr>
            <w:tcW w:w="288" w:type="pct"/>
          </w:tcPr>
          <w:p w14:paraId="21D00021" w14:textId="77777777" w:rsidR="00247AD2" w:rsidRPr="00672714" w:rsidRDefault="00247AD2" w:rsidP="00672714">
            <w:pPr>
              <w:pStyle w:val="BodyText"/>
              <w:rPr>
                <w:sz w:val="20"/>
                <w:szCs w:val="20"/>
              </w:rPr>
            </w:pPr>
            <w:r w:rsidRPr="00672714">
              <w:rPr>
                <w:rStyle w:val="01bodybold"/>
                <w:sz w:val="20"/>
                <w:szCs w:val="20"/>
              </w:rPr>
              <w:t xml:space="preserve">0 </w:t>
            </w:r>
          </w:p>
        </w:tc>
      </w:tr>
      <w:tr w:rsidR="00247AD2" w:rsidRPr="00672714" w14:paraId="53C5FF00" w14:textId="77777777" w:rsidTr="006A0585">
        <w:trPr>
          <w:trHeight w:val="396"/>
        </w:trPr>
        <w:tc>
          <w:tcPr>
            <w:tcW w:w="475" w:type="pct"/>
          </w:tcPr>
          <w:p w14:paraId="2CE2460F" w14:textId="77777777" w:rsidR="00247AD2" w:rsidRPr="00672714" w:rsidRDefault="00247AD2" w:rsidP="00672714">
            <w:pPr>
              <w:pStyle w:val="BodyText"/>
              <w:rPr>
                <w:sz w:val="20"/>
                <w:szCs w:val="20"/>
              </w:rPr>
            </w:pPr>
            <w:r w:rsidRPr="00672714">
              <w:rPr>
                <w:sz w:val="20"/>
                <w:szCs w:val="20"/>
              </w:rPr>
              <w:t>Overseas</w:t>
            </w:r>
          </w:p>
        </w:tc>
        <w:tc>
          <w:tcPr>
            <w:tcW w:w="288" w:type="pct"/>
          </w:tcPr>
          <w:p w14:paraId="7FA66737" w14:textId="77777777" w:rsidR="00247AD2" w:rsidRPr="00672714" w:rsidRDefault="00247AD2" w:rsidP="00672714">
            <w:pPr>
              <w:pStyle w:val="BodyText"/>
              <w:rPr>
                <w:sz w:val="20"/>
                <w:szCs w:val="20"/>
              </w:rPr>
            </w:pPr>
            <w:r w:rsidRPr="00672714">
              <w:rPr>
                <w:sz w:val="20"/>
                <w:szCs w:val="20"/>
              </w:rPr>
              <w:t>0</w:t>
            </w:r>
          </w:p>
        </w:tc>
        <w:tc>
          <w:tcPr>
            <w:tcW w:w="288" w:type="pct"/>
          </w:tcPr>
          <w:p w14:paraId="2DD2AAE8" w14:textId="77777777" w:rsidR="00247AD2" w:rsidRPr="00672714" w:rsidRDefault="00247AD2" w:rsidP="00672714">
            <w:pPr>
              <w:pStyle w:val="BodyText"/>
              <w:rPr>
                <w:sz w:val="20"/>
                <w:szCs w:val="20"/>
              </w:rPr>
            </w:pPr>
            <w:r w:rsidRPr="00672714">
              <w:rPr>
                <w:sz w:val="20"/>
                <w:szCs w:val="20"/>
              </w:rPr>
              <w:t>0</w:t>
            </w:r>
          </w:p>
        </w:tc>
        <w:tc>
          <w:tcPr>
            <w:tcW w:w="288" w:type="pct"/>
          </w:tcPr>
          <w:p w14:paraId="05F35EED" w14:textId="77777777" w:rsidR="00247AD2" w:rsidRPr="00672714" w:rsidRDefault="00247AD2" w:rsidP="00672714">
            <w:pPr>
              <w:pStyle w:val="BodyText"/>
              <w:rPr>
                <w:sz w:val="20"/>
                <w:szCs w:val="20"/>
              </w:rPr>
            </w:pPr>
            <w:r w:rsidRPr="00672714">
              <w:rPr>
                <w:sz w:val="20"/>
                <w:szCs w:val="20"/>
              </w:rPr>
              <w:t>0</w:t>
            </w:r>
          </w:p>
        </w:tc>
        <w:tc>
          <w:tcPr>
            <w:tcW w:w="288" w:type="pct"/>
          </w:tcPr>
          <w:p w14:paraId="648D5900" w14:textId="77777777" w:rsidR="00247AD2" w:rsidRPr="00672714" w:rsidRDefault="00247AD2" w:rsidP="00672714">
            <w:pPr>
              <w:pStyle w:val="BodyText"/>
              <w:rPr>
                <w:sz w:val="20"/>
                <w:szCs w:val="20"/>
              </w:rPr>
            </w:pPr>
            <w:r w:rsidRPr="00672714">
              <w:rPr>
                <w:sz w:val="20"/>
                <w:szCs w:val="20"/>
              </w:rPr>
              <w:t>0</w:t>
            </w:r>
          </w:p>
        </w:tc>
        <w:tc>
          <w:tcPr>
            <w:tcW w:w="288" w:type="pct"/>
          </w:tcPr>
          <w:p w14:paraId="1D9C49F7" w14:textId="77777777" w:rsidR="00247AD2" w:rsidRPr="00672714" w:rsidRDefault="00247AD2" w:rsidP="00672714">
            <w:pPr>
              <w:pStyle w:val="BodyText"/>
              <w:rPr>
                <w:sz w:val="20"/>
                <w:szCs w:val="20"/>
              </w:rPr>
            </w:pPr>
            <w:r w:rsidRPr="00672714">
              <w:rPr>
                <w:sz w:val="20"/>
                <w:szCs w:val="20"/>
              </w:rPr>
              <w:t>0</w:t>
            </w:r>
          </w:p>
        </w:tc>
        <w:tc>
          <w:tcPr>
            <w:tcW w:w="288" w:type="pct"/>
          </w:tcPr>
          <w:p w14:paraId="0FCE50F7" w14:textId="77777777" w:rsidR="00247AD2" w:rsidRPr="00672714" w:rsidRDefault="00247AD2" w:rsidP="00672714">
            <w:pPr>
              <w:pStyle w:val="BodyText"/>
              <w:rPr>
                <w:sz w:val="20"/>
                <w:szCs w:val="20"/>
              </w:rPr>
            </w:pPr>
            <w:r w:rsidRPr="00672714">
              <w:rPr>
                <w:sz w:val="20"/>
                <w:szCs w:val="20"/>
              </w:rPr>
              <w:t>0</w:t>
            </w:r>
          </w:p>
        </w:tc>
        <w:tc>
          <w:tcPr>
            <w:tcW w:w="288" w:type="pct"/>
          </w:tcPr>
          <w:p w14:paraId="7904CB19" w14:textId="77777777" w:rsidR="00247AD2" w:rsidRPr="00672714" w:rsidRDefault="00247AD2" w:rsidP="00672714">
            <w:pPr>
              <w:pStyle w:val="BodyText"/>
              <w:rPr>
                <w:sz w:val="20"/>
                <w:szCs w:val="20"/>
              </w:rPr>
            </w:pPr>
            <w:r w:rsidRPr="00672714">
              <w:rPr>
                <w:sz w:val="20"/>
                <w:szCs w:val="20"/>
              </w:rPr>
              <w:t>0</w:t>
            </w:r>
          </w:p>
        </w:tc>
        <w:tc>
          <w:tcPr>
            <w:tcW w:w="288" w:type="pct"/>
          </w:tcPr>
          <w:p w14:paraId="47F08733" w14:textId="77777777" w:rsidR="00247AD2" w:rsidRPr="00672714" w:rsidRDefault="00247AD2" w:rsidP="00672714">
            <w:pPr>
              <w:pStyle w:val="BodyText"/>
              <w:rPr>
                <w:sz w:val="20"/>
                <w:szCs w:val="20"/>
              </w:rPr>
            </w:pPr>
            <w:r w:rsidRPr="00672714">
              <w:rPr>
                <w:sz w:val="20"/>
                <w:szCs w:val="20"/>
              </w:rPr>
              <w:t>0</w:t>
            </w:r>
          </w:p>
        </w:tc>
        <w:tc>
          <w:tcPr>
            <w:tcW w:w="288" w:type="pct"/>
          </w:tcPr>
          <w:p w14:paraId="717F98F3" w14:textId="77777777" w:rsidR="00247AD2" w:rsidRPr="00672714" w:rsidRDefault="00247AD2" w:rsidP="00672714">
            <w:pPr>
              <w:pStyle w:val="BodyText"/>
              <w:rPr>
                <w:sz w:val="20"/>
                <w:szCs w:val="20"/>
              </w:rPr>
            </w:pPr>
            <w:r w:rsidRPr="00672714">
              <w:rPr>
                <w:sz w:val="20"/>
                <w:szCs w:val="20"/>
              </w:rPr>
              <w:t>0</w:t>
            </w:r>
          </w:p>
        </w:tc>
        <w:tc>
          <w:tcPr>
            <w:tcW w:w="275" w:type="pct"/>
          </w:tcPr>
          <w:p w14:paraId="471B91EC" w14:textId="77777777" w:rsidR="00247AD2" w:rsidRPr="00672714" w:rsidRDefault="00247AD2" w:rsidP="00672714">
            <w:pPr>
              <w:pStyle w:val="BodyText"/>
              <w:rPr>
                <w:sz w:val="20"/>
                <w:szCs w:val="20"/>
              </w:rPr>
            </w:pPr>
            <w:r w:rsidRPr="00672714">
              <w:rPr>
                <w:sz w:val="20"/>
                <w:szCs w:val="20"/>
              </w:rPr>
              <w:t>0</w:t>
            </w:r>
          </w:p>
        </w:tc>
        <w:tc>
          <w:tcPr>
            <w:tcW w:w="275" w:type="pct"/>
          </w:tcPr>
          <w:p w14:paraId="07B9D717" w14:textId="77777777" w:rsidR="00247AD2" w:rsidRPr="00672714" w:rsidRDefault="00247AD2" w:rsidP="00672714">
            <w:pPr>
              <w:pStyle w:val="BodyText"/>
              <w:rPr>
                <w:sz w:val="20"/>
                <w:szCs w:val="20"/>
              </w:rPr>
            </w:pPr>
            <w:r w:rsidRPr="00672714">
              <w:rPr>
                <w:sz w:val="20"/>
                <w:szCs w:val="20"/>
              </w:rPr>
              <w:t>0</w:t>
            </w:r>
          </w:p>
        </w:tc>
        <w:tc>
          <w:tcPr>
            <w:tcW w:w="275" w:type="pct"/>
          </w:tcPr>
          <w:p w14:paraId="7F7D4459" w14:textId="77777777" w:rsidR="00247AD2" w:rsidRPr="00672714" w:rsidRDefault="00247AD2" w:rsidP="00672714">
            <w:pPr>
              <w:pStyle w:val="BodyText"/>
              <w:rPr>
                <w:sz w:val="20"/>
                <w:szCs w:val="20"/>
              </w:rPr>
            </w:pPr>
            <w:r w:rsidRPr="00672714">
              <w:rPr>
                <w:sz w:val="20"/>
                <w:szCs w:val="20"/>
              </w:rPr>
              <w:t>0</w:t>
            </w:r>
          </w:p>
        </w:tc>
        <w:tc>
          <w:tcPr>
            <w:tcW w:w="275" w:type="pct"/>
          </w:tcPr>
          <w:p w14:paraId="03B416FA" w14:textId="77777777" w:rsidR="00247AD2" w:rsidRPr="00672714" w:rsidRDefault="00247AD2" w:rsidP="00672714">
            <w:pPr>
              <w:pStyle w:val="BodyText"/>
              <w:rPr>
                <w:sz w:val="20"/>
                <w:szCs w:val="20"/>
              </w:rPr>
            </w:pPr>
            <w:r w:rsidRPr="00672714">
              <w:rPr>
                <w:sz w:val="20"/>
                <w:szCs w:val="20"/>
              </w:rPr>
              <w:t>0</w:t>
            </w:r>
          </w:p>
        </w:tc>
        <w:tc>
          <w:tcPr>
            <w:tcW w:w="275" w:type="pct"/>
          </w:tcPr>
          <w:p w14:paraId="2EE2260D" w14:textId="77777777" w:rsidR="00247AD2" w:rsidRPr="00672714" w:rsidRDefault="00247AD2" w:rsidP="00672714">
            <w:pPr>
              <w:pStyle w:val="BodyText"/>
              <w:rPr>
                <w:sz w:val="20"/>
                <w:szCs w:val="20"/>
              </w:rPr>
            </w:pPr>
            <w:r w:rsidRPr="00672714">
              <w:rPr>
                <w:sz w:val="20"/>
                <w:szCs w:val="20"/>
              </w:rPr>
              <w:t>0</w:t>
            </w:r>
          </w:p>
        </w:tc>
        <w:tc>
          <w:tcPr>
            <w:tcW w:w="275" w:type="pct"/>
          </w:tcPr>
          <w:p w14:paraId="34DA8129" w14:textId="77777777" w:rsidR="00247AD2" w:rsidRPr="00672714" w:rsidRDefault="00247AD2" w:rsidP="00672714">
            <w:pPr>
              <w:pStyle w:val="BodyText"/>
              <w:rPr>
                <w:sz w:val="20"/>
                <w:szCs w:val="20"/>
              </w:rPr>
            </w:pPr>
            <w:r w:rsidRPr="00672714">
              <w:rPr>
                <w:sz w:val="20"/>
                <w:szCs w:val="20"/>
              </w:rPr>
              <w:t>0</w:t>
            </w:r>
          </w:p>
        </w:tc>
        <w:tc>
          <w:tcPr>
            <w:tcW w:w="288" w:type="pct"/>
          </w:tcPr>
          <w:p w14:paraId="3D99E3D4" w14:textId="77777777" w:rsidR="00247AD2" w:rsidRPr="00672714" w:rsidRDefault="00247AD2" w:rsidP="00672714">
            <w:pPr>
              <w:pStyle w:val="BodyText"/>
              <w:rPr>
                <w:sz w:val="20"/>
                <w:szCs w:val="20"/>
              </w:rPr>
            </w:pPr>
            <w:r w:rsidRPr="00672714">
              <w:rPr>
                <w:rStyle w:val="01bodybold"/>
                <w:sz w:val="20"/>
                <w:szCs w:val="20"/>
              </w:rPr>
              <w:t xml:space="preserve">0 </w:t>
            </w:r>
          </w:p>
        </w:tc>
      </w:tr>
      <w:tr w:rsidR="00247AD2" w:rsidRPr="00672714" w14:paraId="57019AB5" w14:textId="77777777" w:rsidTr="006A0585">
        <w:trPr>
          <w:trHeight w:val="396"/>
        </w:trPr>
        <w:tc>
          <w:tcPr>
            <w:tcW w:w="475" w:type="pct"/>
          </w:tcPr>
          <w:p w14:paraId="6DD48BAC" w14:textId="77777777" w:rsidR="00247AD2" w:rsidRPr="00672714" w:rsidRDefault="00247AD2" w:rsidP="00672714">
            <w:pPr>
              <w:pStyle w:val="BodyText"/>
              <w:rPr>
                <w:sz w:val="20"/>
                <w:szCs w:val="20"/>
              </w:rPr>
            </w:pPr>
            <w:r w:rsidRPr="00672714">
              <w:rPr>
                <w:rStyle w:val="01bodybold"/>
                <w:sz w:val="20"/>
                <w:szCs w:val="20"/>
              </w:rPr>
              <w:t>Total</w:t>
            </w:r>
          </w:p>
        </w:tc>
        <w:tc>
          <w:tcPr>
            <w:tcW w:w="288" w:type="pct"/>
          </w:tcPr>
          <w:p w14:paraId="0DFF3C2D" w14:textId="77777777" w:rsidR="00247AD2" w:rsidRPr="00672714" w:rsidRDefault="00247AD2" w:rsidP="00672714">
            <w:pPr>
              <w:pStyle w:val="BodyText"/>
              <w:rPr>
                <w:sz w:val="20"/>
                <w:szCs w:val="20"/>
              </w:rPr>
            </w:pPr>
            <w:r w:rsidRPr="00672714">
              <w:rPr>
                <w:rStyle w:val="01bodybold"/>
                <w:sz w:val="20"/>
                <w:szCs w:val="20"/>
              </w:rPr>
              <w:t>39</w:t>
            </w:r>
          </w:p>
        </w:tc>
        <w:tc>
          <w:tcPr>
            <w:tcW w:w="288" w:type="pct"/>
          </w:tcPr>
          <w:p w14:paraId="13B43309" w14:textId="77777777" w:rsidR="00247AD2" w:rsidRPr="00672714" w:rsidRDefault="00247AD2" w:rsidP="00672714">
            <w:pPr>
              <w:pStyle w:val="BodyText"/>
              <w:rPr>
                <w:sz w:val="20"/>
                <w:szCs w:val="20"/>
              </w:rPr>
            </w:pPr>
            <w:r w:rsidRPr="00672714">
              <w:rPr>
                <w:rStyle w:val="01bodybold"/>
                <w:sz w:val="20"/>
                <w:szCs w:val="20"/>
              </w:rPr>
              <w:t>92</w:t>
            </w:r>
          </w:p>
        </w:tc>
        <w:tc>
          <w:tcPr>
            <w:tcW w:w="288" w:type="pct"/>
          </w:tcPr>
          <w:p w14:paraId="0316ABF3" w14:textId="77777777" w:rsidR="00247AD2" w:rsidRPr="00672714" w:rsidRDefault="00247AD2" w:rsidP="00672714">
            <w:pPr>
              <w:pStyle w:val="BodyText"/>
              <w:rPr>
                <w:sz w:val="20"/>
                <w:szCs w:val="20"/>
              </w:rPr>
            </w:pPr>
            <w:r w:rsidRPr="00672714">
              <w:rPr>
                <w:rStyle w:val="01bodybold"/>
                <w:sz w:val="20"/>
                <w:szCs w:val="20"/>
              </w:rPr>
              <w:t>131</w:t>
            </w:r>
          </w:p>
        </w:tc>
        <w:tc>
          <w:tcPr>
            <w:tcW w:w="288" w:type="pct"/>
          </w:tcPr>
          <w:p w14:paraId="17CF4E4A" w14:textId="77777777" w:rsidR="00247AD2" w:rsidRPr="00672714" w:rsidRDefault="00247AD2" w:rsidP="00672714">
            <w:pPr>
              <w:pStyle w:val="BodyText"/>
              <w:rPr>
                <w:sz w:val="20"/>
                <w:szCs w:val="20"/>
              </w:rPr>
            </w:pPr>
            <w:r w:rsidRPr="00672714">
              <w:rPr>
                <w:rStyle w:val="01bodybold"/>
                <w:sz w:val="20"/>
                <w:szCs w:val="20"/>
              </w:rPr>
              <w:t>60</w:t>
            </w:r>
          </w:p>
        </w:tc>
        <w:tc>
          <w:tcPr>
            <w:tcW w:w="288" w:type="pct"/>
          </w:tcPr>
          <w:p w14:paraId="06FB2B87" w14:textId="77777777" w:rsidR="00247AD2" w:rsidRPr="00672714" w:rsidRDefault="00247AD2" w:rsidP="00672714">
            <w:pPr>
              <w:pStyle w:val="BodyText"/>
              <w:rPr>
                <w:sz w:val="20"/>
                <w:szCs w:val="20"/>
              </w:rPr>
            </w:pPr>
            <w:r w:rsidRPr="00672714">
              <w:rPr>
                <w:rStyle w:val="01bodybold"/>
                <w:sz w:val="20"/>
                <w:szCs w:val="20"/>
              </w:rPr>
              <w:t>242</w:t>
            </w:r>
          </w:p>
        </w:tc>
        <w:tc>
          <w:tcPr>
            <w:tcW w:w="288" w:type="pct"/>
          </w:tcPr>
          <w:p w14:paraId="6CC19ED3" w14:textId="77777777" w:rsidR="00247AD2" w:rsidRPr="00672714" w:rsidRDefault="00247AD2" w:rsidP="00672714">
            <w:pPr>
              <w:pStyle w:val="BodyText"/>
              <w:rPr>
                <w:sz w:val="20"/>
                <w:szCs w:val="20"/>
              </w:rPr>
            </w:pPr>
            <w:r w:rsidRPr="00672714">
              <w:rPr>
                <w:rStyle w:val="01bodybold"/>
                <w:sz w:val="20"/>
                <w:szCs w:val="20"/>
              </w:rPr>
              <w:t>302</w:t>
            </w:r>
          </w:p>
        </w:tc>
        <w:tc>
          <w:tcPr>
            <w:tcW w:w="288" w:type="pct"/>
          </w:tcPr>
          <w:p w14:paraId="5AF6FB1D" w14:textId="77777777" w:rsidR="00247AD2" w:rsidRPr="00672714" w:rsidRDefault="00247AD2" w:rsidP="00672714">
            <w:pPr>
              <w:pStyle w:val="BodyText"/>
              <w:rPr>
                <w:sz w:val="20"/>
                <w:szCs w:val="20"/>
              </w:rPr>
            </w:pPr>
            <w:r w:rsidRPr="00672714">
              <w:rPr>
                <w:rStyle w:val="01bodybold"/>
                <w:sz w:val="20"/>
                <w:szCs w:val="20"/>
              </w:rPr>
              <w:t>3</w:t>
            </w:r>
          </w:p>
        </w:tc>
        <w:tc>
          <w:tcPr>
            <w:tcW w:w="288" w:type="pct"/>
          </w:tcPr>
          <w:p w14:paraId="500C681E" w14:textId="77777777" w:rsidR="00247AD2" w:rsidRPr="00672714" w:rsidRDefault="00247AD2" w:rsidP="00672714">
            <w:pPr>
              <w:pStyle w:val="BodyText"/>
              <w:rPr>
                <w:sz w:val="20"/>
                <w:szCs w:val="20"/>
              </w:rPr>
            </w:pPr>
            <w:r w:rsidRPr="00672714">
              <w:rPr>
                <w:rStyle w:val="01bodybold"/>
                <w:sz w:val="20"/>
                <w:szCs w:val="20"/>
              </w:rPr>
              <w:t>1</w:t>
            </w:r>
          </w:p>
        </w:tc>
        <w:tc>
          <w:tcPr>
            <w:tcW w:w="288" w:type="pct"/>
          </w:tcPr>
          <w:p w14:paraId="070325E9" w14:textId="77777777" w:rsidR="00247AD2" w:rsidRPr="00672714" w:rsidRDefault="00247AD2" w:rsidP="00672714">
            <w:pPr>
              <w:pStyle w:val="BodyText"/>
              <w:rPr>
                <w:sz w:val="20"/>
                <w:szCs w:val="20"/>
              </w:rPr>
            </w:pPr>
            <w:r w:rsidRPr="00672714">
              <w:rPr>
                <w:rStyle w:val="01bodybold"/>
                <w:sz w:val="20"/>
                <w:szCs w:val="20"/>
              </w:rPr>
              <w:t>4</w:t>
            </w:r>
          </w:p>
        </w:tc>
        <w:tc>
          <w:tcPr>
            <w:tcW w:w="275" w:type="pct"/>
          </w:tcPr>
          <w:p w14:paraId="1ED21B69" w14:textId="77777777" w:rsidR="00247AD2" w:rsidRPr="00672714" w:rsidRDefault="00247AD2" w:rsidP="00672714">
            <w:pPr>
              <w:pStyle w:val="BodyText"/>
              <w:rPr>
                <w:sz w:val="20"/>
                <w:szCs w:val="20"/>
              </w:rPr>
            </w:pPr>
            <w:r w:rsidRPr="00672714">
              <w:rPr>
                <w:rStyle w:val="01bodybold"/>
                <w:sz w:val="20"/>
                <w:szCs w:val="20"/>
              </w:rPr>
              <w:t>0</w:t>
            </w:r>
          </w:p>
        </w:tc>
        <w:tc>
          <w:tcPr>
            <w:tcW w:w="275" w:type="pct"/>
          </w:tcPr>
          <w:p w14:paraId="7D7254B8" w14:textId="77777777" w:rsidR="00247AD2" w:rsidRPr="00672714" w:rsidRDefault="00247AD2" w:rsidP="00672714">
            <w:pPr>
              <w:pStyle w:val="BodyText"/>
              <w:rPr>
                <w:sz w:val="20"/>
                <w:szCs w:val="20"/>
              </w:rPr>
            </w:pPr>
            <w:r w:rsidRPr="00672714">
              <w:rPr>
                <w:rStyle w:val="01bodybold"/>
                <w:sz w:val="20"/>
                <w:szCs w:val="20"/>
              </w:rPr>
              <w:t>0</w:t>
            </w:r>
          </w:p>
        </w:tc>
        <w:tc>
          <w:tcPr>
            <w:tcW w:w="275" w:type="pct"/>
          </w:tcPr>
          <w:p w14:paraId="26292549" w14:textId="77777777" w:rsidR="00247AD2" w:rsidRPr="00672714" w:rsidRDefault="00247AD2" w:rsidP="00672714">
            <w:pPr>
              <w:pStyle w:val="BodyText"/>
              <w:rPr>
                <w:sz w:val="20"/>
                <w:szCs w:val="20"/>
              </w:rPr>
            </w:pPr>
            <w:r w:rsidRPr="00672714">
              <w:rPr>
                <w:rStyle w:val="01bodybold"/>
                <w:sz w:val="20"/>
                <w:szCs w:val="20"/>
              </w:rPr>
              <w:t>0</w:t>
            </w:r>
          </w:p>
        </w:tc>
        <w:tc>
          <w:tcPr>
            <w:tcW w:w="275" w:type="pct"/>
          </w:tcPr>
          <w:p w14:paraId="1388208A" w14:textId="77777777" w:rsidR="00247AD2" w:rsidRPr="00672714" w:rsidRDefault="00247AD2" w:rsidP="00672714">
            <w:pPr>
              <w:pStyle w:val="BodyText"/>
              <w:rPr>
                <w:sz w:val="20"/>
                <w:szCs w:val="20"/>
              </w:rPr>
            </w:pPr>
            <w:r w:rsidRPr="00672714">
              <w:rPr>
                <w:rStyle w:val="01bodybold"/>
                <w:sz w:val="20"/>
                <w:szCs w:val="20"/>
              </w:rPr>
              <w:t>0</w:t>
            </w:r>
          </w:p>
        </w:tc>
        <w:tc>
          <w:tcPr>
            <w:tcW w:w="275" w:type="pct"/>
          </w:tcPr>
          <w:p w14:paraId="6854F864" w14:textId="77777777" w:rsidR="00247AD2" w:rsidRPr="00672714" w:rsidRDefault="00247AD2" w:rsidP="00672714">
            <w:pPr>
              <w:pStyle w:val="BodyText"/>
              <w:rPr>
                <w:sz w:val="20"/>
                <w:szCs w:val="20"/>
              </w:rPr>
            </w:pPr>
            <w:r w:rsidRPr="00672714">
              <w:rPr>
                <w:rStyle w:val="01bodybold"/>
                <w:sz w:val="20"/>
                <w:szCs w:val="20"/>
              </w:rPr>
              <w:t>0</w:t>
            </w:r>
          </w:p>
        </w:tc>
        <w:tc>
          <w:tcPr>
            <w:tcW w:w="275" w:type="pct"/>
          </w:tcPr>
          <w:p w14:paraId="1EC9FF41" w14:textId="77777777" w:rsidR="00247AD2" w:rsidRPr="00672714" w:rsidRDefault="00247AD2" w:rsidP="00672714">
            <w:pPr>
              <w:pStyle w:val="BodyText"/>
              <w:rPr>
                <w:sz w:val="20"/>
                <w:szCs w:val="20"/>
              </w:rPr>
            </w:pPr>
            <w:r w:rsidRPr="00672714">
              <w:rPr>
                <w:rStyle w:val="01bodybold"/>
                <w:sz w:val="20"/>
                <w:szCs w:val="20"/>
              </w:rPr>
              <w:t>0</w:t>
            </w:r>
          </w:p>
        </w:tc>
        <w:tc>
          <w:tcPr>
            <w:tcW w:w="288" w:type="pct"/>
          </w:tcPr>
          <w:p w14:paraId="46521BCE" w14:textId="77777777" w:rsidR="00247AD2" w:rsidRPr="00672714" w:rsidRDefault="00247AD2" w:rsidP="00672714">
            <w:pPr>
              <w:pStyle w:val="BodyText"/>
              <w:rPr>
                <w:sz w:val="20"/>
                <w:szCs w:val="20"/>
              </w:rPr>
            </w:pPr>
            <w:r w:rsidRPr="00672714">
              <w:rPr>
                <w:rStyle w:val="01bodybold"/>
                <w:sz w:val="20"/>
                <w:szCs w:val="20"/>
              </w:rPr>
              <w:t xml:space="preserve">437 </w:t>
            </w:r>
          </w:p>
        </w:tc>
      </w:tr>
    </w:tbl>
    <w:p w14:paraId="4C22DCEF" w14:textId="71947F19" w:rsidR="00247AD2" w:rsidRDefault="00247AD2" w:rsidP="003C55F1">
      <w:pPr>
        <w:pStyle w:val="ProductCode"/>
      </w:pPr>
      <w:r>
        <w:t>(a)</w:t>
      </w:r>
      <w:r w:rsidR="003C55F1">
        <w:t xml:space="preserve"> </w:t>
      </w:r>
      <w:r>
        <w:t>Non-ongoing employees include irregular/intermittent staff.</w:t>
      </w:r>
    </w:p>
    <w:p w14:paraId="70829D8E" w14:textId="73E05D27" w:rsidR="00247AD2" w:rsidRPr="003C55F1" w:rsidRDefault="003C55F1" w:rsidP="003C55F1">
      <w:pPr>
        <w:pStyle w:val="BodyText"/>
        <w:rPr>
          <w:b/>
          <w:bCs/>
        </w:rPr>
      </w:pPr>
      <w:r w:rsidRPr="003C55F1">
        <w:rPr>
          <w:b/>
          <w:bCs/>
        </w:rPr>
        <w:t>Table 6</w:t>
      </w:r>
      <w:r>
        <w:rPr>
          <w:b/>
          <w:bCs/>
        </w:rPr>
        <w:t>5</w:t>
      </w:r>
      <w:r w:rsidRPr="003C55F1">
        <w:rPr>
          <w:b/>
          <w:bCs/>
        </w:rPr>
        <w:t>:</w:t>
      </w:r>
      <w:r w:rsidR="00247AD2" w:rsidRPr="003C55F1">
        <w:rPr>
          <w:b/>
          <w:bCs/>
        </w:rPr>
        <w:t xml:space="preserve"> Australian Public Service Act non-ongoing employees 2023–24</w:t>
      </w:r>
      <w:r w:rsidR="00247AD2" w:rsidRPr="003C55F1">
        <w:rPr>
          <w:b/>
          <w:bCs/>
          <w:vertAlign w:val="superscript"/>
        </w:rPr>
        <w:t>(a)</w:t>
      </w:r>
      <w:r w:rsidR="00247AD2" w:rsidRPr="003C55F1">
        <w:rPr>
          <w:b/>
          <w:bCs/>
        </w:rPr>
        <w:t xml:space="preserve"> (as at 30 June 2024)</w:t>
      </w:r>
    </w:p>
    <w:tbl>
      <w:tblPr>
        <w:tblStyle w:val="TableGrid"/>
        <w:tblW w:w="5000" w:type="pct"/>
        <w:tblLook w:val="04A0" w:firstRow="1" w:lastRow="0" w:firstColumn="1" w:lastColumn="0" w:noHBand="0" w:noVBand="1"/>
        <w:tblCaption w:val="Australian Public Service Act non-ongoing employees 2023–24(a) (as at 30 June 2024)"/>
      </w:tblPr>
      <w:tblGrid>
        <w:gridCol w:w="998"/>
        <w:gridCol w:w="603"/>
        <w:gridCol w:w="633"/>
        <w:gridCol w:w="653"/>
        <w:gridCol w:w="603"/>
        <w:gridCol w:w="633"/>
        <w:gridCol w:w="653"/>
        <w:gridCol w:w="603"/>
        <w:gridCol w:w="633"/>
        <w:gridCol w:w="653"/>
        <w:gridCol w:w="603"/>
        <w:gridCol w:w="633"/>
        <w:gridCol w:w="653"/>
        <w:gridCol w:w="603"/>
        <w:gridCol w:w="633"/>
        <w:gridCol w:w="653"/>
        <w:gridCol w:w="653"/>
      </w:tblGrid>
      <w:tr w:rsidR="00247AD2" w:rsidRPr="00672714" w14:paraId="1B32B9CA" w14:textId="77777777" w:rsidTr="00672714">
        <w:trPr>
          <w:trHeight w:val="369"/>
          <w:tblHeader/>
        </w:trPr>
        <w:tc>
          <w:tcPr>
            <w:tcW w:w="475" w:type="pct"/>
          </w:tcPr>
          <w:p w14:paraId="5DE33D88" w14:textId="77777777" w:rsidR="00247AD2" w:rsidRPr="00672714" w:rsidRDefault="00247AD2" w:rsidP="00672714">
            <w:pPr>
              <w:pStyle w:val="BodyText"/>
              <w:rPr>
                <w:sz w:val="20"/>
                <w:szCs w:val="20"/>
              </w:rPr>
            </w:pPr>
          </w:p>
        </w:tc>
        <w:tc>
          <w:tcPr>
            <w:tcW w:w="863" w:type="pct"/>
            <w:gridSpan w:val="3"/>
          </w:tcPr>
          <w:p w14:paraId="71BC6870" w14:textId="77777777" w:rsidR="00247AD2" w:rsidRPr="00672714" w:rsidRDefault="00247AD2" w:rsidP="00672714">
            <w:pPr>
              <w:pStyle w:val="BodyText"/>
              <w:rPr>
                <w:b/>
                <w:bCs/>
                <w:sz w:val="20"/>
                <w:szCs w:val="20"/>
              </w:rPr>
            </w:pPr>
            <w:r w:rsidRPr="00672714">
              <w:rPr>
                <w:b/>
                <w:bCs/>
                <w:sz w:val="20"/>
                <w:szCs w:val="20"/>
              </w:rPr>
              <w:t>Man/male</w:t>
            </w:r>
          </w:p>
        </w:tc>
        <w:tc>
          <w:tcPr>
            <w:tcW w:w="863" w:type="pct"/>
            <w:gridSpan w:val="3"/>
          </w:tcPr>
          <w:p w14:paraId="63FF8F51" w14:textId="77777777" w:rsidR="00247AD2" w:rsidRPr="00672714" w:rsidRDefault="00247AD2" w:rsidP="00672714">
            <w:pPr>
              <w:pStyle w:val="BodyText"/>
              <w:rPr>
                <w:b/>
                <w:bCs/>
                <w:sz w:val="20"/>
                <w:szCs w:val="20"/>
              </w:rPr>
            </w:pPr>
            <w:r w:rsidRPr="00672714">
              <w:rPr>
                <w:b/>
                <w:bCs/>
                <w:sz w:val="20"/>
                <w:szCs w:val="20"/>
              </w:rPr>
              <w:t>Woman/female</w:t>
            </w:r>
          </w:p>
        </w:tc>
        <w:tc>
          <w:tcPr>
            <w:tcW w:w="863" w:type="pct"/>
            <w:gridSpan w:val="3"/>
          </w:tcPr>
          <w:p w14:paraId="5E29EF5D" w14:textId="77777777" w:rsidR="00247AD2" w:rsidRPr="00672714" w:rsidRDefault="00247AD2" w:rsidP="00672714">
            <w:pPr>
              <w:pStyle w:val="BodyText"/>
              <w:rPr>
                <w:b/>
                <w:bCs/>
                <w:sz w:val="20"/>
                <w:szCs w:val="20"/>
              </w:rPr>
            </w:pPr>
            <w:r w:rsidRPr="00672714">
              <w:rPr>
                <w:b/>
                <w:bCs/>
                <w:sz w:val="20"/>
                <w:szCs w:val="20"/>
              </w:rPr>
              <w:t>Non-binary</w:t>
            </w:r>
          </w:p>
        </w:tc>
        <w:tc>
          <w:tcPr>
            <w:tcW w:w="825" w:type="pct"/>
            <w:gridSpan w:val="3"/>
          </w:tcPr>
          <w:p w14:paraId="09D0B3EE" w14:textId="77777777" w:rsidR="00247AD2" w:rsidRPr="00672714" w:rsidRDefault="00247AD2" w:rsidP="00672714">
            <w:pPr>
              <w:pStyle w:val="BodyText"/>
              <w:rPr>
                <w:b/>
                <w:bCs/>
                <w:sz w:val="20"/>
                <w:szCs w:val="20"/>
              </w:rPr>
            </w:pPr>
            <w:r w:rsidRPr="00672714">
              <w:rPr>
                <w:b/>
                <w:bCs/>
                <w:sz w:val="20"/>
                <w:szCs w:val="20"/>
              </w:rPr>
              <w:t>Prefers not to answer</w:t>
            </w:r>
          </w:p>
        </w:tc>
        <w:tc>
          <w:tcPr>
            <w:tcW w:w="825" w:type="pct"/>
            <w:gridSpan w:val="3"/>
          </w:tcPr>
          <w:p w14:paraId="26936F94" w14:textId="77777777" w:rsidR="00247AD2" w:rsidRPr="00672714" w:rsidRDefault="00247AD2" w:rsidP="00672714">
            <w:pPr>
              <w:pStyle w:val="BodyText"/>
              <w:rPr>
                <w:b/>
                <w:bCs/>
                <w:sz w:val="20"/>
                <w:szCs w:val="20"/>
              </w:rPr>
            </w:pPr>
            <w:r w:rsidRPr="00672714">
              <w:rPr>
                <w:b/>
                <w:bCs/>
                <w:sz w:val="20"/>
                <w:szCs w:val="20"/>
              </w:rPr>
              <w:t>Uses a different term</w:t>
            </w:r>
          </w:p>
        </w:tc>
        <w:tc>
          <w:tcPr>
            <w:tcW w:w="288" w:type="pct"/>
          </w:tcPr>
          <w:p w14:paraId="012C4A80" w14:textId="77777777" w:rsidR="00247AD2" w:rsidRPr="00672714" w:rsidRDefault="00247AD2" w:rsidP="00672714">
            <w:pPr>
              <w:pStyle w:val="BodyText"/>
              <w:rPr>
                <w:sz w:val="20"/>
                <w:szCs w:val="20"/>
              </w:rPr>
            </w:pPr>
            <w:r w:rsidRPr="00672714">
              <w:rPr>
                <w:rStyle w:val="Bold"/>
                <w:sz w:val="20"/>
                <w:szCs w:val="20"/>
              </w:rPr>
              <w:t>Total</w:t>
            </w:r>
          </w:p>
        </w:tc>
      </w:tr>
      <w:tr w:rsidR="00247AD2" w:rsidRPr="00672714" w14:paraId="37E66BD0" w14:textId="77777777" w:rsidTr="00672714">
        <w:trPr>
          <w:trHeight w:val="597"/>
          <w:tblHeader/>
        </w:trPr>
        <w:tc>
          <w:tcPr>
            <w:tcW w:w="475" w:type="pct"/>
          </w:tcPr>
          <w:p w14:paraId="040E3116" w14:textId="77777777" w:rsidR="00247AD2" w:rsidRPr="00672714" w:rsidRDefault="00247AD2" w:rsidP="00672714">
            <w:pPr>
              <w:pStyle w:val="BodyText"/>
              <w:rPr>
                <w:sz w:val="20"/>
                <w:szCs w:val="20"/>
              </w:rPr>
            </w:pPr>
          </w:p>
        </w:tc>
        <w:tc>
          <w:tcPr>
            <w:tcW w:w="288" w:type="pct"/>
          </w:tcPr>
          <w:p w14:paraId="2F7DC889" w14:textId="77777777" w:rsidR="00247AD2" w:rsidRPr="00672714" w:rsidRDefault="00247AD2" w:rsidP="00672714">
            <w:pPr>
              <w:pStyle w:val="BodyText"/>
              <w:rPr>
                <w:sz w:val="20"/>
                <w:szCs w:val="20"/>
              </w:rPr>
            </w:pPr>
            <w:r w:rsidRPr="00672714">
              <w:rPr>
                <w:rStyle w:val="Bold"/>
                <w:sz w:val="20"/>
                <w:szCs w:val="20"/>
              </w:rPr>
              <w:t>Full-time</w:t>
            </w:r>
          </w:p>
        </w:tc>
        <w:tc>
          <w:tcPr>
            <w:tcW w:w="288" w:type="pct"/>
          </w:tcPr>
          <w:p w14:paraId="0783000F" w14:textId="77777777" w:rsidR="00247AD2" w:rsidRPr="00672714" w:rsidRDefault="00247AD2" w:rsidP="00672714">
            <w:pPr>
              <w:pStyle w:val="BodyText"/>
              <w:rPr>
                <w:sz w:val="20"/>
                <w:szCs w:val="20"/>
              </w:rPr>
            </w:pPr>
            <w:r w:rsidRPr="00672714">
              <w:rPr>
                <w:rStyle w:val="Bold"/>
                <w:sz w:val="20"/>
                <w:szCs w:val="20"/>
              </w:rPr>
              <w:t>Part-time</w:t>
            </w:r>
          </w:p>
        </w:tc>
        <w:tc>
          <w:tcPr>
            <w:tcW w:w="288" w:type="pct"/>
          </w:tcPr>
          <w:p w14:paraId="47A5F7D5" w14:textId="77777777" w:rsidR="00247AD2" w:rsidRPr="00672714" w:rsidRDefault="00247AD2" w:rsidP="00672714">
            <w:pPr>
              <w:pStyle w:val="BodyText"/>
              <w:rPr>
                <w:sz w:val="20"/>
                <w:szCs w:val="20"/>
              </w:rPr>
            </w:pPr>
            <w:r w:rsidRPr="00672714">
              <w:rPr>
                <w:rStyle w:val="Bold"/>
                <w:sz w:val="20"/>
                <w:szCs w:val="20"/>
              </w:rPr>
              <w:t>Total</w:t>
            </w:r>
          </w:p>
        </w:tc>
        <w:tc>
          <w:tcPr>
            <w:tcW w:w="288" w:type="pct"/>
          </w:tcPr>
          <w:p w14:paraId="4521874C" w14:textId="77777777" w:rsidR="00247AD2" w:rsidRPr="00672714" w:rsidRDefault="00247AD2" w:rsidP="00672714">
            <w:pPr>
              <w:pStyle w:val="BodyText"/>
              <w:rPr>
                <w:sz w:val="20"/>
                <w:szCs w:val="20"/>
              </w:rPr>
            </w:pPr>
            <w:r w:rsidRPr="00672714">
              <w:rPr>
                <w:rStyle w:val="Bold"/>
                <w:sz w:val="20"/>
                <w:szCs w:val="20"/>
              </w:rPr>
              <w:t>Full-time</w:t>
            </w:r>
          </w:p>
        </w:tc>
        <w:tc>
          <w:tcPr>
            <w:tcW w:w="288" w:type="pct"/>
          </w:tcPr>
          <w:p w14:paraId="325059C2" w14:textId="77777777" w:rsidR="00247AD2" w:rsidRPr="00672714" w:rsidRDefault="00247AD2" w:rsidP="00672714">
            <w:pPr>
              <w:pStyle w:val="BodyText"/>
              <w:rPr>
                <w:sz w:val="20"/>
                <w:szCs w:val="20"/>
              </w:rPr>
            </w:pPr>
            <w:r w:rsidRPr="00672714">
              <w:rPr>
                <w:rStyle w:val="Bold"/>
                <w:sz w:val="20"/>
                <w:szCs w:val="20"/>
              </w:rPr>
              <w:t>Part-time</w:t>
            </w:r>
          </w:p>
        </w:tc>
        <w:tc>
          <w:tcPr>
            <w:tcW w:w="288" w:type="pct"/>
          </w:tcPr>
          <w:p w14:paraId="4F903793" w14:textId="77777777" w:rsidR="00247AD2" w:rsidRPr="00672714" w:rsidRDefault="00247AD2" w:rsidP="00672714">
            <w:pPr>
              <w:pStyle w:val="BodyText"/>
              <w:rPr>
                <w:sz w:val="20"/>
                <w:szCs w:val="20"/>
              </w:rPr>
            </w:pPr>
            <w:r w:rsidRPr="00672714">
              <w:rPr>
                <w:rStyle w:val="Bold"/>
                <w:sz w:val="20"/>
                <w:szCs w:val="20"/>
              </w:rPr>
              <w:t>Total</w:t>
            </w:r>
          </w:p>
        </w:tc>
        <w:tc>
          <w:tcPr>
            <w:tcW w:w="288" w:type="pct"/>
          </w:tcPr>
          <w:p w14:paraId="6AB0E2E8" w14:textId="77777777" w:rsidR="00247AD2" w:rsidRPr="00672714" w:rsidRDefault="00247AD2" w:rsidP="00672714">
            <w:pPr>
              <w:pStyle w:val="BodyText"/>
              <w:rPr>
                <w:sz w:val="20"/>
                <w:szCs w:val="20"/>
              </w:rPr>
            </w:pPr>
            <w:r w:rsidRPr="00672714">
              <w:rPr>
                <w:rStyle w:val="Bold"/>
                <w:sz w:val="20"/>
                <w:szCs w:val="20"/>
              </w:rPr>
              <w:t>Full-time</w:t>
            </w:r>
          </w:p>
        </w:tc>
        <w:tc>
          <w:tcPr>
            <w:tcW w:w="288" w:type="pct"/>
          </w:tcPr>
          <w:p w14:paraId="1EFDDCB0" w14:textId="77777777" w:rsidR="00247AD2" w:rsidRPr="00672714" w:rsidRDefault="00247AD2" w:rsidP="00672714">
            <w:pPr>
              <w:pStyle w:val="BodyText"/>
              <w:rPr>
                <w:sz w:val="20"/>
                <w:szCs w:val="20"/>
              </w:rPr>
            </w:pPr>
            <w:r w:rsidRPr="00672714">
              <w:rPr>
                <w:rStyle w:val="Bold"/>
                <w:sz w:val="20"/>
                <w:szCs w:val="20"/>
              </w:rPr>
              <w:t>Part-time</w:t>
            </w:r>
          </w:p>
        </w:tc>
        <w:tc>
          <w:tcPr>
            <w:tcW w:w="288" w:type="pct"/>
          </w:tcPr>
          <w:p w14:paraId="0C080FD3" w14:textId="77777777" w:rsidR="00247AD2" w:rsidRPr="00672714" w:rsidRDefault="00247AD2" w:rsidP="00672714">
            <w:pPr>
              <w:pStyle w:val="BodyText"/>
              <w:rPr>
                <w:sz w:val="20"/>
                <w:szCs w:val="20"/>
              </w:rPr>
            </w:pPr>
            <w:r w:rsidRPr="00672714">
              <w:rPr>
                <w:rStyle w:val="Bold"/>
                <w:sz w:val="20"/>
                <w:szCs w:val="20"/>
              </w:rPr>
              <w:t>Total</w:t>
            </w:r>
          </w:p>
        </w:tc>
        <w:tc>
          <w:tcPr>
            <w:tcW w:w="275" w:type="pct"/>
          </w:tcPr>
          <w:p w14:paraId="2C53DADC" w14:textId="77777777" w:rsidR="00247AD2" w:rsidRPr="00672714" w:rsidRDefault="00247AD2" w:rsidP="00672714">
            <w:pPr>
              <w:pStyle w:val="BodyText"/>
              <w:rPr>
                <w:sz w:val="20"/>
                <w:szCs w:val="20"/>
              </w:rPr>
            </w:pPr>
            <w:r w:rsidRPr="00672714">
              <w:rPr>
                <w:rStyle w:val="Bold"/>
                <w:sz w:val="20"/>
                <w:szCs w:val="20"/>
              </w:rPr>
              <w:t>Full-time</w:t>
            </w:r>
          </w:p>
        </w:tc>
        <w:tc>
          <w:tcPr>
            <w:tcW w:w="275" w:type="pct"/>
          </w:tcPr>
          <w:p w14:paraId="27FFEF28" w14:textId="77777777" w:rsidR="00247AD2" w:rsidRPr="00672714" w:rsidRDefault="00247AD2" w:rsidP="00672714">
            <w:pPr>
              <w:pStyle w:val="BodyText"/>
              <w:rPr>
                <w:sz w:val="20"/>
                <w:szCs w:val="20"/>
              </w:rPr>
            </w:pPr>
            <w:r w:rsidRPr="00672714">
              <w:rPr>
                <w:rStyle w:val="Bold"/>
                <w:sz w:val="20"/>
                <w:szCs w:val="20"/>
              </w:rPr>
              <w:t>Part-time</w:t>
            </w:r>
          </w:p>
        </w:tc>
        <w:tc>
          <w:tcPr>
            <w:tcW w:w="275" w:type="pct"/>
          </w:tcPr>
          <w:p w14:paraId="2086A514" w14:textId="77777777" w:rsidR="00247AD2" w:rsidRPr="00672714" w:rsidRDefault="00247AD2" w:rsidP="00672714">
            <w:pPr>
              <w:pStyle w:val="BodyText"/>
              <w:rPr>
                <w:sz w:val="20"/>
                <w:szCs w:val="20"/>
              </w:rPr>
            </w:pPr>
            <w:r w:rsidRPr="00672714">
              <w:rPr>
                <w:rStyle w:val="Bold"/>
                <w:sz w:val="20"/>
                <w:szCs w:val="20"/>
              </w:rPr>
              <w:t>Total</w:t>
            </w:r>
          </w:p>
        </w:tc>
        <w:tc>
          <w:tcPr>
            <w:tcW w:w="275" w:type="pct"/>
          </w:tcPr>
          <w:p w14:paraId="6877B80B" w14:textId="77777777" w:rsidR="00247AD2" w:rsidRPr="00672714" w:rsidRDefault="00247AD2" w:rsidP="00672714">
            <w:pPr>
              <w:pStyle w:val="BodyText"/>
              <w:rPr>
                <w:sz w:val="20"/>
                <w:szCs w:val="20"/>
              </w:rPr>
            </w:pPr>
            <w:r w:rsidRPr="00672714">
              <w:rPr>
                <w:rStyle w:val="Bold"/>
                <w:sz w:val="20"/>
                <w:szCs w:val="20"/>
              </w:rPr>
              <w:t>Full-time</w:t>
            </w:r>
          </w:p>
        </w:tc>
        <w:tc>
          <w:tcPr>
            <w:tcW w:w="275" w:type="pct"/>
          </w:tcPr>
          <w:p w14:paraId="53DC7EA6" w14:textId="77777777" w:rsidR="00247AD2" w:rsidRPr="00672714" w:rsidRDefault="00247AD2" w:rsidP="00672714">
            <w:pPr>
              <w:pStyle w:val="BodyText"/>
              <w:rPr>
                <w:sz w:val="20"/>
                <w:szCs w:val="20"/>
              </w:rPr>
            </w:pPr>
            <w:r w:rsidRPr="00672714">
              <w:rPr>
                <w:rStyle w:val="Bold"/>
                <w:sz w:val="20"/>
                <w:szCs w:val="20"/>
              </w:rPr>
              <w:t>Part-time</w:t>
            </w:r>
          </w:p>
        </w:tc>
        <w:tc>
          <w:tcPr>
            <w:tcW w:w="275" w:type="pct"/>
          </w:tcPr>
          <w:p w14:paraId="4CF37B6C" w14:textId="77777777" w:rsidR="00247AD2" w:rsidRPr="00672714" w:rsidRDefault="00247AD2" w:rsidP="00672714">
            <w:pPr>
              <w:pStyle w:val="BodyText"/>
              <w:rPr>
                <w:sz w:val="20"/>
                <w:szCs w:val="20"/>
              </w:rPr>
            </w:pPr>
            <w:r w:rsidRPr="00672714">
              <w:rPr>
                <w:rStyle w:val="Bold"/>
                <w:sz w:val="20"/>
                <w:szCs w:val="20"/>
              </w:rPr>
              <w:t>Total</w:t>
            </w:r>
          </w:p>
        </w:tc>
        <w:tc>
          <w:tcPr>
            <w:tcW w:w="288" w:type="pct"/>
          </w:tcPr>
          <w:p w14:paraId="33D2C543" w14:textId="77777777" w:rsidR="00247AD2" w:rsidRPr="00672714" w:rsidRDefault="00247AD2" w:rsidP="00672714">
            <w:pPr>
              <w:pStyle w:val="BodyText"/>
              <w:rPr>
                <w:sz w:val="20"/>
                <w:szCs w:val="20"/>
              </w:rPr>
            </w:pPr>
          </w:p>
        </w:tc>
      </w:tr>
      <w:tr w:rsidR="00247AD2" w:rsidRPr="00672714" w14:paraId="263B7012" w14:textId="77777777" w:rsidTr="006A0585">
        <w:trPr>
          <w:trHeight w:val="396"/>
        </w:trPr>
        <w:tc>
          <w:tcPr>
            <w:tcW w:w="475" w:type="pct"/>
          </w:tcPr>
          <w:p w14:paraId="1DC2E78D" w14:textId="77777777" w:rsidR="00247AD2" w:rsidRPr="00672714" w:rsidRDefault="00247AD2" w:rsidP="00672714">
            <w:pPr>
              <w:pStyle w:val="BodyText"/>
              <w:rPr>
                <w:sz w:val="20"/>
                <w:szCs w:val="20"/>
              </w:rPr>
            </w:pPr>
            <w:r w:rsidRPr="00672714">
              <w:rPr>
                <w:sz w:val="20"/>
                <w:szCs w:val="20"/>
              </w:rPr>
              <w:t>NSW</w:t>
            </w:r>
          </w:p>
        </w:tc>
        <w:tc>
          <w:tcPr>
            <w:tcW w:w="288" w:type="pct"/>
          </w:tcPr>
          <w:p w14:paraId="5939CFA8" w14:textId="77777777" w:rsidR="00247AD2" w:rsidRPr="00672714" w:rsidRDefault="00247AD2" w:rsidP="00672714">
            <w:pPr>
              <w:pStyle w:val="BodyText"/>
              <w:rPr>
                <w:sz w:val="20"/>
                <w:szCs w:val="20"/>
              </w:rPr>
            </w:pPr>
            <w:r w:rsidRPr="00672714">
              <w:rPr>
                <w:spacing w:val="-4"/>
                <w:sz w:val="20"/>
                <w:szCs w:val="20"/>
              </w:rPr>
              <w:t>7</w:t>
            </w:r>
          </w:p>
        </w:tc>
        <w:tc>
          <w:tcPr>
            <w:tcW w:w="288" w:type="pct"/>
          </w:tcPr>
          <w:p w14:paraId="19E04C28" w14:textId="77777777" w:rsidR="00247AD2" w:rsidRPr="00672714" w:rsidRDefault="00247AD2" w:rsidP="00672714">
            <w:pPr>
              <w:pStyle w:val="BodyText"/>
              <w:rPr>
                <w:sz w:val="20"/>
                <w:szCs w:val="20"/>
              </w:rPr>
            </w:pPr>
            <w:r w:rsidRPr="00672714">
              <w:rPr>
                <w:sz w:val="20"/>
                <w:szCs w:val="20"/>
              </w:rPr>
              <w:t>22</w:t>
            </w:r>
          </w:p>
        </w:tc>
        <w:tc>
          <w:tcPr>
            <w:tcW w:w="288" w:type="pct"/>
          </w:tcPr>
          <w:p w14:paraId="4CD65221" w14:textId="77777777" w:rsidR="00247AD2" w:rsidRPr="00672714" w:rsidRDefault="00247AD2" w:rsidP="00672714">
            <w:pPr>
              <w:pStyle w:val="BodyText"/>
              <w:rPr>
                <w:sz w:val="20"/>
                <w:szCs w:val="20"/>
              </w:rPr>
            </w:pPr>
            <w:r w:rsidRPr="00672714">
              <w:rPr>
                <w:sz w:val="20"/>
                <w:szCs w:val="20"/>
              </w:rPr>
              <w:t>29</w:t>
            </w:r>
          </w:p>
        </w:tc>
        <w:tc>
          <w:tcPr>
            <w:tcW w:w="288" w:type="pct"/>
          </w:tcPr>
          <w:p w14:paraId="55198D49" w14:textId="77777777" w:rsidR="00247AD2" w:rsidRPr="00672714" w:rsidRDefault="00247AD2" w:rsidP="00672714">
            <w:pPr>
              <w:pStyle w:val="BodyText"/>
              <w:rPr>
                <w:sz w:val="20"/>
                <w:szCs w:val="20"/>
              </w:rPr>
            </w:pPr>
            <w:r w:rsidRPr="00672714">
              <w:rPr>
                <w:sz w:val="20"/>
                <w:szCs w:val="20"/>
              </w:rPr>
              <w:t>3</w:t>
            </w:r>
          </w:p>
        </w:tc>
        <w:tc>
          <w:tcPr>
            <w:tcW w:w="288" w:type="pct"/>
          </w:tcPr>
          <w:p w14:paraId="504E066E" w14:textId="77777777" w:rsidR="00247AD2" w:rsidRPr="00672714" w:rsidRDefault="00247AD2" w:rsidP="00672714">
            <w:pPr>
              <w:pStyle w:val="BodyText"/>
              <w:rPr>
                <w:sz w:val="20"/>
                <w:szCs w:val="20"/>
              </w:rPr>
            </w:pPr>
            <w:r w:rsidRPr="00672714">
              <w:rPr>
                <w:sz w:val="20"/>
                <w:szCs w:val="20"/>
              </w:rPr>
              <w:t>112</w:t>
            </w:r>
          </w:p>
        </w:tc>
        <w:tc>
          <w:tcPr>
            <w:tcW w:w="288" w:type="pct"/>
          </w:tcPr>
          <w:p w14:paraId="5C598CCA" w14:textId="77777777" w:rsidR="00247AD2" w:rsidRPr="00672714" w:rsidRDefault="00247AD2" w:rsidP="00672714">
            <w:pPr>
              <w:pStyle w:val="BodyText"/>
              <w:rPr>
                <w:sz w:val="20"/>
                <w:szCs w:val="20"/>
              </w:rPr>
            </w:pPr>
            <w:r w:rsidRPr="00672714">
              <w:rPr>
                <w:sz w:val="20"/>
                <w:szCs w:val="20"/>
              </w:rPr>
              <w:t>115</w:t>
            </w:r>
          </w:p>
        </w:tc>
        <w:tc>
          <w:tcPr>
            <w:tcW w:w="288" w:type="pct"/>
          </w:tcPr>
          <w:p w14:paraId="727B119F" w14:textId="77777777" w:rsidR="00247AD2" w:rsidRPr="00672714" w:rsidRDefault="00247AD2" w:rsidP="00672714">
            <w:pPr>
              <w:pStyle w:val="BodyText"/>
              <w:rPr>
                <w:sz w:val="20"/>
                <w:szCs w:val="20"/>
              </w:rPr>
            </w:pPr>
            <w:r w:rsidRPr="00672714">
              <w:rPr>
                <w:sz w:val="20"/>
                <w:szCs w:val="20"/>
              </w:rPr>
              <w:t>0</w:t>
            </w:r>
          </w:p>
        </w:tc>
        <w:tc>
          <w:tcPr>
            <w:tcW w:w="288" w:type="pct"/>
          </w:tcPr>
          <w:p w14:paraId="766004B5" w14:textId="77777777" w:rsidR="00247AD2" w:rsidRPr="00672714" w:rsidRDefault="00247AD2" w:rsidP="00672714">
            <w:pPr>
              <w:pStyle w:val="BodyText"/>
              <w:rPr>
                <w:sz w:val="20"/>
                <w:szCs w:val="20"/>
              </w:rPr>
            </w:pPr>
            <w:r w:rsidRPr="00672714">
              <w:rPr>
                <w:sz w:val="20"/>
                <w:szCs w:val="20"/>
              </w:rPr>
              <w:t>1</w:t>
            </w:r>
          </w:p>
        </w:tc>
        <w:tc>
          <w:tcPr>
            <w:tcW w:w="288" w:type="pct"/>
          </w:tcPr>
          <w:p w14:paraId="5CA18F02" w14:textId="77777777" w:rsidR="00247AD2" w:rsidRPr="00672714" w:rsidRDefault="00247AD2" w:rsidP="00672714">
            <w:pPr>
              <w:pStyle w:val="BodyText"/>
              <w:rPr>
                <w:sz w:val="20"/>
                <w:szCs w:val="20"/>
              </w:rPr>
            </w:pPr>
            <w:r w:rsidRPr="00672714">
              <w:rPr>
                <w:sz w:val="20"/>
                <w:szCs w:val="20"/>
              </w:rPr>
              <w:t>1</w:t>
            </w:r>
          </w:p>
        </w:tc>
        <w:tc>
          <w:tcPr>
            <w:tcW w:w="275" w:type="pct"/>
          </w:tcPr>
          <w:p w14:paraId="3CF83849" w14:textId="77777777" w:rsidR="00247AD2" w:rsidRPr="00672714" w:rsidRDefault="00247AD2" w:rsidP="00672714">
            <w:pPr>
              <w:pStyle w:val="BodyText"/>
              <w:rPr>
                <w:sz w:val="20"/>
                <w:szCs w:val="20"/>
              </w:rPr>
            </w:pPr>
            <w:r w:rsidRPr="00672714">
              <w:rPr>
                <w:sz w:val="20"/>
                <w:szCs w:val="20"/>
              </w:rPr>
              <w:t>0</w:t>
            </w:r>
          </w:p>
        </w:tc>
        <w:tc>
          <w:tcPr>
            <w:tcW w:w="275" w:type="pct"/>
          </w:tcPr>
          <w:p w14:paraId="19942C54" w14:textId="77777777" w:rsidR="00247AD2" w:rsidRPr="00672714" w:rsidRDefault="00247AD2" w:rsidP="00672714">
            <w:pPr>
              <w:pStyle w:val="BodyText"/>
              <w:rPr>
                <w:sz w:val="20"/>
                <w:szCs w:val="20"/>
              </w:rPr>
            </w:pPr>
            <w:r w:rsidRPr="00672714">
              <w:rPr>
                <w:sz w:val="20"/>
                <w:szCs w:val="20"/>
              </w:rPr>
              <w:t>0</w:t>
            </w:r>
          </w:p>
        </w:tc>
        <w:tc>
          <w:tcPr>
            <w:tcW w:w="275" w:type="pct"/>
          </w:tcPr>
          <w:p w14:paraId="647543E4" w14:textId="77777777" w:rsidR="00247AD2" w:rsidRPr="00672714" w:rsidRDefault="00247AD2" w:rsidP="00672714">
            <w:pPr>
              <w:pStyle w:val="BodyText"/>
              <w:rPr>
                <w:sz w:val="20"/>
                <w:szCs w:val="20"/>
              </w:rPr>
            </w:pPr>
            <w:r w:rsidRPr="00672714">
              <w:rPr>
                <w:sz w:val="20"/>
                <w:szCs w:val="20"/>
              </w:rPr>
              <w:t>0</w:t>
            </w:r>
          </w:p>
        </w:tc>
        <w:tc>
          <w:tcPr>
            <w:tcW w:w="275" w:type="pct"/>
          </w:tcPr>
          <w:p w14:paraId="01BA7692" w14:textId="77777777" w:rsidR="00247AD2" w:rsidRPr="00672714" w:rsidRDefault="00247AD2" w:rsidP="00672714">
            <w:pPr>
              <w:pStyle w:val="BodyText"/>
              <w:rPr>
                <w:sz w:val="20"/>
                <w:szCs w:val="20"/>
              </w:rPr>
            </w:pPr>
            <w:r w:rsidRPr="00672714">
              <w:rPr>
                <w:sz w:val="20"/>
                <w:szCs w:val="20"/>
              </w:rPr>
              <w:t>0</w:t>
            </w:r>
          </w:p>
        </w:tc>
        <w:tc>
          <w:tcPr>
            <w:tcW w:w="275" w:type="pct"/>
          </w:tcPr>
          <w:p w14:paraId="6963725D" w14:textId="77777777" w:rsidR="00247AD2" w:rsidRPr="00672714" w:rsidRDefault="00247AD2" w:rsidP="00672714">
            <w:pPr>
              <w:pStyle w:val="BodyText"/>
              <w:rPr>
                <w:sz w:val="20"/>
                <w:szCs w:val="20"/>
              </w:rPr>
            </w:pPr>
            <w:r w:rsidRPr="00672714">
              <w:rPr>
                <w:sz w:val="20"/>
                <w:szCs w:val="20"/>
              </w:rPr>
              <w:t>0</w:t>
            </w:r>
          </w:p>
        </w:tc>
        <w:tc>
          <w:tcPr>
            <w:tcW w:w="275" w:type="pct"/>
          </w:tcPr>
          <w:p w14:paraId="272743E3" w14:textId="77777777" w:rsidR="00247AD2" w:rsidRPr="00672714" w:rsidRDefault="00247AD2" w:rsidP="00672714">
            <w:pPr>
              <w:pStyle w:val="BodyText"/>
              <w:rPr>
                <w:sz w:val="20"/>
                <w:szCs w:val="20"/>
              </w:rPr>
            </w:pPr>
            <w:r w:rsidRPr="00672714">
              <w:rPr>
                <w:sz w:val="20"/>
                <w:szCs w:val="20"/>
              </w:rPr>
              <w:t>0</w:t>
            </w:r>
          </w:p>
        </w:tc>
        <w:tc>
          <w:tcPr>
            <w:tcW w:w="288" w:type="pct"/>
          </w:tcPr>
          <w:p w14:paraId="28642DBD" w14:textId="77777777" w:rsidR="00247AD2" w:rsidRPr="00672714" w:rsidRDefault="00247AD2" w:rsidP="00672714">
            <w:pPr>
              <w:pStyle w:val="BodyText"/>
              <w:rPr>
                <w:sz w:val="20"/>
                <w:szCs w:val="20"/>
              </w:rPr>
            </w:pPr>
            <w:r w:rsidRPr="00672714">
              <w:rPr>
                <w:rStyle w:val="01bodybold"/>
                <w:sz w:val="20"/>
                <w:szCs w:val="20"/>
              </w:rPr>
              <w:t>145</w:t>
            </w:r>
          </w:p>
        </w:tc>
      </w:tr>
      <w:tr w:rsidR="00247AD2" w:rsidRPr="00672714" w14:paraId="27D5CD30" w14:textId="77777777" w:rsidTr="006A0585">
        <w:trPr>
          <w:trHeight w:val="396"/>
        </w:trPr>
        <w:tc>
          <w:tcPr>
            <w:tcW w:w="475" w:type="pct"/>
          </w:tcPr>
          <w:p w14:paraId="51473629" w14:textId="77777777" w:rsidR="00247AD2" w:rsidRPr="00672714" w:rsidRDefault="00247AD2" w:rsidP="00672714">
            <w:pPr>
              <w:pStyle w:val="BodyText"/>
              <w:rPr>
                <w:sz w:val="20"/>
                <w:szCs w:val="20"/>
              </w:rPr>
            </w:pPr>
            <w:r w:rsidRPr="00672714">
              <w:rPr>
                <w:sz w:val="20"/>
                <w:szCs w:val="20"/>
              </w:rPr>
              <w:t>Qld</w:t>
            </w:r>
          </w:p>
        </w:tc>
        <w:tc>
          <w:tcPr>
            <w:tcW w:w="288" w:type="pct"/>
          </w:tcPr>
          <w:p w14:paraId="33F591A5" w14:textId="77777777" w:rsidR="00247AD2" w:rsidRPr="00672714" w:rsidRDefault="00247AD2" w:rsidP="00672714">
            <w:pPr>
              <w:pStyle w:val="BodyText"/>
              <w:rPr>
                <w:sz w:val="20"/>
                <w:szCs w:val="20"/>
              </w:rPr>
            </w:pPr>
            <w:r w:rsidRPr="00672714">
              <w:rPr>
                <w:sz w:val="20"/>
                <w:szCs w:val="20"/>
              </w:rPr>
              <w:t>9</w:t>
            </w:r>
          </w:p>
        </w:tc>
        <w:tc>
          <w:tcPr>
            <w:tcW w:w="288" w:type="pct"/>
          </w:tcPr>
          <w:p w14:paraId="6EE13D1B" w14:textId="77777777" w:rsidR="00247AD2" w:rsidRPr="00672714" w:rsidRDefault="00247AD2" w:rsidP="00672714">
            <w:pPr>
              <w:pStyle w:val="BodyText"/>
              <w:rPr>
                <w:sz w:val="20"/>
                <w:szCs w:val="20"/>
              </w:rPr>
            </w:pPr>
            <w:r w:rsidRPr="00672714">
              <w:rPr>
                <w:sz w:val="20"/>
                <w:szCs w:val="20"/>
              </w:rPr>
              <w:t>45</w:t>
            </w:r>
          </w:p>
        </w:tc>
        <w:tc>
          <w:tcPr>
            <w:tcW w:w="288" w:type="pct"/>
          </w:tcPr>
          <w:p w14:paraId="51F230AA" w14:textId="77777777" w:rsidR="00247AD2" w:rsidRPr="00672714" w:rsidRDefault="00247AD2" w:rsidP="00672714">
            <w:pPr>
              <w:pStyle w:val="BodyText"/>
              <w:rPr>
                <w:sz w:val="20"/>
                <w:szCs w:val="20"/>
              </w:rPr>
            </w:pPr>
            <w:r w:rsidRPr="00672714">
              <w:rPr>
                <w:sz w:val="20"/>
                <w:szCs w:val="20"/>
              </w:rPr>
              <w:t>54</w:t>
            </w:r>
          </w:p>
        </w:tc>
        <w:tc>
          <w:tcPr>
            <w:tcW w:w="288" w:type="pct"/>
          </w:tcPr>
          <w:p w14:paraId="5341CD56" w14:textId="77777777" w:rsidR="00247AD2" w:rsidRPr="00672714" w:rsidRDefault="00247AD2" w:rsidP="00672714">
            <w:pPr>
              <w:pStyle w:val="BodyText"/>
              <w:rPr>
                <w:sz w:val="20"/>
                <w:szCs w:val="20"/>
              </w:rPr>
            </w:pPr>
            <w:r w:rsidRPr="00672714">
              <w:rPr>
                <w:sz w:val="20"/>
                <w:szCs w:val="20"/>
              </w:rPr>
              <w:t>21</w:t>
            </w:r>
          </w:p>
        </w:tc>
        <w:tc>
          <w:tcPr>
            <w:tcW w:w="288" w:type="pct"/>
          </w:tcPr>
          <w:p w14:paraId="1E6F4572" w14:textId="77777777" w:rsidR="00247AD2" w:rsidRPr="00672714" w:rsidRDefault="00247AD2" w:rsidP="00672714">
            <w:pPr>
              <w:pStyle w:val="BodyText"/>
              <w:rPr>
                <w:sz w:val="20"/>
                <w:szCs w:val="20"/>
              </w:rPr>
            </w:pPr>
            <w:r w:rsidRPr="00672714">
              <w:rPr>
                <w:sz w:val="20"/>
                <w:szCs w:val="20"/>
              </w:rPr>
              <w:t>74</w:t>
            </w:r>
          </w:p>
        </w:tc>
        <w:tc>
          <w:tcPr>
            <w:tcW w:w="288" w:type="pct"/>
          </w:tcPr>
          <w:p w14:paraId="2DC7DACA" w14:textId="77777777" w:rsidR="00247AD2" w:rsidRPr="00672714" w:rsidRDefault="00247AD2" w:rsidP="00672714">
            <w:pPr>
              <w:pStyle w:val="BodyText"/>
              <w:rPr>
                <w:sz w:val="20"/>
                <w:szCs w:val="20"/>
              </w:rPr>
            </w:pPr>
            <w:r w:rsidRPr="00672714">
              <w:rPr>
                <w:sz w:val="20"/>
                <w:szCs w:val="20"/>
              </w:rPr>
              <w:t>95</w:t>
            </w:r>
          </w:p>
        </w:tc>
        <w:tc>
          <w:tcPr>
            <w:tcW w:w="288" w:type="pct"/>
          </w:tcPr>
          <w:p w14:paraId="67214FF2" w14:textId="77777777" w:rsidR="00247AD2" w:rsidRPr="00672714" w:rsidRDefault="00247AD2" w:rsidP="00672714">
            <w:pPr>
              <w:pStyle w:val="BodyText"/>
              <w:rPr>
                <w:sz w:val="20"/>
                <w:szCs w:val="20"/>
              </w:rPr>
            </w:pPr>
            <w:r w:rsidRPr="00672714">
              <w:rPr>
                <w:sz w:val="20"/>
                <w:szCs w:val="20"/>
              </w:rPr>
              <w:t>0</w:t>
            </w:r>
          </w:p>
        </w:tc>
        <w:tc>
          <w:tcPr>
            <w:tcW w:w="288" w:type="pct"/>
          </w:tcPr>
          <w:p w14:paraId="0404EB95" w14:textId="77777777" w:rsidR="00247AD2" w:rsidRPr="00672714" w:rsidRDefault="00247AD2" w:rsidP="00672714">
            <w:pPr>
              <w:pStyle w:val="BodyText"/>
              <w:rPr>
                <w:sz w:val="20"/>
                <w:szCs w:val="20"/>
              </w:rPr>
            </w:pPr>
            <w:r w:rsidRPr="00672714">
              <w:rPr>
                <w:sz w:val="20"/>
                <w:szCs w:val="20"/>
              </w:rPr>
              <w:t>5</w:t>
            </w:r>
          </w:p>
        </w:tc>
        <w:tc>
          <w:tcPr>
            <w:tcW w:w="288" w:type="pct"/>
          </w:tcPr>
          <w:p w14:paraId="4BCE5F7C" w14:textId="77777777" w:rsidR="00247AD2" w:rsidRPr="00672714" w:rsidRDefault="00247AD2" w:rsidP="00672714">
            <w:pPr>
              <w:pStyle w:val="BodyText"/>
              <w:rPr>
                <w:sz w:val="20"/>
                <w:szCs w:val="20"/>
              </w:rPr>
            </w:pPr>
            <w:r w:rsidRPr="00672714">
              <w:rPr>
                <w:sz w:val="20"/>
                <w:szCs w:val="20"/>
              </w:rPr>
              <w:t>5</w:t>
            </w:r>
          </w:p>
        </w:tc>
        <w:tc>
          <w:tcPr>
            <w:tcW w:w="275" w:type="pct"/>
          </w:tcPr>
          <w:p w14:paraId="47320644" w14:textId="77777777" w:rsidR="00247AD2" w:rsidRPr="00672714" w:rsidRDefault="00247AD2" w:rsidP="00672714">
            <w:pPr>
              <w:pStyle w:val="BodyText"/>
              <w:rPr>
                <w:sz w:val="20"/>
                <w:szCs w:val="20"/>
              </w:rPr>
            </w:pPr>
            <w:r w:rsidRPr="00672714">
              <w:rPr>
                <w:sz w:val="20"/>
                <w:szCs w:val="20"/>
              </w:rPr>
              <w:t>0</w:t>
            </w:r>
          </w:p>
        </w:tc>
        <w:tc>
          <w:tcPr>
            <w:tcW w:w="275" w:type="pct"/>
          </w:tcPr>
          <w:p w14:paraId="65273FF5" w14:textId="77777777" w:rsidR="00247AD2" w:rsidRPr="00672714" w:rsidRDefault="00247AD2" w:rsidP="00672714">
            <w:pPr>
              <w:pStyle w:val="BodyText"/>
              <w:rPr>
                <w:sz w:val="20"/>
                <w:szCs w:val="20"/>
              </w:rPr>
            </w:pPr>
            <w:r w:rsidRPr="00672714">
              <w:rPr>
                <w:sz w:val="20"/>
                <w:szCs w:val="20"/>
              </w:rPr>
              <w:t>0</w:t>
            </w:r>
          </w:p>
        </w:tc>
        <w:tc>
          <w:tcPr>
            <w:tcW w:w="275" w:type="pct"/>
          </w:tcPr>
          <w:p w14:paraId="2DCD915E" w14:textId="77777777" w:rsidR="00247AD2" w:rsidRPr="00672714" w:rsidRDefault="00247AD2" w:rsidP="00672714">
            <w:pPr>
              <w:pStyle w:val="BodyText"/>
              <w:rPr>
                <w:sz w:val="20"/>
                <w:szCs w:val="20"/>
              </w:rPr>
            </w:pPr>
            <w:r w:rsidRPr="00672714">
              <w:rPr>
                <w:sz w:val="20"/>
                <w:szCs w:val="20"/>
              </w:rPr>
              <w:t>0</w:t>
            </w:r>
          </w:p>
        </w:tc>
        <w:tc>
          <w:tcPr>
            <w:tcW w:w="275" w:type="pct"/>
          </w:tcPr>
          <w:p w14:paraId="424E8430" w14:textId="77777777" w:rsidR="00247AD2" w:rsidRPr="00672714" w:rsidRDefault="00247AD2" w:rsidP="00672714">
            <w:pPr>
              <w:pStyle w:val="BodyText"/>
              <w:rPr>
                <w:sz w:val="20"/>
                <w:szCs w:val="20"/>
              </w:rPr>
            </w:pPr>
            <w:r w:rsidRPr="00672714">
              <w:rPr>
                <w:sz w:val="20"/>
                <w:szCs w:val="20"/>
              </w:rPr>
              <w:t>0</w:t>
            </w:r>
          </w:p>
        </w:tc>
        <w:tc>
          <w:tcPr>
            <w:tcW w:w="275" w:type="pct"/>
          </w:tcPr>
          <w:p w14:paraId="5931F263" w14:textId="77777777" w:rsidR="00247AD2" w:rsidRPr="00672714" w:rsidRDefault="00247AD2" w:rsidP="00672714">
            <w:pPr>
              <w:pStyle w:val="BodyText"/>
              <w:rPr>
                <w:sz w:val="20"/>
                <w:szCs w:val="20"/>
              </w:rPr>
            </w:pPr>
            <w:r w:rsidRPr="00672714">
              <w:rPr>
                <w:sz w:val="20"/>
                <w:szCs w:val="20"/>
              </w:rPr>
              <w:t>0</w:t>
            </w:r>
          </w:p>
        </w:tc>
        <w:tc>
          <w:tcPr>
            <w:tcW w:w="275" w:type="pct"/>
          </w:tcPr>
          <w:p w14:paraId="6C2CAEB5" w14:textId="77777777" w:rsidR="00247AD2" w:rsidRPr="00672714" w:rsidRDefault="00247AD2" w:rsidP="00672714">
            <w:pPr>
              <w:pStyle w:val="BodyText"/>
              <w:rPr>
                <w:sz w:val="20"/>
                <w:szCs w:val="20"/>
              </w:rPr>
            </w:pPr>
            <w:r w:rsidRPr="00672714">
              <w:rPr>
                <w:sz w:val="20"/>
                <w:szCs w:val="20"/>
              </w:rPr>
              <w:t>0</w:t>
            </w:r>
          </w:p>
        </w:tc>
        <w:tc>
          <w:tcPr>
            <w:tcW w:w="288" w:type="pct"/>
          </w:tcPr>
          <w:p w14:paraId="0937416E" w14:textId="77777777" w:rsidR="00247AD2" w:rsidRPr="00672714" w:rsidRDefault="00247AD2" w:rsidP="00672714">
            <w:pPr>
              <w:pStyle w:val="BodyText"/>
              <w:rPr>
                <w:sz w:val="20"/>
                <w:szCs w:val="20"/>
              </w:rPr>
            </w:pPr>
            <w:r w:rsidRPr="00672714">
              <w:rPr>
                <w:rStyle w:val="01bodybold"/>
                <w:sz w:val="20"/>
                <w:szCs w:val="20"/>
              </w:rPr>
              <w:t>154</w:t>
            </w:r>
          </w:p>
        </w:tc>
      </w:tr>
      <w:tr w:rsidR="00247AD2" w:rsidRPr="00672714" w14:paraId="34438B66" w14:textId="77777777" w:rsidTr="006A0585">
        <w:trPr>
          <w:trHeight w:val="396"/>
        </w:trPr>
        <w:tc>
          <w:tcPr>
            <w:tcW w:w="475" w:type="pct"/>
          </w:tcPr>
          <w:p w14:paraId="502D7511" w14:textId="77777777" w:rsidR="00247AD2" w:rsidRPr="00672714" w:rsidRDefault="00247AD2" w:rsidP="00672714">
            <w:pPr>
              <w:pStyle w:val="BodyText"/>
              <w:rPr>
                <w:sz w:val="20"/>
                <w:szCs w:val="20"/>
              </w:rPr>
            </w:pPr>
            <w:r w:rsidRPr="00672714">
              <w:rPr>
                <w:sz w:val="20"/>
                <w:szCs w:val="20"/>
              </w:rPr>
              <w:t>SA</w:t>
            </w:r>
          </w:p>
        </w:tc>
        <w:tc>
          <w:tcPr>
            <w:tcW w:w="288" w:type="pct"/>
          </w:tcPr>
          <w:p w14:paraId="7AF0E3B7" w14:textId="77777777" w:rsidR="00247AD2" w:rsidRPr="00672714" w:rsidRDefault="00247AD2" w:rsidP="00672714">
            <w:pPr>
              <w:pStyle w:val="BodyText"/>
              <w:rPr>
                <w:sz w:val="20"/>
                <w:szCs w:val="20"/>
              </w:rPr>
            </w:pPr>
            <w:r w:rsidRPr="00672714">
              <w:rPr>
                <w:sz w:val="20"/>
                <w:szCs w:val="20"/>
              </w:rPr>
              <w:t>7</w:t>
            </w:r>
          </w:p>
        </w:tc>
        <w:tc>
          <w:tcPr>
            <w:tcW w:w="288" w:type="pct"/>
          </w:tcPr>
          <w:p w14:paraId="065CDBD2" w14:textId="77777777" w:rsidR="00247AD2" w:rsidRPr="00672714" w:rsidRDefault="00247AD2" w:rsidP="00672714">
            <w:pPr>
              <w:pStyle w:val="BodyText"/>
              <w:rPr>
                <w:sz w:val="20"/>
                <w:szCs w:val="20"/>
              </w:rPr>
            </w:pPr>
            <w:r w:rsidRPr="00672714">
              <w:rPr>
                <w:sz w:val="20"/>
                <w:szCs w:val="20"/>
              </w:rPr>
              <w:t>18</w:t>
            </w:r>
          </w:p>
        </w:tc>
        <w:tc>
          <w:tcPr>
            <w:tcW w:w="288" w:type="pct"/>
          </w:tcPr>
          <w:p w14:paraId="3369AFFA" w14:textId="77777777" w:rsidR="00247AD2" w:rsidRPr="00672714" w:rsidRDefault="00247AD2" w:rsidP="00672714">
            <w:pPr>
              <w:pStyle w:val="BodyText"/>
              <w:rPr>
                <w:sz w:val="20"/>
                <w:szCs w:val="20"/>
              </w:rPr>
            </w:pPr>
            <w:r w:rsidRPr="00672714">
              <w:rPr>
                <w:sz w:val="20"/>
                <w:szCs w:val="20"/>
              </w:rPr>
              <w:t>25</w:t>
            </w:r>
          </w:p>
        </w:tc>
        <w:tc>
          <w:tcPr>
            <w:tcW w:w="288" w:type="pct"/>
          </w:tcPr>
          <w:p w14:paraId="7890D57F" w14:textId="77777777" w:rsidR="00247AD2" w:rsidRPr="00672714" w:rsidRDefault="00247AD2" w:rsidP="00672714">
            <w:pPr>
              <w:pStyle w:val="BodyText"/>
              <w:rPr>
                <w:sz w:val="20"/>
                <w:szCs w:val="20"/>
              </w:rPr>
            </w:pPr>
            <w:r w:rsidRPr="00672714">
              <w:rPr>
                <w:sz w:val="20"/>
                <w:szCs w:val="20"/>
              </w:rPr>
              <w:t>3</w:t>
            </w:r>
          </w:p>
        </w:tc>
        <w:tc>
          <w:tcPr>
            <w:tcW w:w="288" w:type="pct"/>
          </w:tcPr>
          <w:p w14:paraId="675B5482" w14:textId="77777777" w:rsidR="00247AD2" w:rsidRPr="00672714" w:rsidRDefault="00247AD2" w:rsidP="00672714">
            <w:pPr>
              <w:pStyle w:val="BodyText"/>
              <w:rPr>
                <w:sz w:val="20"/>
                <w:szCs w:val="20"/>
              </w:rPr>
            </w:pPr>
            <w:r w:rsidRPr="00672714">
              <w:rPr>
                <w:sz w:val="20"/>
                <w:szCs w:val="20"/>
              </w:rPr>
              <w:t>26</w:t>
            </w:r>
          </w:p>
        </w:tc>
        <w:tc>
          <w:tcPr>
            <w:tcW w:w="288" w:type="pct"/>
          </w:tcPr>
          <w:p w14:paraId="35C5E44E" w14:textId="77777777" w:rsidR="00247AD2" w:rsidRPr="00672714" w:rsidRDefault="00247AD2" w:rsidP="00672714">
            <w:pPr>
              <w:pStyle w:val="BodyText"/>
              <w:rPr>
                <w:sz w:val="20"/>
                <w:szCs w:val="20"/>
              </w:rPr>
            </w:pPr>
            <w:r w:rsidRPr="00672714">
              <w:rPr>
                <w:sz w:val="20"/>
                <w:szCs w:val="20"/>
              </w:rPr>
              <w:t>29</w:t>
            </w:r>
          </w:p>
        </w:tc>
        <w:tc>
          <w:tcPr>
            <w:tcW w:w="288" w:type="pct"/>
          </w:tcPr>
          <w:p w14:paraId="03D45F74" w14:textId="77777777" w:rsidR="00247AD2" w:rsidRPr="00672714" w:rsidRDefault="00247AD2" w:rsidP="00672714">
            <w:pPr>
              <w:pStyle w:val="BodyText"/>
              <w:rPr>
                <w:sz w:val="20"/>
                <w:szCs w:val="20"/>
              </w:rPr>
            </w:pPr>
            <w:r w:rsidRPr="00672714">
              <w:rPr>
                <w:sz w:val="20"/>
                <w:szCs w:val="20"/>
              </w:rPr>
              <w:t>0</w:t>
            </w:r>
          </w:p>
        </w:tc>
        <w:tc>
          <w:tcPr>
            <w:tcW w:w="288" w:type="pct"/>
          </w:tcPr>
          <w:p w14:paraId="055E93D3" w14:textId="77777777" w:rsidR="00247AD2" w:rsidRPr="00672714" w:rsidRDefault="00247AD2" w:rsidP="00672714">
            <w:pPr>
              <w:pStyle w:val="BodyText"/>
              <w:rPr>
                <w:sz w:val="20"/>
                <w:szCs w:val="20"/>
              </w:rPr>
            </w:pPr>
            <w:r w:rsidRPr="00672714">
              <w:rPr>
                <w:sz w:val="20"/>
                <w:szCs w:val="20"/>
              </w:rPr>
              <w:t>1</w:t>
            </w:r>
          </w:p>
        </w:tc>
        <w:tc>
          <w:tcPr>
            <w:tcW w:w="288" w:type="pct"/>
          </w:tcPr>
          <w:p w14:paraId="1859BF5A" w14:textId="77777777" w:rsidR="00247AD2" w:rsidRPr="00672714" w:rsidRDefault="00247AD2" w:rsidP="00672714">
            <w:pPr>
              <w:pStyle w:val="BodyText"/>
              <w:rPr>
                <w:sz w:val="20"/>
                <w:szCs w:val="20"/>
              </w:rPr>
            </w:pPr>
            <w:r w:rsidRPr="00672714">
              <w:rPr>
                <w:sz w:val="20"/>
                <w:szCs w:val="20"/>
              </w:rPr>
              <w:t>1</w:t>
            </w:r>
          </w:p>
        </w:tc>
        <w:tc>
          <w:tcPr>
            <w:tcW w:w="275" w:type="pct"/>
          </w:tcPr>
          <w:p w14:paraId="460E8DED" w14:textId="77777777" w:rsidR="00247AD2" w:rsidRPr="00672714" w:rsidRDefault="00247AD2" w:rsidP="00672714">
            <w:pPr>
              <w:pStyle w:val="BodyText"/>
              <w:rPr>
                <w:sz w:val="20"/>
                <w:szCs w:val="20"/>
              </w:rPr>
            </w:pPr>
            <w:r w:rsidRPr="00672714">
              <w:rPr>
                <w:sz w:val="20"/>
                <w:szCs w:val="20"/>
              </w:rPr>
              <w:t>0</w:t>
            </w:r>
          </w:p>
        </w:tc>
        <w:tc>
          <w:tcPr>
            <w:tcW w:w="275" w:type="pct"/>
          </w:tcPr>
          <w:p w14:paraId="376799B6" w14:textId="77777777" w:rsidR="00247AD2" w:rsidRPr="00672714" w:rsidRDefault="00247AD2" w:rsidP="00672714">
            <w:pPr>
              <w:pStyle w:val="BodyText"/>
              <w:rPr>
                <w:sz w:val="20"/>
                <w:szCs w:val="20"/>
              </w:rPr>
            </w:pPr>
            <w:r w:rsidRPr="00672714">
              <w:rPr>
                <w:sz w:val="20"/>
                <w:szCs w:val="20"/>
              </w:rPr>
              <w:t>0</w:t>
            </w:r>
          </w:p>
        </w:tc>
        <w:tc>
          <w:tcPr>
            <w:tcW w:w="275" w:type="pct"/>
          </w:tcPr>
          <w:p w14:paraId="1C80A214" w14:textId="77777777" w:rsidR="00247AD2" w:rsidRPr="00672714" w:rsidRDefault="00247AD2" w:rsidP="00672714">
            <w:pPr>
              <w:pStyle w:val="BodyText"/>
              <w:rPr>
                <w:sz w:val="20"/>
                <w:szCs w:val="20"/>
              </w:rPr>
            </w:pPr>
            <w:r w:rsidRPr="00672714">
              <w:rPr>
                <w:sz w:val="20"/>
                <w:szCs w:val="20"/>
              </w:rPr>
              <w:t>0</w:t>
            </w:r>
          </w:p>
        </w:tc>
        <w:tc>
          <w:tcPr>
            <w:tcW w:w="275" w:type="pct"/>
          </w:tcPr>
          <w:p w14:paraId="0DD68D45" w14:textId="77777777" w:rsidR="00247AD2" w:rsidRPr="00672714" w:rsidRDefault="00247AD2" w:rsidP="00672714">
            <w:pPr>
              <w:pStyle w:val="BodyText"/>
              <w:rPr>
                <w:sz w:val="20"/>
                <w:szCs w:val="20"/>
              </w:rPr>
            </w:pPr>
            <w:r w:rsidRPr="00672714">
              <w:rPr>
                <w:sz w:val="20"/>
                <w:szCs w:val="20"/>
              </w:rPr>
              <w:t>0</w:t>
            </w:r>
          </w:p>
        </w:tc>
        <w:tc>
          <w:tcPr>
            <w:tcW w:w="275" w:type="pct"/>
          </w:tcPr>
          <w:p w14:paraId="7AF645C9" w14:textId="77777777" w:rsidR="00247AD2" w:rsidRPr="00672714" w:rsidRDefault="00247AD2" w:rsidP="00672714">
            <w:pPr>
              <w:pStyle w:val="BodyText"/>
              <w:rPr>
                <w:sz w:val="20"/>
                <w:szCs w:val="20"/>
              </w:rPr>
            </w:pPr>
            <w:r w:rsidRPr="00672714">
              <w:rPr>
                <w:sz w:val="20"/>
                <w:szCs w:val="20"/>
              </w:rPr>
              <w:t>0</w:t>
            </w:r>
          </w:p>
        </w:tc>
        <w:tc>
          <w:tcPr>
            <w:tcW w:w="275" w:type="pct"/>
          </w:tcPr>
          <w:p w14:paraId="54E0394A" w14:textId="77777777" w:rsidR="00247AD2" w:rsidRPr="00672714" w:rsidRDefault="00247AD2" w:rsidP="00672714">
            <w:pPr>
              <w:pStyle w:val="BodyText"/>
              <w:rPr>
                <w:sz w:val="20"/>
                <w:szCs w:val="20"/>
              </w:rPr>
            </w:pPr>
            <w:r w:rsidRPr="00672714">
              <w:rPr>
                <w:sz w:val="20"/>
                <w:szCs w:val="20"/>
              </w:rPr>
              <w:t>0</w:t>
            </w:r>
          </w:p>
        </w:tc>
        <w:tc>
          <w:tcPr>
            <w:tcW w:w="288" w:type="pct"/>
          </w:tcPr>
          <w:p w14:paraId="39029CBB" w14:textId="77777777" w:rsidR="00247AD2" w:rsidRPr="00672714" w:rsidRDefault="00247AD2" w:rsidP="00672714">
            <w:pPr>
              <w:pStyle w:val="BodyText"/>
              <w:rPr>
                <w:sz w:val="20"/>
                <w:szCs w:val="20"/>
              </w:rPr>
            </w:pPr>
            <w:r w:rsidRPr="00672714">
              <w:rPr>
                <w:rStyle w:val="01bodybold"/>
                <w:sz w:val="20"/>
                <w:szCs w:val="20"/>
              </w:rPr>
              <w:t>55</w:t>
            </w:r>
          </w:p>
        </w:tc>
      </w:tr>
      <w:tr w:rsidR="00247AD2" w:rsidRPr="00672714" w14:paraId="62798C79" w14:textId="77777777" w:rsidTr="006A0585">
        <w:trPr>
          <w:trHeight w:val="396"/>
        </w:trPr>
        <w:tc>
          <w:tcPr>
            <w:tcW w:w="475" w:type="pct"/>
          </w:tcPr>
          <w:p w14:paraId="1E479D40" w14:textId="77777777" w:rsidR="00247AD2" w:rsidRPr="00672714" w:rsidRDefault="00247AD2" w:rsidP="00672714">
            <w:pPr>
              <w:pStyle w:val="BodyText"/>
              <w:rPr>
                <w:sz w:val="20"/>
                <w:szCs w:val="20"/>
              </w:rPr>
            </w:pPr>
            <w:r w:rsidRPr="00672714">
              <w:rPr>
                <w:sz w:val="20"/>
                <w:szCs w:val="20"/>
              </w:rPr>
              <w:t>Tas</w:t>
            </w:r>
          </w:p>
        </w:tc>
        <w:tc>
          <w:tcPr>
            <w:tcW w:w="288" w:type="pct"/>
          </w:tcPr>
          <w:p w14:paraId="3C6867E2" w14:textId="77777777" w:rsidR="00247AD2" w:rsidRPr="00672714" w:rsidRDefault="00247AD2" w:rsidP="00672714">
            <w:pPr>
              <w:pStyle w:val="BodyText"/>
              <w:rPr>
                <w:sz w:val="20"/>
                <w:szCs w:val="20"/>
              </w:rPr>
            </w:pPr>
            <w:r w:rsidRPr="00672714">
              <w:rPr>
                <w:sz w:val="20"/>
                <w:szCs w:val="20"/>
              </w:rPr>
              <w:t>3</w:t>
            </w:r>
          </w:p>
        </w:tc>
        <w:tc>
          <w:tcPr>
            <w:tcW w:w="288" w:type="pct"/>
          </w:tcPr>
          <w:p w14:paraId="0C661575" w14:textId="77777777" w:rsidR="00247AD2" w:rsidRPr="00672714" w:rsidRDefault="00247AD2" w:rsidP="00672714">
            <w:pPr>
              <w:pStyle w:val="BodyText"/>
              <w:rPr>
                <w:sz w:val="20"/>
                <w:szCs w:val="20"/>
              </w:rPr>
            </w:pPr>
            <w:r w:rsidRPr="00672714">
              <w:rPr>
                <w:sz w:val="20"/>
                <w:szCs w:val="20"/>
              </w:rPr>
              <w:t>6</w:t>
            </w:r>
          </w:p>
        </w:tc>
        <w:tc>
          <w:tcPr>
            <w:tcW w:w="288" w:type="pct"/>
          </w:tcPr>
          <w:p w14:paraId="4351E080" w14:textId="77777777" w:rsidR="00247AD2" w:rsidRPr="00672714" w:rsidRDefault="00247AD2" w:rsidP="00672714">
            <w:pPr>
              <w:pStyle w:val="BodyText"/>
              <w:rPr>
                <w:sz w:val="20"/>
                <w:szCs w:val="20"/>
              </w:rPr>
            </w:pPr>
            <w:r w:rsidRPr="00672714">
              <w:rPr>
                <w:sz w:val="20"/>
                <w:szCs w:val="20"/>
              </w:rPr>
              <w:t>9</w:t>
            </w:r>
          </w:p>
        </w:tc>
        <w:tc>
          <w:tcPr>
            <w:tcW w:w="288" w:type="pct"/>
          </w:tcPr>
          <w:p w14:paraId="371E74C7" w14:textId="77777777" w:rsidR="00247AD2" w:rsidRPr="00672714" w:rsidRDefault="00247AD2" w:rsidP="00672714">
            <w:pPr>
              <w:pStyle w:val="BodyText"/>
              <w:rPr>
                <w:sz w:val="20"/>
                <w:szCs w:val="20"/>
              </w:rPr>
            </w:pPr>
            <w:r w:rsidRPr="00672714">
              <w:rPr>
                <w:sz w:val="20"/>
                <w:szCs w:val="20"/>
              </w:rPr>
              <w:t>5</w:t>
            </w:r>
          </w:p>
        </w:tc>
        <w:tc>
          <w:tcPr>
            <w:tcW w:w="288" w:type="pct"/>
          </w:tcPr>
          <w:p w14:paraId="2672CDD0" w14:textId="77777777" w:rsidR="00247AD2" w:rsidRPr="00672714" w:rsidRDefault="00247AD2" w:rsidP="00672714">
            <w:pPr>
              <w:pStyle w:val="BodyText"/>
              <w:rPr>
                <w:sz w:val="20"/>
                <w:szCs w:val="20"/>
              </w:rPr>
            </w:pPr>
            <w:r w:rsidRPr="00672714">
              <w:rPr>
                <w:sz w:val="20"/>
                <w:szCs w:val="20"/>
              </w:rPr>
              <w:t>4</w:t>
            </w:r>
          </w:p>
        </w:tc>
        <w:tc>
          <w:tcPr>
            <w:tcW w:w="288" w:type="pct"/>
          </w:tcPr>
          <w:p w14:paraId="1D4E5E09" w14:textId="77777777" w:rsidR="00247AD2" w:rsidRPr="00672714" w:rsidRDefault="00247AD2" w:rsidP="00672714">
            <w:pPr>
              <w:pStyle w:val="BodyText"/>
              <w:rPr>
                <w:sz w:val="20"/>
                <w:szCs w:val="20"/>
              </w:rPr>
            </w:pPr>
            <w:r w:rsidRPr="00672714">
              <w:rPr>
                <w:sz w:val="20"/>
                <w:szCs w:val="20"/>
              </w:rPr>
              <w:t>9</w:t>
            </w:r>
          </w:p>
        </w:tc>
        <w:tc>
          <w:tcPr>
            <w:tcW w:w="288" w:type="pct"/>
          </w:tcPr>
          <w:p w14:paraId="627A3EF5" w14:textId="77777777" w:rsidR="00247AD2" w:rsidRPr="00672714" w:rsidRDefault="00247AD2" w:rsidP="00672714">
            <w:pPr>
              <w:pStyle w:val="BodyText"/>
              <w:rPr>
                <w:sz w:val="20"/>
                <w:szCs w:val="20"/>
              </w:rPr>
            </w:pPr>
            <w:r w:rsidRPr="00672714">
              <w:rPr>
                <w:sz w:val="20"/>
                <w:szCs w:val="20"/>
              </w:rPr>
              <w:t>1</w:t>
            </w:r>
          </w:p>
        </w:tc>
        <w:tc>
          <w:tcPr>
            <w:tcW w:w="288" w:type="pct"/>
          </w:tcPr>
          <w:p w14:paraId="06CE25FB" w14:textId="77777777" w:rsidR="00247AD2" w:rsidRPr="00672714" w:rsidRDefault="00247AD2" w:rsidP="00672714">
            <w:pPr>
              <w:pStyle w:val="BodyText"/>
              <w:rPr>
                <w:sz w:val="20"/>
                <w:szCs w:val="20"/>
              </w:rPr>
            </w:pPr>
            <w:r w:rsidRPr="00672714">
              <w:rPr>
                <w:sz w:val="20"/>
                <w:szCs w:val="20"/>
              </w:rPr>
              <w:t>0</w:t>
            </w:r>
          </w:p>
        </w:tc>
        <w:tc>
          <w:tcPr>
            <w:tcW w:w="288" w:type="pct"/>
          </w:tcPr>
          <w:p w14:paraId="2D93D405" w14:textId="77777777" w:rsidR="00247AD2" w:rsidRPr="00672714" w:rsidRDefault="00247AD2" w:rsidP="00672714">
            <w:pPr>
              <w:pStyle w:val="BodyText"/>
              <w:rPr>
                <w:sz w:val="20"/>
                <w:szCs w:val="20"/>
              </w:rPr>
            </w:pPr>
            <w:r w:rsidRPr="00672714">
              <w:rPr>
                <w:sz w:val="20"/>
                <w:szCs w:val="20"/>
              </w:rPr>
              <w:t>1</w:t>
            </w:r>
          </w:p>
        </w:tc>
        <w:tc>
          <w:tcPr>
            <w:tcW w:w="275" w:type="pct"/>
          </w:tcPr>
          <w:p w14:paraId="1B398262" w14:textId="77777777" w:rsidR="00247AD2" w:rsidRPr="00672714" w:rsidRDefault="00247AD2" w:rsidP="00672714">
            <w:pPr>
              <w:pStyle w:val="BodyText"/>
              <w:rPr>
                <w:sz w:val="20"/>
                <w:szCs w:val="20"/>
              </w:rPr>
            </w:pPr>
            <w:r w:rsidRPr="00672714">
              <w:rPr>
                <w:sz w:val="20"/>
                <w:szCs w:val="20"/>
              </w:rPr>
              <w:t>0</w:t>
            </w:r>
          </w:p>
        </w:tc>
        <w:tc>
          <w:tcPr>
            <w:tcW w:w="275" w:type="pct"/>
          </w:tcPr>
          <w:p w14:paraId="084BB6C8" w14:textId="77777777" w:rsidR="00247AD2" w:rsidRPr="00672714" w:rsidRDefault="00247AD2" w:rsidP="00672714">
            <w:pPr>
              <w:pStyle w:val="BodyText"/>
              <w:rPr>
                <w:sz w:val="20"/>
                <w:szCs w:val="20"/>
              </w:rPr>
            </w:pPr>
            <w:r w:rsidRPr="00672714">
              <w:rPr>
                <w:sz w:val="20"/>
                <w:szCs w:val="20"/>
              </w:rPr>
              <w:t>0</w:t>
            </w:r>
          </w:p>
        </w:tc>
        <w:tc>
          <w:tcPr>
            <w:tcW w:w="275" w:type="pct"/>
          </w:tcPr>
          <w:p w14:paraId="5BAFCD94" w14:textId="77777777" w:rsidR="00247AD2" w:rsidRPr="00672714" w:rsidRDefault="00247AD2" w:rsidP="00672714">
            <w:pPr>
              <w:pStyle w:val="BodyText"/>
              <w:rPr>
                <w:sz w:val="20"/>
                <w:szCs w:val="20"/>
              </w:rPr>
            </w:pPr>
            <w:r w:rsidRPr="00672714">
              <w:rPr>
                <w:sz w:val="20"/>
                <w:szCs w:val="20"/>
              </w:rPr>
              <w:t>0</w:t>
            </w:r>
          </w:p>
        </w:tc>
        <w:tc>
          <w:tcPr>
            <w:tcW w:w="275" w:type="pct"/>
          </w:tcPr>
          <w:p w14:paraId="026E8614" w14:textId="77777777" w:rsidR="00247AD2" w:rsidRPr="00672714" w:rsidRDefault="00247AD2" w:rsidP="00672714">
            <w:pPr>
              <w:pStyle w:val="BodyText"/>
              <w:rPr>
                <w:sz w:val="20"/>
                <w:szCs w:val="20"/>
              </w:rPr>
            </w:pPr>
            <w:r w:rsidRPr="00672714">
              <w:rPr>
                <w:sz w:val="20"/>
                <w:szCs w:val="20"/>
              </w:rPr>
              <w:t>0</w:t>
            </w:r>
          </w:p>
        </w:tc>
        <w:tc>
          <w:tcPr>
            <w:tcW w:w="275" w:type="pct"/>
          </w:tcPr>
          <w:p w14:paraId="651A628A" w14:textId="77777777" w:rsidR="00247AD2" w:rsidRPr="00672714" w:rsidRDefault="00247AD2" w:rsidP="00672714">
            <w:pPr>
              <w:pStyle w:val="BodyText"/>
              <w:rPr>
                <w:sz w:val="20"/>
                <w:szCs w:val="20"/>
              </w:rPr>
            </w:pPr>
            <w:r w:rsidRPr="00672714">
              <w:rPr>
                <w:sz w:val="20"/>
                <w:szCs w:val="20"/>
              </w:rPr>
              <w:t>0</w:t>
            </w:r>
          </w:p>
        </w:tc>
        <w:tc>
          <w:tcPr>
            <w:tcW w:w="275" w:type="pct"/>
          </w:tcPr>
          <w:p w14:paraId="40432798" w14:textId="77777777" w:rsidR="00247AD2" w:rsidRPr="00672714" w:rsidRDefault="00247AD2" w:rsidP="00672714">
            <w:pPr>
              <w:pStyle w:val="BodyText"/>
              <w:rPr>
                <w:sz w:val="20"/>
                <w:szCs w:val="20"/>
              </w:rPr>
            </w:pPr>
            <w:r w:rsidRPr="00672714">
              <w:rPr>
                <w:sz w:val="20"/>
                <w:szCs w:val="20"/>
              </w:rPr>
              <w:t>0</w:t>
            </w:r>
          </w:p>
        </w:tc>
        <w:tc>
          <w:tcPr>
            <w:tcW w:w="288" w:type="pct"/>
          </w:tcPr>
          <w:p w14:paraId="6B52CC6E" w14:textId="77777777" w:rsidR="00247AD2" w:rsidRPr="00672714" w:rsidRDefault="00247AD2" w:rsidP="00672714">
            <w:pPr>
              <w:pStyle w:val="BodyText"/>
              <w:rPr>
                <w:sz w:val="20"/>
                <w:szCs w:val="20"/>
              </w:rPr>
            </w:pPr>
            <w:r w:rsidRPr="00672714">
              <w:rPr>
                <w:rStyle w:val="01bodybold"/>
                <w:sz w:val="20"/>
                <w:szCs w:val="20"/>
              </w:rPr>
              <w:t>19</w:t>
            </w:r>
          </w:p>
        </w:tc>
      </w:tr>
      <w:tr w:rsidR="00247AD2" w:rsidRPr="00672714" w14:paraId="182DC92F" w14:textId="77777777" w:rsidTr="006A0585">
        <w:trPr>
          <w:trHeight w:val="396"/>
        </w:trPr>
        <w:tc>
          <w:tcPr>
            <w:tcW w:w="475" w:type="pct"/>
          </w:tcPr>
          <w:p w14:paraId="6C0EE92D" w14:textId="77777777" w:rsidR="00247AD2" w:rsidRPr="00672714" w:rsidRDefault="00247AD2" w:rsidP="00672714">
            <w:pPr>
              <w:pStyle w:val="BodyText"/>
              <w:rPr>
                <w:sz w:val="20"/>
                <w:szCs w:val="20"/>
              </w:rPr>
            </w:pPr>
            <w:r w:rsidRPr="00672714">
              <w:rPr>
                <w:sz w:val="20"/>
                <w:szCs w:val="20"/>
              </w:rPr>
              <w:t>Vic</w:t>
            </w:r>
          </w:p>
        </w:tc>
        <w:tc>
          <w:tcPr>
            <w:tcW w:w="288" w:type="pct"/>
          </w:tcPr>
          <w:p w14:paraId="131460C8" w14:textId="77777777" w:rsidR="00247AD2" w:rsidRPr="00672714" w:rsidRDefault="00247AD2" w:rsidP="00672714">
            <w:pPr>
              <w:pStyle w:val="BodyText"/>
              <w:rPr>
                <w:sz w:val="20"/>
                <w:szCs w:val="20"/>
              </w:rPr>
            </w:pPr>
            <w:r w:rsidRPr="00672714">
              <w:rPr>
                <w:sz w:val="20"/>
                <w:szCs w:val="20"/>
              </w:rPr>
              <w:t>7</w:t>
            </w:r>
          </w:p>
        </w:tc>
        <w:tc>
          <w:tcPr>
            <w:tcW w:w="288" w:type="pct"/>
          </w:tcPr>
          <w:p w14:paraId="0FD18ED5" w14:textId="77777777" w:rsidR="00247AD2" w:rsidRPr="00672714" w:rsidRDefault="00247AD2" w:rsidP="00672714">
            <w:pPr>
              <w:pStyle w:val="BodyText"/>
              <w:rPr>
                <w:sz w:val="20"/>
                <w:szCs w:val="20"/>
              </w:rPr>
            </w:pPr>
            <w:r w:rsidRPr="00672714">
              <w:rPr>
                <w:sz w:val="20"/>
                <w:szCs w:val="20"/>
              </w:rPr>
              <w:t>67</w:t>
            </w:r>
          </w:p>
        </w:tc>
        <w:tc>
          <w:tcPr>
            <w:tcW w:w="288" w:type="pct"/>
          </w:tcPr>
          <w:p w14:paraId="7561415D" w14:textId="77777777" w:rsidR="00247AD2" w:rsidRPr="00672714" w:rsidRDefault="00247AD2" w:rsidP="00672714">
            <w:pPr>
              <w:pStyle w:val="BodyText"/>
              <w:rPr>
                <w:sz w:val="20"/>
                <w:szCs w:val="20"/>
              </w:rPr>
            </w:pPr>
            <w:r w:rsidRPr="00672714">
              <w:rPr>
                <w:sz w:val="20"/>
                <w:szCs w:val="20"/>
              </w:rPr>
              <w:t>74</w:t>
            </w:r>
          </w:p>
        </w:tc>
        <w:tc>
          <w:tcPr>
            <w:tcW w:w="288" w:type="pct"/>
          </w:tcPr>
          <w:p w14:paraId="2F1591A2" w14:textId="77777777" w:rsidR="00247AD2" w:rsidRPr="00672714" w:rsidRDefault="00247AD2" w:rsidP="00672714">
            <w:pPr>
              <w:pStyle w:val="BodyText"/>
              <w:rPr>
                <w:sz w:val="20"/>
                <w:szCs w:val="20"/>
              </w:rPr>
            </w:pPr>
            <w:r w:rsidRPr="00672714">
              <w:rPr>
                <w:sz w:val="20"/>
                <w:szCs w:val="20"/>
              </w:rPr>
              <w:t>6</w:t>
            </w:r>
          </w:p>
        </w:tc>
        <w:tc>
          <w:tcPr>
            <w:tcW w:w="288" w:type="pct"/>
          </w:tcPr>
          <w:p w14:paraId="6980CFA3" w14:textId="77777777" w:rsidR="00247AD2" w:rsidRPr="00672714" w:rsidRDefault="00247AD2" w:rsidP="00672714">
            <w:pPr>
              <w:pStyle w:val="BodyText"/>
              <w:rPr>
                <w:sz w:val="20"/>
                <w:szCs w:val="20"/>
              </w:rPr>
            </w:pPr>
            <w:r w:rsidRPr="00672714">
              <w:rPr>
                <w:sz w:val="20"/>
                <w:szCs w:val="20"/>
              </w:rPr>
              <w:t>163</w:t>
            </w:r>
          </w:p>
        </w:tc>
        <w:tc>
          <w:tcPr>
            <w:tcW w:w="288" w:type="pct"/>
          </w:tcPr>
          <w:p w14:paraId="0DAA8D9D" w14:textId="77777777" w:rsidR="00247AD2" w:rsidRPr="00672714" w:rsidRDefault="00247AD2" w:rsidP="00672714">
            <w:pPr>
              <w:pStyle w:val="BodyText"/>
              <w:rPr>
                <w:sz w:val="20"/>
                <w:szCs w:val="20"/>
              </w:rPr>
            </w:pPr>
            <w:r w:rsidRPr="00672714">
              <w:rPr>
                <w:sz w:val="20"/>
                <w:szCs w:val="20"/>
              </w:rPr>
              <w:t>169</w:t>
            </w:r>
          </w:p>
        </w:tc>
        <w:tc>
          <w:tcPr>
            <w:tcW w:w="288" w:type="pct"/>
          </w:tcPr>
          <w:p w14:paraId="63077B00" w14:textId="77777777" w:rsidR="00247AD2" w:rsidRPr="00672714" w:rsidRDefault="00247AD2" w:rsidP="00672714">
            <w:pPr>
              <w:pStyle w:val="BodyText"/>
              <w:rPr>
                <w:sz w:val="20"/>
                <w:szCs w:val="20"/>
              </w:rPr>
            </w:pPr>
            <w:r w:rsidRPr="00672714">
              <w:rPr>
                <w:sz w:val="20"/>
                <w:szCs w:val="20"/>
              </w:rPr>
              <w:t>0</w:t>
            </w:r>
          </w:p>
        </w:tc>
        <w:tc>
          <w:tcPr>
            <w:tcW w:w="288" w:type="pct"/>
          </w:tcPr>
          <w:p w14:paraId="3106AD55" w14:textId="77777777" w:rsidR="00247AD2" w:rsidRPr="00672714" w:rsidRDefault="00247AD2" w:rsidP="00672714">
            <w:pPr>
              <w:pStyle w:val="BodyText"/>
              <w:rPr>
                <w:sz w:val="20"/>
                <w:szCs w:val="20"/>
              </w:rPr>
            </w:pPr>
            <w:r w:rsidRPr="00672714">
              <w:rPr>
                <w:sz w:val="20"/>
                <w:szCs w:val="20"/>
              </w:rPr>
              <w:t>2</w:t>
            </w:r>
          </w:p>
        </w:tc>
        <w:tc>
          <w:tcPr>
            <w:tcW w:w="288" w:type="pct"/>
          </w:tcPr>
          <w:p w14:paraId="683452CB" w14:textId="77777777" w:rsidR="00247AD2" w:rsidRPr="00672714" w:rsidRDefault="00247AD2" w:rsidP="00672714">
            <w:pPr>
              <w:pStyle w:val="BodyText"/>
              <w:rPr>
                <w:sz w:val="20"/>
                <w:szCs w:val="20"/>
              </w:rPr>
            </w:pPr>
            <w:r w:rsidRPr="00672714">
              <w:rPr>
                <w:sz w:val="20"/>
                <w:szCs w:val="20"/>
              </w:rPr>
              <w:t>2</w:t>
            </w:r>
          </w:p>
        </w:tc>
        <w:tc>
          <w:tcPr>
            <w:tcW w:w="275" w:type="pct"/>
          </w:tcPr>
          <w:p w14:paraId="3A592970" w14:textId="77777777" w:rsidR="00247AD2" w:rsidRPr="00672714" w:rsidRDefault="00247AD2" w:rsidP="00672714">
            <w:pPr>
              <w:pStyle w:val="BodyText"/>
              <w:rPr>
                <w:sz w:val="20"/>
                <w:szCs w:val="20"/>
              </w:rPr>
            </w:pPr>
            <w:r w:rsidRPr="00672714">
              <w:rPr>
                <w:sz w:val="20"/>
                <w:szCs w:val="20"/>
              </w:rPr>
              <w:t>0</w:t>
            </w:r>
          </w:p>
        </w:tc>
        <w:tc>
          <w:tcPr>
            <w:tcW w:w="275" w:type="pct"/>
          </w:tcPr>
          <w:p w14:paraId="0997728D" w14:textId="77777777" w:rsidR="00247AD2" w:rsidRPr="00672714" w:rsidRDefault="00247AD2" w:rsidP="00672714">
            <w:pPr>
              <w:pStyle w:val="BodyText"/>
              <w:rPr>
                <w:sz w:val="20"/>
                <w:szCs w:val="20"/>
              </w:rPr>
            </w:pPr>
            <w:r w:rsidRPr="00672714">
              <w:rPr>
                <w:sz w:val="20"/>
                <w:szCs w:val="20"/>
              </w:rPr>
              <w:t>0</w:t>
            </w:r>
          </w:p>
        </w:tc>
        <w:tc>
          <w:tcPr>
            <w:tcW w:w="275" w:type="pct"/>
          </w:tcPr>
          <w:p w14:paraId="12123BEE" w14:textId="77777777" w:rsidR="00247AD2" w:rsidRPr="00672714" w:rsidRDefault="00247AD2" w:rsidP="00672714">
            <w:pPr>
              <w:pStyle w:val="BodyText"/>
              <w:rPr>
                <w:sz w:val="20"/>
                <w:szCs w:val="20"/>
              </w:rPr>
            </w:pPr>
            <w:r w:rsidRPr="00672714">
              <w:rPr>
                <w:sz w:val="20"/>
                <w:szCs w:val="20"/>
              </w:rPr>
              <w:t>0</w:t>
            </w:r>
          </w:p>
        </w:tc>
        <w:tc>
          <w:tcPr>
            <w:tcW w:w="275" w:type="pct"/>
          </w:tcPr>
          <w:p w14:paraId="6091CF7C" w14:textId="77777777" w:rsidR="00247AD2" w:rsidRPr="00672714" w:rsidRDefault="00247AD2" w:rsidP="00672714">
            <w:pPr>
              <w:pStyle w:val="BodyText"/>
              <w:rPr>
                <w:sz w:val="20"/>
                <w:szCs w:val="20"/>
              </w:rPr>
            </w:pPr>
            <w:r w:rsidRPr="00672714">
              <w:rPr>
                <w:sz w:val="20"/>
                <w:szCs w:val="20"/>
              </w:rPr>
              <w:t>0</w:t>
            </w:r>
          </w:p>
        </w:tc>
        <w:tc>
          <w:tcPr>
            <w:tcW w:w="275" w:type="pct"/>
          </w:tcPr>
          <w:p w14:paraId="54D1A076" w14:textId="77777777" w:rsidR="00247AD2" w:rsidRPr="00672714" w:rsidRDefault="00247AD2" w:rsidP="00672714">
            <w:pPr>
              <w:pStyle w:val="BodyText"/>
              <w:rPr>
                <w:sz w:val="20"/>
                <w:szCs w:val="20"/>
              </w:rPr>
            </w:pPr>
            <w:r w:rsidRPr="00672714">
              <w:rPr>
                <w:sz w:val="20"/>
                <w:szCs w:val="20"/>
              </w:rPr>
              <w:t>0</w:t>
            </w:r>
          </w:p>
        </w:tc>
        <w:tc>
          <w:tcPr>
            <w:tcW w:w="275" w:type="pct"/>
          </w:tcPr>
          <w:p w14:paraId="0905B599" w14:textId="77777777" w:rsidR="00247AD2" w:rsidRPr="00672714" w:rsidRDefault="00247AD2" w:rsidP="00672714">
            <w:pPr>
              <w:pStyle w:val="BodyText"/>
              <w:rPr>
                <w:sz w:val="20"/>
                <w:szCs w:val="20"/>
              </w:rPr>
            </w:pPr>
            <w:r w:rsidRPr="00672714">
              <w:rPr>
                <w:sz w:val="20"/>
                <w:szCs w:val="20"/>
              </w:rPr>
              <w:t>0</w:t>
            </w:r>
          </w:p>
        </w:tc>
        <w:tc>
          <w:tcPr>
            <w:tcW w:w="288" w:type="pct"/>
          </w:tcPr>
          <w:p w14:paraId="3B14632F" w14:textId="77777777" w:rsidR="00247AD2" w:rsidRPr="00672714" w:rsidRDefault="00247AD2" w:rsidP="00672714">
            <w:pPr>
              <w:pStyle w:val="BodyText"/>
              <w:rPr>
                <w:sz w:val="20"/>
                <w:szCs w:val="20"/>
              </w:rPr>
            </w:pPr>
            <w:r w:rsidRPr="00672714">
              <w:rPr>
                <w:rStyle w:val="01bodybold"/>
                <w:sz w:val="20"/>
                <w:szCs w:val="20"/>
              </w:rPr>
              <w:t>245</w:t>
            </w:r>
          </w:p>
        </w:tc>
      </w:tr>
      <w:tr w:rsidR="00247AD2" w:rsidRPr="00672714" w14:paraId="2A5BEDAF" w14:textId="77777777" w:rsidTr="006A0585">
        <w:trPr>
          <w:trHeight w:val="396"/>
        </w:trPr>
        <w:tc>
          <w:tcPr>
            <w:tcW w:w="475" w:type="pct"/>
          </w:tcPr>
          <w:p w14:paraId="2F8BD203" w14:textId="77777777" w:rsidR="00247AD2" w:rsidRPr="00672714" w:rsidRDefault="00247AD2" w:rsidP="00672714">
            <w:pPr>
              <w:pStyle w:val="BodyText"/>
              <w:rPr>
                <w:sz w:val="20"/>
                <w:szCs w:val="20"/>
              </w:rPr>
            </w:pPr>
            <w:r w:rsidRPr="00672714">
              <w:rPr>
                <w:sz w:val="20"/>
                <w:szCs w:val="20"/>
              </w:rPr>
              <w:lastRenderedPageBreak/>
              <w:t>WA</w:t>
            </w:r>
          </w:p>
        </w:tc>
        <w:tc>
          <w:tcPr>
            <w:tcW w:w="288" w:type="pct"/>
          </w:tcPr>
          <w:p w14:paraId="220490F0" w14:textId="77777777" w:rsidR="00247AD2" w:rsidRPr="00672714" w:rsidRDefault="00247AD2" w:rsidP="00672714">
            <w:pPr>
              <w:pStyle w:val="BodyText"/>
              <w:rPr>
                <w:sz w:val="20"/>
                <w:szCs w:val="20"/>
              </w:rPr>
            </w:pPr>
            <w:r w:rsidRPr="00672714">
              <w:rPr>
                <w:sz w:val="20"/>
                <w:szCs w:val="20"/>
              </w:rPr>
              <w:t>2</w:t>
            </w:r>
          </w:p>
        </w:tc>
        <w:tc>
          <w:tcPr>
            <w:tcW w:w="288" w:type="pct"/>
          </w:tcPr>
          <w:p w14:paraId="2439047B" w14:textId="77777777" w:rsidR="00247AD2" w:rsidRPr="00672714" w:rsidRDefault="00247AD2" w:rsidP="00672714">
            <w:pPr>
              <w:pStyle w:val="BodyText"/>
              <w:rPr>
                <w:sz w:val="20"/>
                <w:szCs w:val="20"/>
              </w:rPr>
            </w:pPr>
            <w:r w:rsidRPr="00672714">
              <w:rPr>
                <w:sz w:val="20"/>
                <w:szCs w:val="20"/>
              </w:rPr>
              <w:t>14</w:t>
            </w:r>
          </w:p>
        </w:tc>
        <w:tc>
          <w:tcPr>
            <w:tcW w:w="288" w:type="pct"/>
          </w:tcPr>
          <w:p w14:paraId="3A6DAC7D" w14:textId="77777777" w:rsidR="00247AD2" w:rsidRPr="00672714" w:rsidRDefault="00247AD2" w:rsidP="00672714">
            <w:pPr>
              <w:pStyle w:val="BodyText"/>
              <w:rPr>
                <w:sz w:val="20"/>
                <w:szCs w:val="20"/>
              </w:rPr>
            </w:pPr>
            <w:r w:rsidRPr="00672714">
              <w:rPr>
                <w:sz w:val="20"/>
                <w:szCs w:val="20"/>
              </w:rPr>
              <w:t>16</w:t>
            </w:r>
          </w:p>
        </w:tc>
        <w:tc>
          <w:tcPr>
            <w:tcW w:w="288" w:type="pct"/>
          </w:tcPr>
          <w:p w14:paraId="1C7F0E08" w14:textId="77777777" w:rsidR="00247AD2" w:rsidRPr="00672714" w:rsidRDefault="00247AD2" w:rsidP="00672714">
            <w:pPr>
              <w:pStyle w:val="BodyText"/>
              <w:rPr>
                <w:sz w:val="20"/>
                <w:szCs w:val="20"/>
              </w:rPr>
            </w:pPr>
            <w:r w:rsidRPr="00672714">
              <w:rPr>
                <w:sz w:val="20"/>
                <w:szCs w:val="20"/>
              </w:rPr>
              <w:t>1</w:t>
            </w:r>
          </w:p>
        </w:tc>
        <w:tc>
          <w:tcPr>
            <w:tcW w:w="288" w:type="pct"/>
          </w:tcPr>
          <w:p w14:paraId="5149FB7B" w14:textId="77777777" w:rsidR="00247AD2" w:rsidRPr="00672714" w:rsidRDefault="00247AD2" w:rsidP="00672714">
            <w:pPr>
              <w:pStyle w:val="BodyText"/>
              <w:rPr>
                <w:sz w:val="20"/>
                <w:szCs w:val="20"/>
              </w:rPr>
            </w:pPr>
            <w:r w:rsidRPr="00672714">
              <w:rPr>
                <w:sz w:val="20"/>
                <w:szCs w:val="20"/>
              </w:rPr>
              <w:t>94</w:t>
            </w:r>
          </w:p>
        </w:tc>
        <w:tc>
          <w:tcPr>
            <w:tcW w:w="288" w:type="pct"/>
          </w:tcPr>
          <w:p w14:paraId="1E418ED4" w14:textId="77777777" w:rsidR="00247AD2" w:rsidRPr="00672714" w:rsidRDefault="00247AD2" w:rsidP="00672714">
            <w:pPr>
              <w:pStyle w:val="BodyText"/>
              <w:rPr>
                <w:sz w:val="20"/>
                <w:szCs w:val="20"/>
              </w:rPr>
            </w:pPr>
            <w:r w:rsidRPr="00672714">
              <w:rPr>
                <w:sz w:val="20"/>
                <w:szCs w:val="20"/>
              </w:rPr>
              <w:t>95</w:t>
            </w:r>
          </w:p>
        </w:tc>
        <w:tc>
          <w:tcPr>
            <w:tcW w:w="288" w:type="pct"/>
          </w:tcPr>
          <w:p w14:paraId="54111921" w14:textId="77777777" w:rsidR="00247AD2" w:rsidRPr="00672714" w:rsidRDefault="00247AD2" w:rsidP="00672714">
            <w:pPr>
              <w:pStyle w:val="BodyText"/>
              <w:rPr>
                <w:sz w:val="20"/>
                <w:szCs w:val="20"/>
              </w:rPr>
            </w:pPr>
            <w:r w:rsidRPr="00672714">
              <w:rPr>
                <w:sz w:val="20"/>
                <w:szCs w:val="20"/>
              </w:rPr>
              <w:t>0</w:t>
            </w:r>
          </w:p>
        </w:tc>
        <w:tc>
          <w:tcPr>
            <w:tcW w:w="288" w:type="pct"/>
          </w:tcPr>
          <w:p w14:paraId="2EFDF715" w14:textId="77777777" w:rsidR="00247AD2" w:rsidRPr="00672714" w:rsidRDefault="00247AD2" w:rsidP="00672714">
            <w:pPr>
              <w:pStyle w:val="BodyText"/>
              <w:rPr>
                <w:sz w:val="20"/>
                <w:szCs w:val="20"/>
              </w:rPr>
            </w:pPr>
            <w:r w:rsidRPr="00672714">
              <w:rPr>
                <w:sz w:val="20"/>
                <w:szCs w:val="20"/>
              </w:rPr>
              <w:t>0</w:t>
            </w:r>
          </w:p>
        </w:tc>
        <w:tc>
          <w:tcPr>
            <w:tcW w:w="288" w:type="pct"/>
          </w:tcPr>
          <w:p w14:paraId="5FFCB047" w14:textId="77777777" w:rsidR="00247AD2" w:rsidRPr="00672714" w:rsidRDefault="00247AD2" w:rsidP="00672714">
            <w:pPr>
              <w:pStyle w:val="BodyText"/>
              <w:rPr>
                <w:sz w:val="20"/>
                <w:szCs w:val="20"/>
              </w:rPr>
            </w:pPr>
            <w:r w:rsidRPr="00672714">
              <w:rPr>
                <w:sz w:val="20"/>
                <w:szCs w:val="20"/>
              </w:rPr>
              <w:t>0</w:t>
            </w:r>
          </w:p>
        </w:tc>
        <w:tc>
          <w:tcPr>
            <w:tcW w:w="275" w:type="pct"/>
          </w:tcPr>
          <w:p w14:paraId="7C0370DA" w14:textId="77777777" w:rsidR="00247AD2" w:rsidRPr="00672714" w:rsidRDefault="00247AD2" w:rsidP="00672714">
            <w:pPr>
              <w:pStyle w:val="BodyText"/>
              <w:rPr>
                <w:sz w:val="20"/>
                <w:szCs w:val="20"/>
              </w:rPr>
            </w:pPr>
            <w:r w:rsidRPr="00672714">
              <w:rPr>
                <w:sz w:val="20"/>
                <w:szCs w:val="20"/>
              </w:rPr>
              <w:t>0</w:t>
            </w:r>
          </w:p>
        </w:tc>
        <w:tc>
          <w:tcPr>
            <w:tcW w:w="275" w:type="pct"/>
          </w:tcPr>
          <w:p w14:paraId="2B0D4BF7" w14:textId="77777777" w:rsidR="00247AD2" w:rsidRPr="00672714" w:rsidRDefault="00247AD2" w:rsidP="00672714">
            <w:pPr>
              <w:pStyle w:val="BodyText"/>
              <w:rPr>
                <w:sz w:val="20"/>
                <w:szCs w:val="20"/>
              </w:rPr>
            </w:pPr>
            <w:r w:rsidRPr="00672714">
              <w:rPr>
                <w:sz w:val="20"/>
                <w:szCs w:val="20"/>
              </w:rPr>
              <w:t>0</w:t>
            </w:r>
          </w:p>
        </w:tc>
        <w:tc>
          <w:tcPr>
            <w:tcW w:w="275" w:type="pct"/>
          </w:tcPr>
          <w:p w14:paraId="38280472" w14:textId="77777777" w:rsidR="00247AD2" w:rsidRPr="00672714" w:rsidRDefault="00247AD2" w:rsidP="00672714">
            <w:pPr>
              <w:pStyle w:val="BodyText"/>
              <w:rPr>
                <w:sz w:val="20"/>
                <w:szCs w:val="20"/>
              </w:rPr>
            </w:pPr>
            <w:r w:rsidRPr="00672714">
              <w:rPr>
                <w:sz w:val="20"/>
                <w:szCs w:val="20"/>
              </w:rPr>
              <w:t>0</w:t>
            </w:r>
          </w:p>
        </w:tc>
        <w:tc>
          <w:tcPr>
            <w:tcW w:w="275" w:type="pct"/>
          </w:tcPr>
          <w:p w14:paraId="723F485A" w14:textId="77777777" w:rsidR="00247AD2" w:rsidRPr="00672714" w:rsidRDefault="00247AD2" w:rsidP="00672714">
            <w:pPr>
              <w:pStyle w:val="BodyText"/>
              <w:rPr>
                <w:sz w:val="20"/>
                <w:szCs w:val="20"/>
              </w:rPr>
            </w:pPr>
            <w:r w:rsidRPr="00672714">
              <w:rPr>
                <w:sz w:val="20"/>
                <w:szCs w:val="20"/>
              </w:rPr>
              <w:t>0</w:t>
            </w:r>
          </w:p>
        </w:tc>
        <w:tc>
          <w:tcPr>
            <w:tcW w:w="275" w:type="pct"/>
          </w:tcPr>
          <w:p w14:paraId="00C794B8" w14:textId="77777777" w:rsidR="00247AD2" w:rsidRPr="00672714" w:rsidRDefault="00247AD2" w:rsidP="00672714">
            <w:pPr>
              <w:pStyle w:val="BodyText"/>
              <w:rPr>
                <w:sz w:val="20"/>
                <w:szCs w:val="20"/>
              </w:rPr>
            </w:pPr>
            <w:r w:rsidRPr="00672714">
              <w:rPr>
                <w:sz w:val="20"/>
                <w:szCs w:val="20"/>
              </w:rPr>
              <w:t>0</w:t>
            </w:r>
          </w:p>
        </w:tc>
        <w:tc>
          <w:tcPr>
            <w:tcW w:w="275" w:type="pct"/>
          </w:tcPr>
          <w:p w14:paraId="03A0F93D" w14:textId="77777777" w:rsidR="00247AD2" w:rsidRPr="00672714" w:rsidRDefault="00247AD2" w:rsidP="00672714">
            <w:pPr>
              <w:pStyle w:val="BodyText"/>
              <w:rPr>
                <w:sz w:val="20"/>
                <w:szCs w:val="20"/>
              </w:rPr>
            </w:pPr>
            <w:r w:rsidRPr="00672714">
              <w:rPr>
                <w:sz w:val="20"/>
                <w:szCs w:val="20"/>
              </w:rPr>
              <w:t>0</w:t>
            </w:r>
          </w:p>
        </w:tc>
        <w:tc>
          <w:tcPr>
            <w:tcW w:w="288" w:type="pct"/>
          </w:tcPr>
          <w:p w14:paraId="51865AF3" w14:textId="77777777" w:rsidR="00247AD2" w:rsidRPr="00672714" w:rsidRDefault="00247AD2" w:rsidP="00672714">
            <w:pPr>
              <w:pStyle w:val="BodyText"/>
              <w:rPr>
                <w:sz w:val="20"/>
                <w:szCs w:val="20"/>
              </w:rPr>
            </w:pPr>
            <w:r w:rsidRPr="00672714">
              <w:rPr>
                <w:rStyle w:val="01bodybold"/>
                <w:sz w:val="20"/>
                <w:szCs w:val="20"/>
              </w:rPr>
              <w:t>111</w:t>
            </w:r>
          </w:p>
        </w:tc>
      </w:tr>
      <w:tr w:rsidR="00247AD2" w:rsidRPr="00672714" w14:paraId="1CBB2BE2" w14:textId="77777777" w:rsidTr="006A0585">
        <w:trPr>
          <w:trHeight w:val="396"/>
        </w:trPr>
        <w:tc>
          <w:tcPr>
            <w:tcW w:w="475" w:type="pct"/>
          </w:tcPr>
          <w:p w14:paraId="23BA1F27" w14:textId="77777777" w:rsidR="00247AD2" w:rsidRPr="00672714" w:rsidRDefault="00247AD2" w:rsidP="00672714">
            <w:pPr>
              <w:pStyle w:val="BodyText"/>
              <w:rPr>
                <w:sz w:val="20"/>
                <w:szCs w:val="20"/>
              </w:rPr>
            </w:pPr>
            <w:r w:rsidRPr="00672714">
              <w:rPr>
                <w:sz w:val="20"/>
                <w:szCs w:val="20"/>
              </w:rPr>
              <w:t>ACT</w:t>
            </w:r>
          </w:p>
        </w:tc>
        <w:tc>
          <w:tcPr>
            <w:tcW w:w="288" w:type="pct"/>
          </w:tcPr>
          <w:p w14:paraId="3649E712" w14:textId="77777777" w:rsidR="00247AD2" w:rsidRPr="00672714" w:rsidRDefault="00247AD2" w:rsidP="00672714">
            <w:pPr>
              <w:pStyle w:val="BodyText"/>
              <w:rPr>
                <w:sz w:val="20"/>
                <w:szCs w:val="20"/>
              </w:rPr>
            </w:pPr>
            <w:r w:rsidRPr="00672714">
              <w:rPr>
                <w:sz w:val="20"/>
                <w:szCs w:val="20"/>
              </w:rPr>
              <w:t>24</w:t>
            </w:r>
          </w:p>
        </w:tc>
        <w:tc>
          <w:tcPr>
            <w:tcW w:w="288" w:type="pct"/>
          </w:tcPr>
          <w:p w14:paraId="4C327774" w14:textId="77777777" w:rsidR="00247AD2" w:rsidRPr="00672714" w:rsidRDefault="00247AD2" w:rsidP="00672714">
            <w:pPr>
              <w:pStyle w:val="BodyText"/>
              <w:rPr>
                <w:sz w:val="20"/>
                <w:szCs w:val="20"/>
              </w:rPr>
            </w:pPr>
            <w:r w:rsidRPr="00672714">
              <w:rPr>
                <w:sz w:val="20"/>
                <w:szCs w:val="20"/>
              </w:rPr>
              <w:t>13</w:t>
            </w:r>
          </w:p>
        </w:tc>
        <w:tc>
          <w:tcPr>
            <w:tcW w:w="288" w:type="pct"/>
          </w:tcPr>
          <w:p w14:paraId="471D75C8" w14:textId="77777777" w:rsidR="00247AD2" w:rsidRPr="00672714" w:rsidRDefault="00247AD2" w:rsidP="00672714">
            <w:pPr>
              <w:pStyle w:val="BodyText"/>
              <w:rPr>
                <w:sz w:val="20"/>
                <w:szCs w:val="20"/>
              </w:rPr>
            </w:pPr>
            <w:r w:rsidRPr="00672714">
              <w:rPr>
                <w:sz w:val="20"/>
                <w:szCs w:val="20"/>
              </w:rPr>
              <w:t>37</w:t>
            </w:r>
          </w:p>
        </w:tc>
        <w:tc>
          <w:tcPr>
            <w:tcW w:w="288" w:type="pct"/>
          </w:tcPr>
          <w:p w14:paraId="503C4EED" w14:textId="77777777" w:rsidR="00247AD2" w:rsidRPr="00672714" w:rsidRDefault="00247AD2" w:rsidP="00672714">
            <w:pPr>
              <w:pStyle w:val="BodyText"/>
              <w:rPr>
                <w:sz w:val="20"/>
                <w:szCs w:val="20"/>
              </w:rPr>
            </w:pPr>
            <w:r w:rsidRPr="00672714">
              <w:rPr>
                <w:sz w:val="20"/>
                <w:szCs w:val="20"/>
              </w:rPr>
              <w:t>13</w:t>
            </w:r>
          </w:p>
        </w:tc>
        <w:tc>
          <w:tcPr>
            <w:tcW w:w="288" w:type="pct"/>
          </w:tcPr>
          <w:p w14:paraId="34ACA8B3" w14:textId="77777777" w:rsidR="00247AD2" w:rsidRPr="00672714" w:rsidRDefault="00247AD2" w:rsidP="00672714">
            <w:pPr>
              <w:pStyle w:val="BodyText"/>
              <w:rPr>
                <w:sz w:val="20"/>
                <w:szCs w:val="20"/>
              </w:rPr>
            </w:pPr>
            <w:r w:rsidRPr="00672714">
              <w:rPr>
                <w:sz w:val="20"/>
                <w:szCs w:val="20"/>
              </w:rPr>
              <w:t>20</w:t>
            </w:r>
          </w:p>
        </w:tc>
        <w:tc>
          <w:tcPr>
            <w:tcW w:w="288" w:type="pct"/>
          </w:tcPr>
          <w:p w14:paraId="5ED0A342" w14:textId="77777777" w:rsidR="00247AD2" w:rsidRPr="00672714" w:rsidRDefault="00247AD2" w:rsidP="00672714">
            <w:pPr>
              <w:pStyle w:val="BodyText"/>
              <w:rPr>
                <w:sz w:val="20"/>
                <w:szCs w:val="20"/>
              </w:rPr>
            </w:pPr>
            <w:r w:rsidRPr="00672714">
              <w:rPr>
                <w:sz w:val="20"/>
                <w:szCs w:val="20"/>
              </w:rPr>
              <w:t>33</w:t>
            </w:r>
          </w:p>
        </w:tc>
        <w:tc>
          <w:tcPr>
            <w:tcW w:w="288" w:type="pct"/>
          </w:tcPr>
          <w:p w14:paraId="0513F8B7" w14:textId="77777777" w:rsidR="00247AD2" w:rsidRPr="00672714" w:rsidRDefault="00247AD2" w:rsidP="00672714">
            <w:pPr>
              <w:pStyle w:val="BodyText"/>
              <w:rPr>
                <w:sz w:val="20"/>
                <w:szCs w:val="20"/>
              </w:rPr>
            </w:pPr>
            <w:r w:rsidRPr="00672714">
              <w:rPr>
                <w:sz w:val="20"/>
                <w:szCs w:val="20"/>
              </w:rPr>
              <w:t>3</w:t>
            </w:r>
          </w:p>
        </w:tc>
        <w:tc>
          <w:tcPr>
            <w:tcW w:w="288" w:type="pct"/>
          </w:tcPr>
          <w:p w14:paraId="6A3940DF" w14:textId="77777777" w:rsidR="00247AD2" w:rsidRPr="00672714" w:rsidRDefault="00247AD2" w:rsidP="00672714">
            <w:pPr>
              <w:pStyle w:val="BodyText"/>
              <w:rPr>
                <w:sz w:val="20"/>
                <w:szCs w:val="20"/>
              </w:rPr>
            </w:pPr>
            <w:r w:rsidRPr="00672714">
              <w:rPr>
                <w:sz w:val="20"/>
                <w:szCs w:val="20"/>
              </w:rPr>
              <w:t>1</w:t>
            </w:r>
          </w:p>
        </w:tc>
        <w:tc>
          <w:tcPr>
            <w:tcW w:w="288" w:type="pct"/>
          </w:tcPr>
          <w:p w14:paraId="317A944A" w14:textId="77777777" w:rsidR="00247AD2" w:rsidRPr="00672714" w:rsidRDefault="00247AD2" w:rsidP="00672714">
            <w:pPr>
              <w:pStyle w:val="BodyText"/>
              <w:rPr>
                <w:sz w:val="20"/>
                <w:szCs w:val="20"/>
              </w:rPr>
            </w:pPr>
            <w:r w:rsidRPr="00672714">
              <w:rPr>
                <w:sz w:val="20"/>
                <w:szCs w:val="20"/>
              </w:rPr>
              <w:t>4</w:t>
            </w:r>
          </w:p>
        </w:tc>
        <w:tc>
          <w:tcPr>
            <w:tcW w:w="275" w:type="pct"/>
          </w:tcPr>
          <w:p w14:paraId="4697963A" w14:textId="77777777" w:rsidR="00247AD2" w:rsidRPr="00672714" w:rsidRDefault="00247AD2" w:rsidP="00672714">
            <w:pPr>
              <w:pStyle w:val="BodyText"/>
              <w:rPr>
                <w:sz w:val="20"/>
                <w:szCs w:val="20"/>
              </w:rPr>
            </w:pPr>
            <w:r w:rsidRPr="00672714">
              <w:rPr>
                <w:sz w:val="20"/>
                <w:szCs w:val="20"/>
              </w:rPr>
              <w:t>0</w:t>
            </w:r>
          </w:p>
        </w:tc>
        <w:tc>
          <w:tcPr>
            <w:tcW w:w="275" w:type="pct"/>
          </w:tcPr>
          <w:p w14:paraId="406B0384" w14:textId="77777777" w:rsidR="00247AD2" w:rsidRPr="00672714" w:rsidRDefault="00247AD2" w:rsidP="00672714">
            <w:pPr>
              <w:pStyle w:val="BodyText"/>
              <w:rPr>
                <w:sz w:val="20"/>
                <w:szCs w:val="20"/>
              </w:rPr>
            </w:pPr>
            <w:r w:rsidRPr="00672714">
              <w:rPr>
                <w:sz w:val="20"/>
                <w:szCs w:val="20"/>
              </w:rPr>
              <w:t>0</w:t>
            </w:r>
          </w:p>
        </w:tc>
        <w:tc>
          <w:tcPr>
            <w:tcW w:w="275" w:type="pct"/>
          </w:tcPr>
          <w:p w14:paraId="6472ADA0" w14:textId="77777777" w:rsidR="00247AD2" w:rsidRPr="00672714" w:rsidRDefault="00247AD2" w:rsidP="00672714">
            <w:pPr>
              <w:pStyle w:val="BodyText"/>
              <w:rPr>
                <w:sz w:val="20"/>
                <w:szCs w:val="20"/>
              </w:rPr>
            </w:pPr>
            <w:r w:rsidRPr="00672714">
              <w:rPr>
                <w:sz w:val="20"/>
                <w:szCs w:val="20"/>
              </w:rPr>
              <w:t>0</w:t>
            </w:r>
          </w:p>
        </w:tc>
        <w:tc>
          <w:tcPr>
            <w:tcW w:w="275" w:type="pct"/>
          </w:tcPr>
          <w:p w14:paraId="1E7BC8B1" w14:textId="77777777" w:rsidR="00247AD2" w:rsidRPr="00672714" w:rsidRDefault="00247AD2" w:rsidP="00672714">
            <w:pPr>
              <w:pStyle w:val="BodyText"/>
              <w:rPr>
                <w:sz w:val="20"/>
                <w:szCs w:val="20"/>
              </w:rPr>
            </w:pPr>
            <w:r w:rsidRPr="00672714">
              <w:rPr>
                <w:sz w:val="20"/>
                <w:szCs w:val="20"/>
              </w:rPr>
              <w:t>0</w:t>
            </w:r>
          </w:p>
        </w:tc>
        <w:tc>
          <w:tcPr>
            <w:tcW w:w="275" w:type="pct"/>
          </w:tcPr>
          <w:p w14:paraId="0DCEE18E" w14:textId="77777777" w:rsidR="00247AD2" w:rsidRPr="00672714" w:rsidRDefault="00247AD2" w:rsidP="00672714">
            <w:pPr>
              <w:pStyle w:val="BodyText"/>
              <w:rPr>
                <w:sz w:val="20"/>
                <w:szCs w:val="20"/>
              </w:rPr>
            </w:pPr>
            <w:r w:rsidRPr="00672714">
              <w:rPr>
                <w:sz w:val="20"/>
                <w:szCs w:val="20"/>
              </w:rPr>
              <w:t>0</w:t>
            </w:r>
          </w:p>
        </w:tc>
        <w:tc>
          <w:tcPr>
            <w:tcW w:w="275" w:type="pct"/>
          </w:tcPr>
          <w:p w14:paraId="54AFC15A" w14:textId="77777777" w:rsidR="00247AD2" w:rsidRPr="00672714" w:rsidRDefault="00247AD2" w:rsidP="00672714">
            <w:pPr>
              <w:pStyle w:val="BodyText"/>
              <w:rPr>
                <w:sz w:val="20"/>
                <w:szCs w:val="20"/>
              </w:rPr>
            </w:pPr>
            <w:r w:rsidRPr="00672714">
              <w:rPr>
                <w:sz w:val="20"/>
                <w:szCs w:val="20"/>
              </w:rPr>
              <w:t>0</w:t>
            </w:r>
          </w:p>
        </w:tc>
        <w:tc>
          <w:tcPr>
            <w:tcW w:w="288" w:type="pct"/>
          </w:tcPr>
          <w:p w14:paraId="75997F72" w14:textId="77777777" w:rsidR="00247AD2" w:rsidRPr="00672714" w:rsidRDefault="00247AD2" w:rsidP="00672714">
            <w:pPr>
              <w:pStyle w:val="BodyText"/>
              <w:rPr>
                <w:sz w:val="20"/>
                <w:szCs w:val="20"/>
              </w:rPr>
            </w:pPr>
            <w:r w:rsidRPr="00672714">
              <w:rPr>
                <w:rStyle w:val="01bodybold"/>
                <w:sz w:val="20"/>
                <w:szCs w:val="20"/>
              </w:rPr>
              <w:t>74</w:t>
            </w:r>
          </w:p>
        </w:tc>
      </w:tr>
      <w:tr w:rsidR="00247AD2" w:rsidRPr="00672714" w14:paraId="70CAF50F" w14:textId="77777777" w:rsidTr="006A0585">
        <w:trPr>
          <w:trHeight w:val="396"/>
        </w:trPr>
        <w:tc>
          <w:tcPr>
            <w:tcW w:w="475" w:type="pct"/>
          </w:tcPr>
          <w:p w14:paraId="538F2D21" w14:textId="77777777" w:rsidR="00247AD2" w:rsidRPr="00672714" w:rsidRDefault="00247AD2" w:rsidP="00672714">
            <w:pPr>
              <w:pStyle w:val="BodyText"/>
              <w:rPr>
                <w:sz w:val="20"/>
                <w:szCs w:val="20"/>
              </w:rPr>
            </w:pPr>
            <w:r w:rsidRPr="00672714">
              <w:rPr>
                <w:sz w:val="20"/>
                <w:szCs w:val="20"/>
              </w:rPr>
              <w:t>NT</w:t>
            </w:r>
          </w:p>
        </w:tc>
        <w:tc>
          <w:tcPr>
            <w:tcW w:w="288" w:type="pct"/>
          </w:tcPr>
          <w:p w14:paraId="36C33563" w14:textId="77777777" w:rsidR="00247AD2" w:rsidRPr="00672714" w:rsidRDefault="00247AD2" w:rsidP="00672714">
            <w:pPr>
              <w:pStyle w:val="BodyText"/>
              <w:rPr>
                <w:sz w:val="20"/>
                <w:szCs w:val="20"/>
              </w:rPr>
            </w:pPr>
            <w:r w:rsidRPr="00672714">
              <w:rPr>
                <w:sz w:val="20"/>
                <w:szCs w:val="20"/>
              </w:rPr>
              <w:t>3</w:t>
            </w:r>
          </w:p>
        </w:tc>
        <w:tc>
          <w:tcPr>
            <w:tcW w:w="288" w:type="pct"/>
          </w:tcPr>
          <w:p w14:paraId="79E3EE1A" w14:textId="77777777" w:rsidR="00247AD2" w:rsidRPr="00672714" w:rsidRDefault="00247AD2" w:rsidP="00672714">
            <w:pPr>
              <w:pStyle w:val="BodyText"/>
              <w:rPr>
                <w:sz w:val="20"/>
                <w:szCs w:val="20"/>
              </w:rPr>
            </w:pPr>
            <w:r w:rsidRPr="00672714">
              <w:rPr>
                <w:sz w:val="20"/>
                <w:szCs w:val="20"/>
              </w:rPr>
              <w:t>4</w:t>
            </w:r>
          </w:p>
        </w:tc>
        <w:tc>
          <w:tcPr>
            <w:tcW w:w="288" w:type="pct"/>
          </w:tcPr>
          <w:p w14:paraId="3832652A" w14:textId="77777777" w:rsidR="00247AD2" w:rsidRPr="00672714" w:rsidRDefault="00247AD2" w:rsidP="00672714">
            <w:pPr>
              <w:pStyle w:val="BodyText"/>
              <w:rPr>
                <w:sz w:val="20"/>
                <w:szCs w:val="20"/>
              </w:rPr>
            </w:pPr>
            <w:r w:rsidRPr="00672714">
              <w:rPr>
                <w:sz w:val="20"/>
                <w:szCs w:val="20"/>
              </w:rPr>
              <w:t>7</w:t>
            </w:r>
          </w:p>
        </w:tc>
        <w:tc>
          <w:tcPr>
            <w:tcW w:w="288" w:type="pct"/>
          </w:tcPr>
          <w:p w14:paraId="005FD0B5" w14:textId="77777777" w:rsidR="00247AD2" w:rsidRPr="00672714" w:rsidRDefault="00247AD2" w:rsidP="00672714">
            <w:pPr>
              <w:pStyle w:val="BodyText"/>
              <w:rPr>
                <w:sz w:val="20"/>
                <w:szCs w:val="20"/>
              </w:rPr>
            </w:pPr>
            <w:r w:rsidRPr="00672714">
              <w:rPr>
                <w:sz w:val="20"/>
                <w:szCs w:val="20"/>
              </w:rPr>
              <w:t>3</w:t>
            </w:r>
          </w:p>
        </w:tc>
        <w:tc>
          <w:tcPr>
            <w:tcW w:w="288" w:type="pct"/>
          </w:tcPr>
          <w:p w14:paraId="76D65810" w14:textId="77777777" w:rsidR="00247AD2" w:rsidRPr="00672714" w:rsidRDefault="00247AD2" w:rsidP="00672714">
            <w:pPr>
              <w:pStyle w:val="BodyText"/>
              <w:rPr>
                <w:sz w:val="20"/>
                <w:szCs w:val="20"/>
              </w:rPr>
            </w:pPr>
            <w:r w:rsidRPr="00672714">
              <w:rPr>
                <w:sz w:val="20"/>
                <w:szCs w:val="20"/>
              </w:rPr>
              <w:t>4</w:t>
            </w:r>
          </w:p>
        </w:tc>
        <w:tc>
          <w:tcPr>
            <w:tcW w:w="288" w:type="pct"/>
          </w:tcPr>
          <w:p w14:paraId="17FD5361" w14:textId="77777777" w:rsidR="00247AD2" w:rsidRPr="00672714" w:rsidRDefault="00247AD2" w:rsidP="00672714">
            <w:pPr>
              <w:pStyle w:val="BodyText"/>
              <w:rPr>
                <w:sz w:val="20"/>
                <w:szCs w:val="20"/>
              </w:rPr>
            </w:pPr>
            <w:r w:rsidRPr="00672714">
              <w:rPr>
                <w:sz w:val="20"/>
                <w:szCs w:val="20"/>
              </w:rPr>
              <w:t>7</w:t>
            </w:r>
          </w:p>
        </w:tc>
        <w:tc>
          <w:tcPr>
            <w:tcW w:w="288" w:type="pct"/>
          </w:tcPr>
          <w:p w14:paraId="6C7471F3" w14:textId="77777777" w:rsidR="00247AD2" w:rsidRPr="00672714" w:rsidRDefault="00247AD2" w:rsidP="00672714">
            <w:pPr>
              <w:pStyle w:val="BodyText"/>
              <w:rPr>
                <w:sz w:val="20"/>
                <w:szCs w:val="20"/>
              </w:rPr>
            </w:pPr>
            <w:r w:rsidRPr="00672714">
              <w:rPr>
                <w:sz w:val="20"/>
                <w:szCs w:val="20"/>
              </w:rPr>
              <w:t>0</w:t>
            </w:r>
          </w:p>
        </w:tc>
        <w:tc>
          <w:tcPr>
            <w:tcW w:w="288" w:type="pct"/>
          </w:tcPr>
          <w:p w14:paraId="4A445C95" w14:textId="77777777" w:rsidR="00247AD2" w:rsidRPr="00672714" w:rsidRDefault="00247AD2" w:rsidP="00672714">
            <w:pPr>
              <w:pStyle w:val="BodyText"/>
              <w:rPr>
                <w:sz w:val="20"/>
                <w:szCs w:val="20"/>
              </w:rPr>
            </w:pPr>
            <w:r w:rsidRPr="00672714">
              <w:rPr>
                <w:sz w:val="20"/>
                <w:szCs w:val="20"/>
              </w:rPr>
              <w:t>0</w:t>
            </w:r>
          </w:p>
        </w:tc>
        <w:tc>
          <w:tcPr>
            <w:tcW w:w="288" w:type="pct"/>
          </w:tcPr>
          <w:p w14:paraId="3BA089C9" w14:textId="77777777" w:rsidR="00247AD2" w:rsidRPr="00672714" w:rsidRDefault="00247AD2" w:rsidP="00672714">
            <w:pPr>
              <w:pStyle w:val="BodyText"/>
              <w:rPr>
                <w:sz w:val="20"/>
                <w:szCs w:val="20"/>
              </w:rPr>
            </w:pPr>
            <w:r w:rsidRPr="00672714">
              <w:rPr>
                <w:sz w:val="20"/>
                <w:szCs w:val="20"/>
              </w:rPr>
              <w:t>0</w:t>
            </w:r>
          </w:p>
        </w:tc>
        <w:tc>
          <w:tcPr>
            <w:tcW w:w="275" w:type="pct"/>
          </w:tcPr>
          <w:p w14:paraId="18D2ACB4" w14:textId="77777777" w:rsidR="00247AD2" w:rsidRPr="00672714" w:rsidRDefault="00247AD2" w:rsidP="00672714">
            <w:pPr>
              <w:pStyle w:val="BodyText"/>
              <w:rPr>
                <w:sz w:val="20"/>
                <w:szCs w:val="20"/>
              </w:rPr>
            </w:pPr>
            <w:r w:rsidRPr="00672714">
              <w:rPr>
                <w:sz w:val="20"/>
                <w:szCs w:val="20"/>
              </w:rPr>
              <w:t>0</w:t>
            </w:r>
          </w:p>
        </w:tc>
        <w:tc>
          <w:tcPr>
            <w:tcW w:w="275" w:type="pct"/>
          </w:tcPr>
          <w:p w14:paraId="65383035" w14:textId="77777777" w:rsidR="00247AD2" w:rsidRPr="00672714" w:rsidRDefault="00247AD2" w:rsidP="00672714">
            <w:pPr>
              <w:pStyle w:val="BodyText"/>
              <w:rPr>
                <w:sz w:val="20"/>
                <w:szCs w:val="20"/>
              </w:rPr>
            </w:pPr>
            <w:r w:rsidRPr="00672714">
              <w:rPr>
                <w:sz w:val="20"/>
                <w:szCs w:val="20"/>
              </w:rPr>
              <w:t>0</w:t>
            </w:r>
          </w:p>
        </w:tc>
        <w:tc>
          <w:tcPr>
            <w:tcW w:w="275" w:type="pct"/>
          </w:tcPr>
          <w:p w14:paraId="379E51A6" w14:textId="77777777" w:rsidR="00247AD2" w:rsidRPr="00672714" w:rsidRDefault="00247AD2" w:rsidP="00672714">
            <w:pPr>
              <w:pStyle w:val="BodyText"/>
              <w:rPr>
                <w:sz w:val="20"/>
                <w:szCs w:val="20"/>
              </w:rPr>
            </w:pPr>
            <w:r w:rsidRPr="00672714">
              <w:rPr>
                <w:sz w:val="20"/>
                <w:szCs w:val="20"/>
              </w:rPr>
              <w:t>0</w:t>
            </w:r>
          </w:p>
        </w:tc>
        <w:tc>
          <w:tcPr>
            <w:tcW w:w="275" w:type="pct"/>
          </w:tcPr>
          <w:p w14:paraId="4FAF1276" w14:textId="77777777" w:rsidR="00247AD2" w:rsidRPr="00672714" w:rsidRDefault="00247AD2" w:rsidP="00672714">
            <w:pPr>
              <w:pStyle w:val="BodyText"/>
              <w:rPr>
                <w:sz w:val="20"/>
                <w:szCs w:val="20"/>
              </w:rPr>
            </w:pPr>
            <w:r w:rsidRPr="00672714">
              <w:rPr>
                <w:sz w:val="20"/>
                <w:szCs w:val="20"/>
              </w:rPr>
              <w:t>0</w:t>
            </w:r>
          </w:p>
        </w:tc>
        <w:tc>
          <w:tcPr>
            <w:tcW w:w="275" w:type="pct"/>
          </w:tcPr>
          <w:p w14:paraId="0A642BD0" w14:textId="77777777" w:rsidR="00247AD2" w:rsidRPr="00672714" w:rsidRDefault="00247AD2" w:rsidP="00672714">
            <w:pPr>
              <w:pStyle w:val="BodyText"/>
              <w:rPr>
                <w:sz w:val="20"/>
                <w:szCs w:val="20"/>
              </w:rPr>
            </w:pPr>
            <w:r w:rsidRPr="00672714">
              <w:rPr>
                <w:sz w:val="20"/>
                <w:szCs w:val="20"/>
              </w:rPr>
              <w:t>0</w:t>
            </w:r>
          </w:p>
        </w:tc>
        <w:tc>
          <w:tcPr>
            <w:tcW w:w="275" w:type="pct"/>
          </w:tcPr>
          <w:p w14:paraId="3FF1701A" w14:textId="77777777" w:rsidR="00247AD2" w:rsidRPr="00672714" w:rsidRDefault="00247AD2" w:rsidP="00672714">
            <w:pPr>
              <w:pStyle w:val="BodyText"/>
              <w:rPr>
                <w:sz w:val="20"/>
                <w:szCs w:val="20"/>
              </w:rPr>
            </w:pPr>
            <w:r w:rsidRPr="00672714">
              <w:rPr>
                <w:sz w:val="20"/>
                <w:szCs w:val="20"/>
              </w:rPr>
              <w:t>0</w:t>
            </w:r>
          </w:p>
        </w:tc>
        <w:tc>
          <w:tcPr>
            <w:tcW w:w="288" w:type="pct"/>
          </w:tcPr>
          <w:p w14:paraId="2C666F5C" w14:textId="77777777" w:rsidR="00247AD2" w:rsidRPr="00672714" w:rsidRDefault="00247AD2" w:rsidP="00672714">
            <w:pPr>
              <w:pStyle w:val="BodyText"/>
              <w:rPr>
                <w:sz w:val="20"/>
                <w:szCs w:val="20"/>
              </w:rPr>
            </w:pPr>
            <w:r w:rsidRPr="00672714">
              <w:rPr>
                <w:rStyle w:val="01bodybold"/>
                <w:sz w:val="20"/>
                <w:szCs w:val="20"/>
              </w:rPr>
              <w:t>14</w:t>
            </w:r>
          </w:p>
        </w:tc>
      </w:tr>
      <w:tr w:rsidR="00247AD2" w:rsidRPr="00672714" w14:paraId="70644E1A" w14:textId="77777777" w:rsidTr="006A0585">
        <w:trPr>
          <w:trHeight w:val="396"/>
        </w:trPr>
        <w:tc>
          <w:tcPr>
            <w:tcW w:w="475" w:type="pct"/>
          </w:tcPr>
          <w:p w14:paraId="35283C15" w14:textId="77777777" w:rsidR="00247AD2" w:rsidRPr="00672714" w:rsidRDefault="00247AD2" w:rsidP="00672714">
            <w:pPr>
              <w:pStyle w:val="BodyText"/>
              <w:rPr>
                <w:sz w:val="20"/>
                <w:szCs w:val="20"/>
              </w:rPr>
            </w:pPr>
            <w:r w:rsidRPr="00672714">
              <w:rPr>
                <w:sz w:val="20"/>
                <w:szCs w:val="20"/>
              </w:rPr>
              <w:t>External territories</w:t>
            </w:r>
          </w:p>
        </w:tc>
        <w:tc>
          <w:tcPr>
            <w:tcW w:w="288" w:type="pct"/>
          </w:tcPr>
          <w:p w14:paraId="6395C060" w14:textId="77777777" w:rsidR="00247AD2" w:rsidRPr="00672714" w:rsidRDefault="00247AD2" w:rsidP="00672714">
            <w:pPr>
              <w:pStyle w:val="BodyText"/>
              <w:rPr>
                <w:sz w:val="20"/>
                <w:szCs w:val="20"/>
              </w:rPr>
            </w:pPr>
            <w:r w:rsidRPr="00672714">
              <w:rPr>
                <w:sz w:val="20"/>
                <w:szCs w:val="20"/>
              </w:rPr>
              <w:t>0</w:t>
            </w:r>
          </w:p>
        </w:tc>
        <w:tc>
          <w:tcPr>
            <w:tcW w:w="288" w:type="pct"/>
          </w:tcPr>
          <w:p w14:paraId="03021F69" w14:textId="77777777" w:rsidR="00247AD2" w:rsidRPr="00672714" w:rsidRDefault="00247AD2" w:rsidP="00672714">
            <w:pPr>
              <w:pStyle w:val="BodyText"/>
              <w:rPr>
                <w:sz w:val="20"/>
                <w:szCs w:val="20"/>
              </w:rPr>
            </w:pPr>
            <w:r w:rsidRPr="00672714">
              <w:rPr>
                <w:sz w:val="20"/>
                <w:szCs w:val="20"/>
              </w:rPr>
              <w:t>0</w:t>
            </w:r>
          </w:p>
        </w:tc>
        <w:tc>
          <w:tcPr>
            <w:tcW w:w="288" w:type="pct"/>
          </w:tcPr>
          <w:p w14:paraId="037BAE47" w14:textId="77777777" w:rsidR="00247AD2" w:rsidRPr="00672714" w:rsidRDefault="00247AD2" w:rsidP="00672714">
            <w:pPr>
              <w:pStyle w:val="BodyText"/>
              <w:rPr>
                <w:sz w:val="20"/>
                <w:szCs w:val="20"/>
              </w:rPr>
            </w:pPr>
            <w:r w:rsidRPr="00672714">
              <w:rPr>
                <w:sz w:val="20"/>
                <w:szCs w:val="20"/>
              </w:rPr>
              <w:t>0</w:t>
            </w:r>
          </w:p>
        </w:tc>
        <w:tc>
          <w:tcPr>
            <w:tcW w:w="288" w:type="pct"/>
          </w:tcPr>
          <w:p w14:paraId="3AD996F0" w14:textId="77777777" w:rsidR="00247AD2" w:rsidRPr="00672714" w:rsidRDefault="00247AD2" w:rsidP="00672714">
            <w:pPr>
              <w:pStyle w:val="BodyText"/>
              <w:rPr>
                <w:sz w:val="20"/>
                <w:szCs w:val="20"/>
              </w:rPr>
            </w:pPr>
            <w:r w:rsidRPr="00672714">
              <w:rPr>
                <w:sz w:val="20"/>
                <w:szCs w:val="20"/>
              </w:rPr>
              <w:t>0</w:t>
            </w:r>
          </w:p>
        </w:tc>
        <w:tc>
          <w:tcPr>
            <w:tcW w:w="288" w:type="pct"/>
          </w:tcPr>
          <w:p w14:paraId="4880480C" w14:textId="77777777" w:rsidR="00247AD2" w:rsidRPr="00672714" w:rsidRDefault="00247AD2" w:rsidP="00672714">
            <w:pPr>
              <w:pStyle w:val="BodyText"/>
              <w:rPr>
                <w:sz w:val="20"/>
                <w:szCs w:val="20"/>
              </w:rPr>
            </w:pPr>
            <w:r w:rsidRPr="00672714">
              <w:rPr>
                <w:sz w:val="20"/>
                <w:szCs w:val="20"/>
              </w:rPr>
              <w:t>0</w:t>
            </w:r>
          </w:p>
        </w:tc>
        <w:tc>
          <w:tcPr>
            <w:tcW w:w="288" w:type="pct"/>
          </w:tcPr>
          <w:p w14:paraId="7C58E13A" w14:textId="77777777" w:rsidR="00247AD2" w:rsidRPr="00672714" w:rsidRDefault="00247AD2" w:rsidP="00672714">
            <w:pPr>
              <w:pStyle w:val="BodyText"/>
              <w:rPr>
                <w:sz w:val="20"/>
                <w:szCs w:val="20"/>
              </w:rPr>
            </w:pPr>
            <w:r w:rsidRPr="00672714">
              <w:rPr>
                <w:sz w:val="20"/>
                <w:szCs w:val="20"/>
              </w:rPr>
              <w:t>0</w:t>
            </w:r>
          </w:p>
        </w:tc>
        <w:tc>
          <w:tcPr>
            <w:tcW w:w="288" w:type="pct"/>
          </w:tcPr>
          <w:p w14:paraId="78C56B59" w14:textId="77777777" w:rsidR="00247AD2" w:rsidRPr="00672714" w:rsidRDefault="00247AD2" w:rsidP="00672714">
            <w:pPr>
              <w:pStyle w:val="BodyText"/>
              <w:rPr>
                <w:sz w:val="20"/>
                <w:szCs w:val="20"/>
              </w:rPr>
            </w:pPr>
            <w:r w:rsidRPr="00672714">
              <w:rPr>
                <w:sz w:val="20"/>
                <w:szCs w:val="20"/>
              </w:rPr>
              <w:t>0</w:t>
            </w:r>
          </w:p>
        </w:tc>
        <w:tc>
          <w:tcPr>
            <w:tcW w:w="288" w:type="pct"/>
          </w:tcPr>
          <w:p w14:paraId="48B42A25" w14:textId="77777777" w:rsidR="00247AD2" w:rsidRPr="00672714" w:rsidRDefault="00247AD2" w:rsidP="00672714">
            <w:pPr>
              <w:pStyle w:val="BodyText"/>
              <w:rPr>
                <w:sz w:val="20"/>
                <w:szCs w:val="20"/>
              </w:rPr>
            </w:pPr>
            <w:r w:rsidRPr="00672714">
              <w:rPr>
                <w:sz w:val="20"/>
                <w:szCs w:val="20"/>
              </w:rPr>
              <w:t>0</w:t>
            </w:r>
          </w:p>
        </w:tc>
        <w:tc>
          <w:tcPr>
            <w:tcW w:w="288" w:type="pct"/>
          </w:tcPr>
          <w:p w14:paraId="42C1AE2D" w14:textId="77777777" w:rsidR="00247AD2" w:rsidRPr="00672714" w:rsidRDefault="00247AD2" w:rsidP="00672714">
            <w:pPr>
              <w:pStyle w:val="BodyText"/>
              <w:rPr>
                <w:sz w:val="20"/>
                <w:szCs w:val="20"/>
              </w:rPr>
            </w:pPr>
            <w:r w:rsidRPr="00672714">
              <w:rPr>
                <w:sz w:val="20"/>
                <w:szCs w:val="20"/>
              </w:rPr>
              <w:t>0</w:t>
            </w:r>
          </w:p>
        </w:tc>
        <w:tc>
          <w:tcPr>
            <w:tcW w:w="275" w:type="pct"/>
          </w:tcPr>
          <w:p w14:paraId="1B43BAEF" w14:textId="77777777" w:rsidR="00247AD2" w:rsidRPr="00672714" w:rsidRDefault="00247AD2" w:rsidP="00672714">
            <w:pPr>
              <w:pStyle w:val="BodyText"/>
              <w:rPr>
                <w:sz w:val="20"/>
                <w:szCs w:val="20"/>
              </w:rPr>
            </w:pPr>
            <w:r w:rsidRPr="00672714">
              <w:rPr>
                <w:sz w:val="20"/>
                <w:szCs w:val="20"/>
              </w:rPr>
              <w:t>0</w:t>
            </w:r>
          </w:p>
        </w:tc>
        <w:tc>
          <w:tcPr>
            <w:tcW w:w="275" w:type="pct"/>
          </w:tcPr>
          <w:p w14:paraId="10671A59" w14:textId="77777777" w:rsidR="00247AD2" w:rsidRPr="00672714" w:rsidRDefault="00247AD2" w:rsidP="00672714">
            <w:pPr>
              <w:pStyle w:val="BodyText"/>
              <w:rPr>
                <w:sz w:val="20"/>
                <w:szCs w:val="20"/>
              </w:rPr>
            </w:pPr>
            <w:r w:rsidRPr="00672714">
              <w:rPr>
                <w:sz w:val="20"/>
                <w:szCs w:val="20"/>
              </w:rPr>
              <w:t>0</w:t>
            </w:r>
          </w:p>
        </w:tc>
        <w:tc>
          <w:tcPr>
            <w:tcW w:w="275" w:type="pct"/>
          </w:tcPr>
          <w:p w14:paraId="5E6A92A9" w14:textId="77777777" w:rsidR="00247AD2" w:rsidRPr="00672714" w:rsidRDefault="00247AD2" w:rsidP="00672714">
            <w:pPr>
              <w:pStyle w:val="BodyText"/>
              <w:rPr>
                <w:sz w:val="20"/>
                <w:szCs w:val="20"/>
              </w:rPr>
            </w:pPr>
            <w:r w:rsidRPr="00672714">
              <w:rPr>
                <w:sz w:val="20"/>
                <w:szCs w:val="20"/>
              </w:rPr>
              <w:t>0</w:t>
            </w:r>
          </w:p>
        </w:tc>
        <w:tc>
          <w:tcPr>
            <w:tcW w:w="275" w:type="pct"/>
          </w:tcPr>
          <w:p w14:paraId="39893E6D" w14:textId="77777777" w:rsidR="00247AD2" w:rsidRPr="00672714" w:rsidRDefault="00247AD2" w:rsidP="00672714">
            <w:pPr>
              <w:pStyle w:val="BodyText"/>
              <w:rPr>
                <w:sz w:val="20"/>
                <w:szCs w:val="20"/>
              </w:rPr>
            </w:pPr>
            <w:r w:rsidRPr="00672714">
              <w:rPr>
                <w:sz w:val="20"/>
                <w:szCs w:val="20"/>
              </w:rPr>
              <w:t>0</w:t>
            </w:r>
          </w:p>
        </w:tc>
        <w:tc>
          <w:tcPr>
            <w:tcW w:w="275" w:type="pct"/>
          </w:tcPr>
          <w:p w14:paraId="612CBE0D" w14:textId="77777777" w:rsidR="00247AD2" w:rsidRPr="00672714" w:rsidRDefault="00247AD2" w:rsidP="00672714">
            <w:pPr>
              <w:pStyle w:val="BodyText"/>
              <w:rPr>
                <w:sz w:val="20"/>
                <w:szCs w:val="20"/>
              </w:rPr>
            </w:pPr>
            <w:r w:rsidRPr="00672714">
              <w:rPr>
                <w:sz w:val="20"/>
                <w:szCs w:val="20"/>
              </w:rPr>
              <w:t>0</w:t>
            </w:r>
          </w:p>
        </w:tc>
        <w:tc>
          <w:tcPr>
            <w:tcW w:w="275" w:type="pct"/>
          </w:tcPr>
          <w:p w14:paraId="0C83EC7E" w14:textId="77777777" w:rsidR="00247AD2" w:rsidRPr="00672714" w:rsidRDefault="00247AD2" w:rsidP="00672714">
            <w:pPr>
              <w:pStyle w:val="BodyText"/>
              <w:rPr>
                <w:sz w:val="20"/>
                <w:szCs w:val="20"/>
              </w:rPr>
            </w:pPr>
            <w:r w:rsidRPr="00672714">
              <w:rPr>
                <w:sz w:val="20"/>
                <w:szCs w:val="20"/>
              </w:rPr>
              <w:t>0</w:t>
            </w:r>
          </w:p>
        </w:tc>
        <w:tc>
          <w:tcPr>
            <w:tcW w:w="288" w:type="pct"/>
          </w:tcPr>
          <w:p w14:paraId="3C14433D" w14:textId="77777777" w:rsidR="00247AD2" w:rsidRPr="00672714" w:rsidRDefault="00247AD2" w:rsidP="00672714">
            <w:pPr>
              <w:pStyle w:val="BodyText"/>
              <w:rPr>
                <w:sz w:val="20"/>
                <w:szCs w:val="20"/>
              </w:rPr>
            </w:pPr>
            <w:r w:rsidRPr="00672714">
              <w:rPr>
                <w:rStyle w:val="01bodybold"/>
                <w:sz w:val="20"/>
                <w:szCs w:val="20"/>
              </w:rPr>
              <w:t>0</w:t>
            </w:r>
          </w:p>
        </w:tc>
      </w:tr>
      <w:tr w:rsidR="00247AD2" w:rsidRPr="00672714" w14:paraId="569B3BB0" w14:textId="77777777" w:rsidTr="006A0585">
        <w:trPr>
          <w:trHeight w:val="396"/>
        </w:trPr>
        <w:tc>
          <w:tcPr>
            <w:tcW w:w="475" w:type="pct"/>
          </w:tcPr>
          <w:p w14:paraId="53153E92" w14:textId="77777777" w:rsidR="00247AD2" w:rsidRPr="00672714" w:rsidRDefault="00247AD2" w:rsidP="00672714">
            <w:pPr>
              <w:pStyle w:val="BodyText"/>
              <w:rPr>
                <w:sz w:val="20"/>
                <w:szCs w:val="20"/>
              </w:rPr>
            </w:pPr>
            <w:r w:rsidRPr="00672714">
              <w:rPr>
                <w:sz w:val="20"/>
                <w:szCs w:val="20"/>
              </w:rPr>
              <w:t>Overseas</w:t>
            </w:r>
          </w:p>
        </w:tc>
        <w:tc>
          <w:tcPr>
            <w:tcW w:w="288" w:type="pct"/>
          </w:tcPr>
          <w:p w14:paraId="710E3C14" w14:textId="77777777" w:rsidR="00247AD2" w:rsidRPr="00672714" w:rsidRDefault="00247AD2" w:rsidP="00672714">
            <w:pPr>
              <w:pStyle w:val="BodyText"/>
              <w:rPr>
                <w:sz w:val="20"/>
                <w:szCs w:val="20"/>
              </w:rPr>
            </w:pPr>
            <w:r w:rsidRPr="00672714">
              <w:rPr>
                <w:sz w:val="20"/>
                <w:szCs w:val="20"/>
              </w:rPr>
              <w:t>0</w:t>
            </w:r>
          </w:p>
        </w:tc>
        <w:tc>
          <w:tcPr>
            <w:tcW w:w="288" w:type="pct"/>
          </w:tcPr>
          <w:p w14:paraId="4A23D1B0" w14:textId="77777777" w:rsidR="00247AD2" w:rsidRPr="00672714" w:rsidRDefault="00247AD2" w:rsidP="00672714">
            <w:pPr>
              <w:pStyle w:val="BodyText"/>
              <w:rPr>
                <w:sz w:val="20"/>
                <w:szCs w:val="20"/>
              </w:rPr>
            </w:pPr>
            <w:r w:rsidRPr="00672714">
              <w:rPr>
                <w:sz w:val="20"/>
                <w:szCs w:val="20"/>
              </w:rPr>
              <w:t>0</w:t>
            </w:r>
          </w:p>
        </w:tc>
        <w:tc>
          <w:tcPr>
            <w:tcW w:w="288" w:type="pct"/>
          </w:tcPr>
          <w:p w14:paraId="5B3021AE" w14:textId="77777777" w:rsidR="00247AD2" w:rsidRPr="00672714" w:rsidRDefault="00247AD2" w:rsidP="00672714">
            <w:pPr>
              <w:pStyle w:val="BodyText"/>
              <w:rPr>
                <w:sz w:val="20"/>
                <w:szCs w:val="20"/>
              </w:rPr>
            </w:pPr>
            <w:r w:rsidRPr="00672714">
              <w:rPr>
                <w:sz w:val="20"/>
                <w:szCs w:val="20"/>
              </w:rPr>
              <w:t>0</w:t>
            </w:r>
          </w:p>
        </w:tc>
        <w:tc>
          <w:tcPr>
            <w:tcW w:w="288" w:type="pct"/>
          </w:tcPr>
          <w:p w14:paraId="6088FAC2" w14:textId="77777777" w:rsidR="00247AD2" w:rsidRPr="00672714" w:rsidRDefault="00247AD2" w:rsidP="00672714">
            <w:pPr>
              <w:pStyle w:val="BodyText"/>
              <w:rPr>
                <w:sz w:val="20"/>
                <w:szCs w:val="20"/>
              </w:rPr>
            </w:pPr>
            <w:r w:rsidRPr="00672714">
              <w:rPr>
                <w:sz w:val="20"/>
                <w:szCs w:val="20"/>
              </w:rPr>
              <w:t>0</w:t>
            </w:r>
          </w:p>
        </w:tc>
        <w:tc>
          <w:tcPr>
            <w:tcW w:w="288" w:type="pct"/>
          </w:tcPr>
          <w:p w14:paraId="0208C98F" w14:textId="77777777" w:rsidR="00247AD2" w:rsidRPr="00672714" w:rsidRDefault="00247AD2" w:rsidP="00672714">
            <w:pPr>
              <w:pStyle w:val="BodyText"/>
              <w:rPr>
                <w:sz w:val="20"/>
                <w:szCs w:val="20"/>
              </w:rPr>
            </w:pPr>
            <w:r w:rsidRPr="00672714">
              <w:rPr>
                <w:sz w:val="20"/>
                <w:szCs w:val="20"/>
              </w:rPr>
              <w:t>0</w:t>
            </w:r>
          </w:p>
        </w:tc>
        <w:tc>
          <w:tcPr>
            <w:tcW w:w="288" w:type="pct"/>
          </w:tcPr>
          <w:p w14:paraId="262927B3" w14:textId="77777777" w:rsidR="00247AD2" w:rsidRPr="00672714" w:rsidRDefault="00247AD2" w:rsidP="00672714">
            <w:pPr>
              <w:pStyle w:val="BodyText"/>
              <w:rPr>
                <w:sz w:val="20"/>
                <w:szCs w:val="20"/>
              </w:rPr>
            </w:pPr>
            <w:r w:rsidRPr="00672714">
              <w:rPr>
                <w:sz w:val="20"/>
                <w:szCs w:val="20"/>
              </w:rPr>
              <w:t>0</w:t>
            </w:r>
          </w:p>
        </w:tc>
        <w:tc>
          <w:tcPr>
            <w:tcW w:w="288" w:type="pct"/>
          </w:tcPr>
          <w:p w14:paraId="13E4D314" w14:textId="77777777" w:rsidR="00247AD2" w:rsidRPr="00672714" w:rsidRDefault="00247AD2" w:rsidP="00672714">
            <w:pPr>
              <w:pStyle w:val="BodyText"/>
              <w:rPr>
                <w:sz w:val="20"/>
                <w:szCs w:val="20"/>
              </w:rPr>
            </w:pPr>
            <w:r w:rsidRPr="00672714">
              <w:rPr>
                <w:sz w:val="20"/>
                <w:szCs w:val="20"/>
              </w:rPr>
              <w:t>0</w:t>
            </w:r>
          </w:p>
        </w:tc>
        <w:tc>
          <w:tcPr>
            <w:tcW w:w="288" w:type="pct"/>
          </w:tcPr>
          <w:p w14:paraId="4C82509A" w14:textId="77777777" w:rsidR="00247AD2" w:rsidRPr="00672714" w:rsidRDefault="00247AD2" w:rsidP="00672714">
            <w:pPr>
              <w:pStyle w:val="BodyText"/>
              <w:rPr>
                <w:sz w:val="20"/>
                <w:szCs w:val="20"/>
              </w:rPr>
            </w:pPr>
            <w:r w:rsidRPr="00672714">
              <w:rPr>
                <w:sz w:val="20"/>
                <w:szCs w:val="20"/>
              </w:rPr>
              <w:t>0</w:t>
            </w:r>
          </w:p>
        </w:tc>
        <w:tc>
          <w:tcPr>
            <w:tcW w:w="288" w:type="pct"/>
          </w:tcPr>
          <w:p w14:paraId="3E5AEF79" w14:textId="77777777" w:rsidR="00247AD2" w:rsidRPr="00672714" w:rsidRDefault="00247AD2" w:rsidP="00672714">
            <w:pPr>
              <w:pStyle w:val="BodyText"/>
              <w:rPr>
                <w:sz w:val="20"/>
                <w:szCs w:val="20"/>
              </w:rPr>
            </w:pPr>
            <w:r w:rsidRPr="00672714">
              <w:rPr>
                <w:sz w:val="20"/>
                <w:szCs w:val="20"/>
              </w:rPr>
              <w:t>0</w:t>
            </w:r>
          </w:p>
        </w:tc>
        <w:tc>
          <w:tcPr>
            <w:tcW w:w="275" w:type="pct"/>
          </w:tcPr>
          <w:p w14:paraId="41A1D265" w14:textId="77777777" w:rsidR="00247AD2" w:rsidRPr="00672714" w:rsidRDefault="00247AD2" w:rsidP="00672714">
            <w:pPr>
              <w:pStyle w:val="BodyText"/>
              <w:rPr>
                <w:sz w:val="20"/>
                <w:szCs w:val="20"/>
              </w:rPr>
            </w:pPr>
            <w:r w:rsidRPr="00672714">
              <w:rPr>
                <w:sz w:val="20"/>
                <w:szCs w:val="20"/>
              </w:rPr>
              <w:t>0</w:t>
            </w:r>
          </w:p>
        </w:tc>
        <w:tc>
          <w:tcPr>
            <w:tcW w:w="275" w:type="pct"/>
          </w:tcPr>
          <w:p w14:paraId="78113392" w14:textId="77777777" w:rsidR="00247AD2" w:rsidRPr="00672714" w:rsidRDefault="00247AD2" w:rsidP="00672714">
            <w:pPr>
              <w:pStyle w:val="BodyText"/>
              <w:rPr>
                <w:sz w:val="20"/>
                <w:szCs w:val="20"/>
              </w:rPr>
            </w:pPr>
            <w:r w:rsidRPr="00672714">
              <w:rPr>
                <w:sz w:val="20"/>
                <w:szCs w:val="20"/>
              </w:rPr>
              <w:t>0</w:t>
            </w:r>
          </w:p>
        </w:tc>
        <w:tc>
          <w:tcPr>
            <w:tcW w:w="275" w:type="pct"/>
          </w:tcPr>
          <w:p w14:paraId="46F461CC" w14:textId="77777777" w:rsidR="00247AD2" w:rsidRPr="00672714" w:rsidRDefault="00247AD2" w:rsidP="00672714">
            <w:pPr>
              <w:pStyle w:val="BodyText"/>
              <w:rPr>
                <w:sz w:val="20"/>
                <w:szCs w:val="20"/>
              </w:rPr>
            </w:pPr>
            <w:r w:rsidRPr="00672714">
              <w:rPr>
                <w:sz w:val="20"/>
                <w:szCs w:val="20"/>
              </w:rPr>
              <w:t>0</w:t>
            </w:r>
          </w:p>
        </w:tc>
        <w:tc>
          <w:tcPr>
            <w:tcW w:w="275" w:type="pct"/>
          </w:tcPr>
          <w:p w14:paraId="2858AF65" w14:textId="77777777" w:rsidR="00247AD2" w:rsidRPr="00672714" w:rsidRDefault="00247AD2" w:rsidP="00672714">
            <w:pPr>
              <w:pStyle w:val="BodyText"/>
              <w:rPr>
                <w:sz w:val="20"/>
                <w:szCs w:val="20"/>
              </w:rPr>
            </w:pPr>
            <w:r w:rsidRPr="00672714">
              <w:rPr>
                <w:sz w:val="20"/>
                <w:szCs w:val="20"/>
              </w:rPr>
              <w:t>0</w:t>
            </w:r>
          </w:p>
        </w:tc>
        <w:tc>
          <w:tcPr>
            <w:tcW w:w="275" w:type="pct"/>
          </w:tcPr>
          <w:p w14:paraId="6D4D78D3" w14:textId="77777777" w:rsidR="00247AD2" w:rsidRPr="00672714" w:rsidRDefault="00247AD2" w:rsidP="00672714">
            <w:pPr>
              <w:pStyle w:val="BodyText"/>
              <w:rPr>
                <w:sz w:val="20"/>
                <w:szCs w:val="20"/>
              </w:rPr>
            </w:pPr>
            <w:r w:rsidRPr="00672714">
              <w:rPr>
                <w:sz w:val="20"/>
                <w:szCs w:val="20"/>
              </w:rPr>
              <w:t>0</w:t>
            </w:r>
          </w:p>
        </w:tc>
        <w:tc>
          <w:tcPr>
            <w:tcW w:w="275" w:type="pct"/>
          </w:tcPr>
          <w:p w14:paraId="50212D43" w14:textId="77777777" w:rsidR="00247AD2" w:rsidRPr="00672714" w:rsidRDefault="00247AD2" w:rsidP="00672714">
            <w:pPr>
              <w:pStyle w:val="BodyText"/>
              <w:rPr>
                <w:sz w:val="20"/>
                <w:szCs w:val="20"/>
              </w:rPr>
            </w:pPr>
            <w:r w:rsidRPr="00672714">
              <w:rPr>
                <w:sz w:val="20"/>
                <w:szCs w:val="20"/>
              </w:rPr>
              <w:t>0</w:t>
            </w:r>
          </w:p>
        </w:tc>
        <w:tc>
          <w:tcPr>
            <w:tcW w:w="288" w:type="pct"/>
          </w:tcPr>
          <w:p w14:paraId="23D251DC" w14:textId="77777777" w:rsidR="00247AD2" w:rsidRPr="00672714" w:rsidRDefault="00247AD2" w:rsidP="00672714">
            <w:pPr>
              <w:pStyle w:val="BodyText"/>
              <w:rPr>
                <w:sz w:val="20"/>
                <w:szCs w:val="20"/>
              </w:rPr>
            </w:pPr>
            <w:r w:rsidRPr="00672714">
              <w:rPr>
                <w:rStyle w:val="01bodybold"/>
                <w:sz w:val="20"/>
                <w:szCs w:val="20"/>
              </w:rPr>
              <w:t>0</w:t>
            </w:r>
          </w:p>
        </w:tc>
      </w:tr>
      <w:tr w:rsidR="00247AD2" w:rsidRPr="00672714" w14:paraId="7D587309" w14:textId="77777777" w:rsidTr="006A0585">
        <w:trPr>
          <w:trHeight w:val="396"/>
        </w:trPr>
        <w:tc>
          <w:tcPr>
            <w:tcW w:w="475" w:type="pct"/>
          </w:tcPr>
          <w:p w14:paraId="1C4DB5D1" w14:textId="77777777" w:rsidR="00247AD2" w:rsidRPr="00672714" w:rsidRDefault="00247AD2" w:rsidP="00672714">
            <w:pPr>
              <w:pStyle w:val="BodyText"/>
              <w:rPr>
                <w:sz w:val="20"/>
                <w:szCs w:val="20"/>
              </w:rPr>
            </w:pPr>
            <w:r w:rsidRPr="00672714">
              <w:rPr>
                <w:rStyle w:val="01bodybold"/>
                <w:sz w:val="20"/>
                <w:szCs w:val="20"/>
              </w:rPr>
              <w:t>Total</w:t>
            </w:r>
          </w:p>
        </w:tc>
        <w:tc>
          <w:tcPr>
            <w:tcW w:w="288" w:type="pct"/>
          </w:tcPr>
          <w:p w14:paraId="6C44D576" w14:textId="77777777" w:rsidR="00247AD2" w:rsidRPr="00672714" w:rsidRDefault="00247AD2" w:rsidP="00672714">
            <w:pPr>
              <w:pStyle w:val="BodyText"/>
              <w:rPr>
                <w:sz w:val="20"/>
                <w:szCs w:val="20"/>
              </w:rPr>
            </w:pPr>
            <w:r w:rsidRPr="00672714">
              <w:rPr>
                <w:rStyle w:val="01bodybold"/>
                <w:sz w:val="20"/>
                <w:szCs w:val="20"/>
              </w:rPr>
              <w:t>62</w:t>
            </w:r>
          </w:p>
        </w:tc>
        <w:tc>
          <w:tcPr>
            <w:tcW w:w="288" w:type="pct"/>
          </w:tcPr>
          <w:p w14:paraId="27BDF519" w14:textId="77777777" w:rsidR="00247AD2" w:rsidRPr="00672714" w:rsidRDefault="00247AD2" w:rsidP="00672714">
            <w:pPr>
              <w:pStyle w:val="BodyText"/>
              <w:rPr>
                <w:sz w:val="20"/>
                <w:szCs w:val="20"/>
              </w:rPr>
            </w:pPr>
            <w:r w:rsidRPr="00672714">
              <w:rPr>
                <w:rStyle w:val="01bodybold"/>
                <w:sz w:val="20"/>
                <w:szCs w:val="20"/>
              </w:rPr>
              <w:t>189</w:t>
            </w:r>
          </w:p>
        </w:tc>
        <w:tc>
          <w:tcPr>
            <w:tcW w:w="288" w:type="pct"/>
          </w:tcPr>
          <w:p w14:paraId="3D7082D8" w14:textId="77777777" w:rsidR="00247AD2" w:rsidRPr="00672714" w:rsidRDefault="00247AD2" w:rsidP="00672714">
            <w:pPr>
              <w:pStyle w:val="BodyText"/>
              <w:rPr>
                <w:sz w:val="20"/>
                <w:szCs w:val="20"/>
              </w:rPr>
            </w:pPr>
            <w:r w:rsidRPr="00672714">
              <w:rPr>
                <w:rStyle w:val="01bodybold"/>
                <w:sz w:val="20"/>
                <w:szCs w:val="20"/>
              </w:rPr>
              <w:t>251</w:t>
            </w:r>
          </w:p>
        </w:tc>
        <w:tc>
          <w:tcPr>
            <w:tcW w:w="288" w:type="pct"/>
          </w:tcPr>
          <w:p w14:paraId="20586C3E" w14:textId="77777777" w:rsidR="00247AD2" w:rsidRPr="00672714" w:rsidRDefault="00247AD2" w:rsidP="00672714">
            <w:pPr>
              <w:pStyle w:val="BodyText"/>
              <w:rPr>
                <w:sz w:val="20"/>
                <w:szCs w:val="20"/>
              </w:rPr>
            </w:pPr>
            <w:r w:rsidRPr="00672714">
              <w:rPr>
                <w:rStyle w:val="01bodybold"/>
                <w:sz w:val="20"/>
                <w:szCs w:val="20"/>
              </w:rPr>
              <w:t>55</w:t>
            </w:r>
          </w:p>
        </w:tc>
        <w:tc>
          <w:tcPr>
            <w:tcW w:w="288" w:type="pct"/>
          </w:tcPr>
          <w:p w14:paraId="7B3D3CD8" w14:textId="77777777" w:rsidR="00247AD2" w:rsidRPr="00672714" w:rsidRDefault="00247AD2" w:rsidP="00672714">
            <w:pPr>
              <w:pStyle w:val="BodyText"/>
              <w:rPr>
                <w:sz w:val="20"/>
                <w:szCs w:val="20"/>
              </w:rPr>
            </w:pPr>
            <w:r w:rsidRPr="00672714">
              <w:rPr>
                <w:rStyle w:val="01bodybold"/>
                <w:sz w:val="20"/>
                <w:szCs w:val="20"/>
              </w:rPr>
              <w:t>497</w:t>
            </w:r>
          </w:p>
        </w:tc>
        <w:tc>
          <w:tcPr>
            <w:tcW w:w="288" w:type="pct"/>
          </w:tcPr>
          <w:p w14:paraId="77541EC1" w14:textId="77777777" w:rsidR="00247AD2" w:rsidRPr="00672714" w:rsidRDefault="00247AD2" w:rsidP="00672714">
            <w:pPr>
              <w:pStyle w:val="BodyText"/>
              <w:rPr>
                <w:sz w:val="20"/>
                <w:szCs w:val="20"/>
              </w:rPr>
            </w:pPr>
            <w:r w:rsidRPr="00672714">
              <w:rPr>
                <w:rStyle w:val="01bodybold"/>
                <w:sz w:val="20"/>
                <w:szCs w:val="20"/>
              </w:rPr>
              <w:t>552</w:t>
            </w:r>
          </w:p>
        </w:tc>
        <w:tc>
          <w:tcPr>
            <w:tcW w:w="288" w:type="pct"/>
          </w:tcPr>
          <w:p w14:paraId="712CCEB7" w14:textId="77777777" w:rsidR="00247AD2" w:rsidRPr="00672714" w:rsidRDefault="00247AD2" w:rsidP="00672714">
            <w:pPr>
              <w:pStyle w:val="BodyText"/>
              <w:rPr>
                <w:sz w:val="20"/>
                <w:szCs w:val="20"/>
              </w:rPr>
            </w:pPr>
            <w:r w:rsidRPr="00672714">
              <w:rPr>
                <w:rStyle w:val="01bodybold"/>
                <w:sz w:val="20"/>
                <w:szCs w:val="20"/>
              </w:rPr>
              <w:t>4</w:t>
            </w:r>
          </w:p>
        </w:tc>
        <w:tc>
          <w:tcPr>
            <w:tcW w:w="288" w:type="pct"/>
          </w:tcPr>
          <w:p w14:paraId="5F034561" w14:textId="77777777" w:rsidR="00247AD2" w:rsidRPr="00672714" w:rsidRDefault="00247AD2" w:rsidP="00672714">
            <w:pPr>
              <w:pStyle w:val="BodyText"/>
              <w:rPr>
                <w:sz w:val="20"/>
                <w:szCs w:val="20"/>
              </w:rPr>
            </w:pPr>
            <w:r w:rsidRPr="00672714">
              <w:rPr>
                <w:rStyle w:val="01bodybold"/>
                <w:sz w:val="20"/>
                <w:szCs w:val="20"/>
              </w:rPr>
              <w:t>10</w:t>
            </w:r>
          </w:p>
        </w:tc>
        <w:tc>
          <w:tcPr>
            <w:tcW w:w="288" w:type="pct"/>
          </w:tcPr>
          <w:p w14:paraId="1B8980AB" w14:textId="77777777" w:rsidR="00247AD2" w:rsidRPr="00672714" w:rsidRDefault="00247AD2" w:rsidP="00672714">
            <w:pPr>
              <w:pStyle w:val="BodyText"/>
              <w:rPr>
                <w:sz w:val="20"/>
                <w:szCs w:val="20"/>
              </w:rPr>
            </w:pPr>
            <w:r w:rsidRPr="00672714">
              <w:rPr>
                <w:rStyle w:val="01bodybold"/>
                <w:sz w:val="20"/>
                <w:szCs w:val="20"/>
              </w:rPr>
              <w:t>14</w:t>
            </w:r>
          </w:p>
        </w:tc>
        <w:tc>
          <w:tcPr>
            <w:tcW w:w="275" w:type="pct"/>
          </w:tcPr>
          <w:p w14:paraId="0519DF37" w14:textId="77777777" w:rsidR="00247AD2" w:rsidRPr="00672714" w:rsidRDefault="00247AD2" w:rsidP="00672714">
            <w:pPr>
              <w:pStyle w:val="BodyText"/>
              <w:rPr>
                <w:sz w:val="20"/>
                <w:szCs w:val="20"/>
              </w:rPr>
            </w:pPr>
            <w:r w:rsidRPr="00672714">
              <w:rPr>
                <w:rStyle w:val="01bodybold"/>
                <w:sz w:val="20"/>
                <w:szCs w:val="20"/>
              </w:rPr>
              <w:t>0</w:t>
            </w:r>
          </w:p>
        </w:tc>
        <w:tc>
          <w:tcPr>
            <w:tcW w:w="275" w:type="pct"/>
          </w:tcPr>
          <w:p w14:paraId="4C94F235" w14:textId="77777777" w:rsidR="00247AD2" w:rsidRPr="00672714" w:rsidRDefault="00247AD2" w:rsidP="00672714">
            <w:pPr>
              <w:pStyle w:val="BodyText"/>
              <w:rPr>
                <w:sz w:val="20"/>
                <w:szCs w:val="20"/>
              </w:rPr>
            </w:pPr>
            <w:r w:rsidRPr="00672714">
              <w:rPr>
                <w:rStyle w:val="01bodybold"/>
                <w:sz w:val="20"/>
                <w:szCs w:val="20"/>
              </w:rPr>
              <w:t>0</w:t>
            </w:r>
          </w:p>
        </w:tc>
        <w:tc>
          <w:tcPr>
            <w:tcW w:w="275" w:type="pct"/>
          </w:tcPr>
          <w:p w14:paraId="091CC20F" w14:textId="77777777" w:rsidR="00247AD2" w:rsidRPr="00672714" w:rsidRDefault="00247AD2" w:rsidP="00672714">
            <w:pPr>
              <w:pStyle w:val="BodyText"/>
              <w:rPr>
                <w:sz w:val="20"/>
                <w:szCs w:val="20"/>
              </w:rPr>
            </w:pPr>
            <w:r w:rsidRPr="00672714">
              <w:rPr>
                <w:rStyle w:val="01bodybold"/>
                <w:sz w:val="20"/>
                <w:szCs w:val="20"/>
              </w:rPr>
              <w:t>0</w:t>
            </w:r>
          </w:p>
        </w:tc>
        <w:tc>
          <w:tcPr>
            <w:tcW w:w="275" w:type="pct"/>
          </w:tcPr>
          <w:p w14:paraId="2F4D7505" w14:textId="77777777" w:rsidR="00247AD2" w:rsidRPr="00672714" w:rsidRDefault="00247AD2" w:rsidP="00672714">
            <w:pPr>
              <w:pStyle w:val="BodyText"/>
              <w:rPr>
                <w:sz w:val="20"/>
                <w:szCs w:val="20"/>
              </w:rPr>
            </w:pPr>
            <w:r w:rsidRPr="00672714">
              <w:rPr>
                <w:rStyle w:val="01bodybold"/>
                <w:sz w:val="20"/>
                <w:szCs w:val="20"/>
              </w:rPr>
              <w:t>0</w:t>
            </w:r>
          </w:p>
        </w:tc>
        <w:tc>
          <w:tcPr>
            <w:tcW w:w="275" w:type="pct"/>
          </w:tcPr>
          <w:p w14:paraId="498F03CD" w14:textId="77777777" w:rsidR="00247AD2" w:rsidRPr="00672714" w:rsidRDefault="00247AD2" w:rsidP="00672714">
            <w:pPr>
              <w:pStyle w:val="BodyText"/>
              <w:rPr>
                <w:sz w:val="20"/>
                <w:szCs w:val="20"/>
              </w:rPr>
            </w:pPr>
            <w:r w:rsidRPr="00672714">
              <w:rPr>
                <w:rStyle w:val="01bodybold"/>
                <w:sz w:val="20"/>
                <w:szCs w:val="20"/>
              </w:rPr>
              <w:t>0</w:t>
            </w:r>
          </w:p>
        </w:tc>
        <w:tc>
          <w:tcPr>
            <w:tcW w:w="275" w:type="pct"/>
          </w:tcPr>
          <w:p w14:paraId="0E91B827" w14:textId="77777777" w:rsidR="00247AD2" w:rsidRPr="00672714" w:rsidRDefault="00247AD2" w:rsidP="00672714">
            <w:pPr>
              <w:pStyle w:val="BodyText"/>
              <w:rPr>
                <w:sz w:val="20"/>
                <w:szCs w:val="20"/>
              </w:rPr>
            </w:pPr>
            <w:r w:rsidRPr="00672714">
              <w:rPr>
                <w:rStyle w:val="01bodybold"/>
                <w:sz w:val="20"/>
                <w:szCs w:val="20"/>
              </w:rPr>
              <w:t>0</w:t>
            </w:r>
          </w:p>
        </w:tc>
        <w:tc>
          <w:tcPr>
            <w:tcW w:w="288" w:type="pct"/>
          </w:tcPr>
          <w:p w14:paraId="07525A22" w14:textId="77777777" w:rsidR="00247AD2" w:rsidRPr="00672714" w:rsidRDefault="00247AD2" w:rsidP="00672714">
            <w:pPr>
              <w:pStyle w:val="BodyText"/>
              <w:rPr>
                <w:sz w:val="20"/>
                <w:szCs w:val="20"/>
              </w:rPr>
            </w:pPr>
            <w:r w:rsidRPr="00672714">
              <w:rPr>
                <w:rStyle w:val="01bodybold"/>
                <w:sz w:val="20"/>
                <w:szCs w:val="20"/>
              </w:rPr>
              <w:t>817</w:t>
            </w:r>
          </w:p>
        </w:tc>
      </w:tr>
    </w:tbl>
    <w:p w14:paraId="12C54C39" w14:textId="3E0D5D89" w:rsidR="00247AD2" w:rsidRDefault="003C55F1" w:rsidP="003C55F1">
      <w:pPr>
        <w:pStyle w:val="ProductCode"/>
      </w:pPr>
      <w:r w:rsidRPr="003C55F1">
        <w:rPr>
          <w:rFonts w:ascii="Roboto-Regular" w:eastAsiaTheme="minorEastAsia" w:hAnsi="Roboto-Regular" w:cs="Roboto-Regular"/>
          <w:color w:val="000000"/>
          <w:sz w:val="16"/>
          <w:szCs w:val="16"/>
          <w:lang w:val="en-GB" w:eastAsia="en-AU"/>
          <w14:ligatures w14:val="standardContextual"/>
        </w:rPr>
        <w:t>(a</w:t>
      </w:r>
      <w:r>
        <w:t xml:space="preserve">) </w:t>
      </w:r>
      <w:r w:rsidR="00247AD2">
        <w:t>Non-ongoing employees include irregular/intermittent staff.</w:t>
      </w:r>
    </w:p>
    <w:p w14:paraId="3609F349" w14:textId="77777777" w:rsidR="00247AD2" w:rsidRDefault="00247AD2" w:rsidP="00247AD2">
      <w:pPr>
        <w:pStyle w:val="Heading3"/>
      </w:pPr>
      <w:r>
        <w:t>PGPA Rule section 17AG(4)(b)(i)-(iv) Australian Public Sector (APS) classification and gender</w:t>
      </w:r>
    </w:p>
    <w:p w14:paraId="36C7036C" w14:textId="0CB52099" w:rsidR="00247AD2" w:rsidRPr="001D2CCD" w:rsidRDefault="001D2CCD" w:rsidP="001D2CCD">
      <w:pPr>
        <w:pStyle w:val="BodyText"/>
        <w:rPr>
          <w:b/>
          <w:bCs/>
        </w:rPr>
      </w:pPr>
      <w:r w:rsidRPr="001D2CCD">
        <w:rPr>
          <w:b/>
          <w:bCs/>
        </w:rPr>
        <w:t>Table 66:</w:t>
      </w:r>
      <w:r w:rsidR="00247AD2" w:rsidRPr="001D2CCD">
        <w:rPr>
          <w:b/>
          <w:bCs/>
        </w:rPr>
        <w:t xml:space="preserve"> Australian Public Service Act ongoing employees 2024–25 (as at 30 June 2025)</w:t>
      </w:r>
    </w:p>
    <w:tbl>
      <w:tblPr>
        <w:tblStyle w:val="TableGrid"/>
        <w:tblW w:w="5000" w:type="pct"/>
        <w:tblLook w:val="04A0" w:firstRow="1" w:lastRow="0" w:firstColumn="1" w:lastColumn="0" w:noHBand="0" w:noVBand="1"/>
        <w:tblCaption w:val="Australian Public Service Act ongoing employees 2024–25 (as at 30 June 2025)"/>
      </w:tblPr>
      <w:tblGrid>
        <w:gridCol w:w="1224"/>
        <w:gridCol w:w="623"/>
        <w:gridCol w:w="587"/>
        <w:gridCol w:w="660"/>
        <w:gridCol w:w="704"/>
        <w:gridCol w:w="624"/>
        <w:gridCol w:w="714"/>
        <w:gridCol w:w="560"/>
        <w:gridCol w:w="587"/>
        <w:gridCol w:w="605"/>
        <w:gridCol w:w="560"/>
        <w:gridCol w:w="587"/>
        <w:gridCol w:w="605"/>
        <w:gridCol w:w="560"/>
        <w:gridCol w:w="587"/>
        <w:gridCol w:w="605"/>
        <w:gridCol w:w="704"/>
      </w:tblGrid>
      <w:tr w:rsidR="00247AD2" w:rsidRPr="00672714" w14:paraId="5EA107A0" w14:textId="77777777" w:rsidTr="00672714">
        <w:trPr>
          <w:trHeight w:val="369"/>
          <w:tblHeader/>
        </w:trPr>
        <w:tc>
          <w:tcPr>
            <w:tcW w:w="550" w:type="pct"/>
          </w:tcPr>
          <w:p w14:paraId="0BDB2027" w14:textId="77777777" w:rsidR="00247AD2" w:rsidRPr="00672714" w:rsidRDefault="00247AD2" w:rsidP="00672714">
            <w:pPr>
              <w:pStyle w:val="BodyText"/>
              <w:rPr>
                <w:sz w:val="20"/>
                <w:szCs w:val="20"/>
              </w:rPr>
            </w:pPr>
          </w:p>
        </w:tc>
        <w:tc>
          <w:tcPr>
            <w:tcW w:w="851" w:type="pct"/>
            <w:gridSpan w:val="3"/>
          </w:tcPr>
          <w:p w14:paraId="706D2A71" w14:textId="77777777" w:rsidR="00247AD2" w:rsidRPr="00672714" w:rsidRDefault="00247AD2" w:rsidP="00672714">
            <w:pPr>
              <w:pStyle w:val="BodyText"/>
              <w:rPr>
                <w:b/>
                <w:bCs/>
                <w:sz w:val="20"/>
                <w:szCs w:val="20"/>
              </w:rPr>
            </w:pPr>
            <w:r w:rsidRPr="00672714">
              <w:rPr>
                <w:b/>
                <w:bCs/>
                <w:sz w:val="20"/>
                <w:szCs w:val="20"/>
              </w:rPr>
              <w:t>Man/male</w:t>
            </w:r>
          </w:p>
        </w:tc>
        <w:tc>
          <w:tcPr>
            <w:tcW w:w="913" w:type="pct"/>
            <w:gridSpan w:val="3"/>
          </w:tcPr>
          <w:p w14:paraId="27022CAF" w14:textId="77777777" w:rsidR="00247AD2" w:rsidRPr="00672714" w:rsidRDefault="00247AD2" w:rsidP="00672714">
            <w:pPr>
              <w:pStyle w:val="BodyText"/>
              <w:rPr>
                <w:b/>
                <w:bCs/>
                <w:sz w:val="20"/>
                <w:szCs w:val="20"/>
              </w:rPr>
            </w:pPr>
            <w:r w:rsidRPr="00672714">
              <w:rPr>
                <w:b/>
                <w:bCs/>
                <w:sz w:val="20"/>
                <w:szCs w:val="20"/>
              </w:rPr>
              <w:t>Woman/female</w:t>
            </w:r>
          </w:p>
        </w:tc>
        <w:tc>
          <w:tcPr>
            <w:tcW w:w="796" w:type="pct"/>
            <w:gridSpan w:val="3"/>
          </w:tcPr>
          <w:p w14:paraId="19790454" w14:textId="77777777" w:rsidR="00247AD2" w:rsidRPr="00672714" w:rsidRDefault="00247AD2" w:rsidP="00672714">
            <w:pPr>
              <w:pStyle w:val="BodyText"/>
              <w:rPr>
                <w:b/>
                <w:bCs/>
                <w:sz w:val="20"/>
                <w:szCs w:val="20"/>
              </w:rPr>
            </w:pPr>
            <w:r w:rsidRPr="00672714">
              <w:rPr>
                <w:b/>
                <w:bCs/>
                <w:sz w:val="20"/>
                <w:szCs w:val="20"/>
              </w:rPr>
              <w:t>Non-binary</w:t>
            </w:r>
          </w:p>
        </w:tc>
        <w:tc>
          <w:tcPr>
            <w:tcW w:w="788" w:type="pct"/>
            <w:gridSpan w:val="3"/>
          </w:tcPr>
          <w:p w14:paraId="52A7BA52" w14:textId="77777777" w:rsidR="00247AD2" w:rsidRPr="00672714" w:rsidRDefault="00247AD2" w:rsidP="00672714">
            <w:pPr>
              <w:pStyle w:val="BodyText"/>
              <w:rPr>
                <w:b/>
                <w:bCs/>
                <w:sz w:val="20"/>
                <w:szCs w:val="20"/>
              </w:rPr>
            </w:pPr>
            <w:r w:rsidRPr="00672714">
              <w:rPr>
                <w:b/>
                <w:bCs/>
                <w:sz w:val="20"/>
                <w:szCs w:val="20"/>
              </w:rPr>
              <w:t>Prefers not to answer</w:t>
            </w:r>
          </w:p>
        </w:tc>
        <w:tc>
          <w:tcPr>
            <w:tcW w:w="788" w:type="pct"/>
            <w:gridSpan w:val="3"/>
          </w:tcPr>
          <w:p w14:paraId="07A3B149" w14:textId="77777777" w:rsidR="00247AD2" w:rsidRPr="00672714" w:rsidRDefault="00247AD2" w:rsidP="00672714">
            <w:pPr>
              <w:pStyle w:val="BodyText"/>
              <w:rPr>
                <w:b/>
                <w:bCs/>
                <w:sz w:val="20"/>
                <w:szCs w:val="20"/>
              </w:rPr>
            </w:pPr>
            <w:r w:rsidRPr="00672714">
              <w:rPr>
                <w:b/>
                <w:bCs/>
                <w:sz w:val="20"/>
                <w:szCs w:val="20"/>
              </w:rPr>
              <w:t>Uses a different term</w:t>
            </w:r>
          </w:p>
        </w:tc>
        <w:tc>
          <w:tcPr>
            <w:tcW w:w="313" w:type="pct"/>
          </w:tcPr>
          <w:p w14:paraId="2DD4FAAA" w14:textId="77777777" w:rsidR="00247AD2" w:rsidRPr="00672714" w:rsidRDefault="00247AD2" w:rsidP="00672714">
            <w:pPr>
              <w:pStyle w:val="BodyText"/>
              <w:rPr>
                <w:sz w:val="20"/>
                <w:szCs w:val="20"/>
              </w:rPr>
            </w:pPr>
            <w:r w:rsidRPr="00672714">
              <w:rPr>
                <w:rStyle w:val="Bold"/>
                <w:sz w:val="20"/>
                <w:szCs w:val="20"/>
              </w:rPr>
              <w:t>Total</w:t>
            </w:r>
          </w:p>
        </w:tc>
      </w:tr>
      <w:tr w:rsidR="006A0585" w:rsidRPr="00672714" w14:paraId="6DD35154" w14:textId="77777777" w:rsidTr="00672714">
        <w:trPr>
          <w:trHeight w:val="597"/>
          <w:tblHeader/>
        </w:trPr>
        <w:tc>
          <w:tcPr>
            <w:tcW w:w="550" w:type="pct"/>
          </w:tcPr>
          <w:p w14:paraId="62AE63FC" w14:textId="77777777" w:rsidR="00247AD2" w:rsidRPr="00672714" w:rsidRDefault="00247AD2" w:rsidP="00672714">
            <w:pPr>
              <w:pStyle w:val="BodyText"/>
              <w:rPr>
                <w:sz w:val="20"/>
                <w:szCs w:val="20"/>
              </w:rPr>
            </w:pPr>
            <w:r w:rsidRPr="00672714">
              <w:rPr>
                <w:rStyle w:val="Bold"/>
                <w:spacing w:val="-2"/>
                <w:sz w:val="20"/>
                <w:szCs w:val="20"/>
              </w:rPr>
              <w:t>Substantive classification</w:t>
            </w:r>
          </w:p>
        </w:tc>
        <w:tc>
          <w:tcPr>
            <w:tcW w:w="288" w:type="pct"/>
          </w:tcPr>
          <w:p w14:paraId="573E92BD" w14:textId="77777777" w:rsidR="00247AD2" w:rsidRPr="00672714" w:rsidRDefault="00247AD2" w:rsidP="00672714">
            <w:pPr>
              <w:pStyle w:val="BodyText"/>
              <w:rPr>
                <w:sz w:val="20"/>
                <w:szCs w:val="20"/>
              </w:rPr>
            </w:pPr>
            <w:r w:rsidRPr="00672714">
              <w:rPr>
                <w:rStyle w:val="Bold"/>
                <w:sz w:val="20"/>
                <w:szCs w:val="20"/>
              </w:rPr>
              <w:t>Full-time</w:t>
            </w:r>
          </w:p>
        </w:tc>
        <w:tc>
          <w:tcPr>
            <w:tcW w:w="275" w:type="pct"/>
          </w:tcPr>
          <w:p w14:paraId="16902E7C" w14:textId="77777777" w:rsidR="00247AD2" w:rsidRPr="00672714" w:rsidRDefault="00247AD2" w:rsidP="00672714">
            <w:pPr>
              <w:pStyle w:val="BodyText"/>
              <w:rPr>
                <w:sz w:val="20"/>
                <w:szCs w:val="20"/>
              </w:rPr>
            </w:pPr>
            <w:r w:rsidRPr="00672714">
              <w:rPr>
                <w:rStyle w:val="Bold"/>
                <w:sz w:val="20"/>
                <w:szCs w:val="20"/>
              </w:rPr>
              <w:t>Part-time</w:t>
            </w:r>
          </w:p>
        </w:tc>
        <w:tc>
          <w:tcPr>
            <w:tcW w:w="288" w:type="pct"/>
          </w:tcPr>
          <w:p w14:paraId="34540C03" w14:textId="77777777" w:rsidR="00247AD2" w:rsidRPr="00672714" w:rsidRDefault="00247AD2" w:rsidP="00672714">
            <w:pPr>
              <w:pStyle w:val="BodyText"/>
              <w:rPr>
                <w:sz w:val="20"/>
                <w:szCs w:val="20"/>
              </w:rPr>
            </w:pPr>
            <w:r w:rsidRPr="00672714">
              <w:rPr>
                <w:rStyle w:val="Bold"/>
                <w:sz w:val="20"/>
                <w:szCs w:val="20"/>
              </w:rPr>
              <w:t>Total</w:t>
            </w:r>
          </w:p>
        </w:tc>
        <w:tc>
          <w:tcPr>
            <w:tcW w:w="313" w:type="pct"/>
          </w:tcPr>
          <w:p w14:paraId="175D9513" w14:textId="77777777" w:rsidR="00247AD2" w:rsidRPr="00672714" w:rsidRDefault="00247AD2" w:rsidP="00672714">
            <w:pPr>
              <w:pStyle w:val="BodyText"/>
              <w:rPr>
                <w:sz w:val="20"/>
                <w:szCs w:val="20"/>
              </w:rPr>
            </w:pPr>
            <w:r w:rsidRPr="00672714">
              <w:rPr>
                <w:rStyle w:val="Bold"/>
                <w:sz w:val="20"/>
                <w:szCs w:val="20"/>
              </w:rPr>
              <w:t>Full-time</w:t>
            </w:r>
          </w:p>
        </w:tc>
        <w:tc>
          <w:tcPr>
            <w:tcW w:w="288" w:type="pct"/>
          </w:tcPr>
          <w:p w14:paraId="7C2CC667" w14:textId="77777777" w:rsidR="00247AD2" w:rsidRPr="00672714" w:rsidRDefault="00247AD2" w:rsidP="00672714">
            <w:pPr>
              <w:pStyle w:val="BodyText"/>
              <w:rPr>
                <w:sz w:val="20"/>
                <w:szCs w:val="20"/>
              </w:rPr>
            </w:pPr>
            <w:r w:rsidRPr="00672714">
              <w:rPr>
                <w:rStyle w:val="Bold"/>
                <w:sz w:val="20"/>
                <w:szCs w:val="20"/>
              </w:rPr>
              <w:t>Part-time</w:t>
            </w:r>
          </w:p>
        </w:tc>
        <w:tc>
          <w:tcPr>
            <w:tcW w:w="313" w:type="pct"/>
          </w:tcPr>
          <w:p w14:paraId="5CC448B7" w14:textId="77777777" w:rsidR="00247AD2" w:rsidRPr="00672714" w:rsidRDefault="00247AD2" w:rsidP="00672714">
            <w:pPr>
              <w:pStyle w:val="BodyText"/>
              <w:rPr>
                <w:sz w:val="20"/>
                <w:szCs w:val="20"/>
              </w:rPr>
            </w:pPr>
            <w:r w:rsidRPr="00672714">
              <w:rPr>
                <w:rStyle w:val="Bold"/>
                <w:sz w:val="20"/>
                <w:szCs w:val="20"/>
              </w:rPr>
              <w:t>Total</w:t>
            </w:r>
          </w:p>
        </w:tc>
        <w:tc>
          <w:tcPr>
            <w:tcW w:w="265" w:type="pct"/>
          </w:tcPr>
          <w:p w14:paraId="71267283" w14:textId="77777777" w:rsidR="00247AD2" w:rsidRPr="00672714" w:rsidRDefault="00247AD2" w:rsidP="00672714">
            <w:pPr>
              <w:pStyle w:val="BodyText"/>
              <w:rPr>
                <w:sz w:val="20"/>
                <w:szCs w:val="20"/>
              </w:rPr>
            </w:pPr>
            <w:r w:rsidRPr="00672714">
              <w:rPr>
                <w:rStyle w:val="Bold"/>
                <w:sz w:val="20"/>
                <w:szCs w:val="20"/>
              </w:rPr>
              <w:t>Full-time</w:t>
            </w:r>
          </w:p>
        </w:tc>
        <w:tc>
          <w:tcPr>
            <w:tcW w:w="265" w:type="pct"/>
          </w:tcPr>
          <w:p w14:paraId="6B040A37" w14:textId="77777777" w:rsidR="00247AD2" w:rsidRPr="00672714" w:rsidRDefault="00247AD2" w:rsidP="00672714">
            <w:pPr>
              <w:pStyle w:val="BodyText"/>
              <w:rPr>
                <w:sz w:val="20"/>
                <w:szCs w:val="20"/>
              </w:rPr>
            </w:pPr>
            <w:r w:rsidRPr="00672714">
              <w:rPr>
                <w:rStyle w:val="Bold"/>
                <w:sz w:val="20"/>
                <w:szCs w:val="20"/>
              </w:rPr>
              <w:t>Part-time</w:t>
            </w:r>
          </w:p>
        </w:tc>
        <w:tc>
          <w:tcPr>
            <w:tcW w:w="265" w:type="pct"/>
          </w:tcPr>
          <w:p w14:paraId="1508DF49" w14:textId="77777777" w:rsidR="00247AD2" w:rsidRPr="00672714" w:rsidRDefault="00247AD2" w:rsidP="00672714">
            <w:pPr>
              <w:pStyle w:val="BodyText"/>
              <w:rPr>
                <w:sz w:val="20"/>
                <w:szCs w:val="20"/>
              </w:rPr>
            </w:pPr>
            <w:r w:rsidRPr="00672714">
              <w:rPr>
                <w:rStyle w:val="Bold"/>
                <w:sz w:val="20"/>
                <w:szCs w:val="20"/>
              </w:rPr>
              <w:t>Total</w:t>
            </w:r>
          </w:p>
        </w:tc>
        <w:tc>
          <w:tcPr>
            <w:tcW w:w="263" w:type="pct"/>
          </w:tcPr>
          <w:p w14:paraId="106ABE60" w14:textId="77777777" w:rsidR="00247AD2" w:rsidRPr="00672714" w:rsidRDefault="00247AD2" w:rsidP="00672714">
            <w:pPr>
              <w:pStyle w:val="BodyText"/>
              <w:rPr>
                <w:sz w:val="20"/>
                <w:szCs w:val="20"/>
              </w:rPr>
            </w:pPr>
            <w:r w:rsidRPr="00672714">
              <w:rPr>
                <w:rStyle w:val="Bold"/>
                <w:sz w:val="20"/>
                <w:szCs w:val="20"/>
              </w:rPr>
              <w:t>Full-time</w:t>
            </w:r>
          </w:p>
        </w:tc>
        <w:tc>
          <w:tcPr>
            <w:tcW w:w="263" w:type="pct"/>
          </w:tcPr>
          <w:p w14:paraId="6A162DF5" w14:textId="77777777" w:rsidR="00247AD2" w:rsidRPr="00672714" w:rsidRDefault="00247AD2" w:rsidP="00672714">
            <w:pPr>
              <w:pStyle w:val="BodyText"/>
              <w:rPr>
                <w:sz w:val="20"/>
                <w:szCs w:val="20"/>
              </w:rPr>
            </w:pPr>
            <w:r w:rsidRPr="00672714">
              <w:rPr>
                <w:rStyle w:val="Bold"/>
                <w:sz w:val="20"/>
                <w:szCs w:val="20"/>
              </w:rPr>
              <w:t>Part-time</w:t>
            </w:r>
          </w:p>
        </w:tc>
        <w:tc>
          <w:tcPr>
            <w:tcW w:w="263" w:type="pct"/>
          </w:tcPr>
          <w:p w14:paraId="6FEDFBF9" w14:textId="77777777" w:rsidR="00247AD2" w:rsidRPr="00672714" w:rsidRDefault="00247AD2" w:rsidP="00672714">
            <w:pPr>
              <w:pStyle w:val="BodyText"/>
              <w:rPr>
                <w:sz w:val="20"/>
                <w:szCs w:val="20"/>
              </w:rPr>
            </w:pPr>
            <w:r w:rsidRPr="00672714">
              <w:rPr>
                <w:rStyle w:val="Bold"/>
                <w:sz w:val="20"/>
                <w:szCs w:val="20"/>
              </w:rPr>
              <w:t>Total</w:t>
            </w:r>
          </w:p>
        </w:tc>
        <w:tc>
          <w:tcPr>
            <w:tcW w:w="263" w:type="pct"/>
          </w:tcPr>
          <w:p w14:paraId="17E875D9" w14:textId="77777777" w:rsidR="00247AD2" w:rsidRPr="00672714" w:rsidRDefault="00247AD2" w:rsidP="00672714">
            <w:pPr>
              <w:pStyle w:val="BodyText"/>
              <w:rPr>
                <w:sz w:val="20"/>
                <w:szCs w:val="20"/>
              </w:rPr>
            </w:pPr>
            <w:r w:rsidRPr="00672714">
              <w:rPr>
                <w:rStyle w:val="Bold"/>
                <w:sz w:val="20"/>
                <w:szCs w:val="20"/>
              </w:rPr>
              <w:t>Full-time</w:t>
            </w:r>
          </w:p>
        </w:tc>
        <w:tc>
          <w:tcPr>
            <w:tcW w:w="263" w:type="pct"/>
          </w:tcPr>
          <w:p w14:paraId="4BFDB902" w14:textId="77777777" w:rsidR="00247AD2" w:rsidRPr="00672714" w:rsidRDefault="00247AD2" w:rsidP="00672714">
            <w:pPr>
              <w:pStyle w:val="BodyText"/>
              <w:rPr>
                <w:sz w:val="20"/>
                <w:szCs w:val="20"/>
              </w:rPr>
            </w:pPr>
            <w:r w:rsidRPr="00672714">
              <w:rPr>
                <w:rStyle w:val="Bold"/>
                <w:sz w:val="20"/>
                <w:szCs w:val="20"/>
              </w:rPr>
              <w:t>Part-time</w:t>
            </w:r>
          </w:p>
        </w:tc>
        <w:tc>
          <w:tcPr>
            <w:tcW w:w="263" w:type="pct"/>
          </w:tcPr>
          <w:p w14:paraId="5FAF5DE3" w14:textId="77777777" w:rsidR="00247AD2" w:rsidRPr="00672714" w:rsidRDefault="00247AD2" w:rsidP="00672714">
            <w:pPr>
              <w:pStyle w:val="BodyText"/>
              <w:rPr>
                <w:sz w:val="20"/>
                <w:szCs w:val="20"/>
              </w:rPr>
            </w:pPr>
            <w:r w:rsidRPr="00672714">
              <w:rPr>
                <w:rStyle w:val="Bold"/>
                <w:sz w:val="20"/>
                <w:szCs w:val="20"/>
              </w:rPr>
              <w:t>Total</w:t>
            </w:r>
          </w:p>
        </w:tc>
        <w:tc>
          <w:tcPr>
            <w:tcW w:w="313" w:type="pct"/>
          </w:tcPr>
          <w:p w14:paraId="65B1B756" w14:textId="77777777" w:rsidR="00247AD2" w:rsidRPr="00672714" w:rsidRDefault="00247AD2" w:rsidP="00672714">
            <w:pPr>
              <w:pStyle w:val="BodyText"/>
              <w:rPr>
                <w:sz w:val="20"/>
                <w:szCs w:val="20"/>
              </w:rPr>
            </w:pPr>
          </w:p>
        </w:tc>
      </w:tr>
      <w:tr w:rsidR="006A0585" w:rsidRPr="00672714" w14:paraId="18D4F022" w14:textId="77777777" w:rsidTr="006A0585">
        <w:trPr>
          <w:trHeight w:val="396"/>
        </w:trPr>
        <w:tc>
          <w:tcPr>
            <w:tcW w:w="550" w:type="pct"/>
          </w:tcPr>
          <w:p w14:paraId="5EE403B7" w14:textId="77777777" w:rsidR="00247AD2" w:rsidRPr="00672714" w:rsidRDefault="00247AD2" w:rsidP="00672714">
            <w:pPr>
              <w:pStyle w:val="BodyText"/>
              <w:rPr>
                <w:sz w:val="20"/>
                <w:szCs w:val="20"/>
              </w:rPr>
            </w:pPr>
            <w:r w:rsidRPr="00672714">
              <w:rPr>
                <w:sz w:val="20"/>
                <w:szCs w:val="20"/>
              </w:rPr>
              <w:t>SES3</w:t>
            </w:r>
          </w:p>
        </w:tc>
        <w:tc>
          <w:tcPr>
            <w:tcW w:w="288" w:type="pct"/>
          </w:tcPr>
          <w:p w14:paraId="6C6F7B97" w14:textId="77777777" w:rsidR="00247AD2" w:rsidRPr="00672714" w:rsidRDefault="00247AD2" w:rsidP="00672714">
            <w:pPr>
              <w:pStyle w:val="BodyText"/>
              <w:rPr>
                <w:sz w:val="20"/>
                <w:szCs w:val="20"/>
              </w:rPr>
            </w:pPr>
            <w:r w:rsidRPr="00672714">
              <w:rPr>
                <w:sz w:val="20"/>
                <w:szCs w:val="20"/>
              </w:rPr>
              <w:t>4</w:t>
            </w:r>
          </w:p>
        </w:tc>
        <w:tc>
          <w:tcPr>
            <w:tcW w:w="275" w:type="pct"/>
          </w:tcPr>
          <w:p w14:paraId="0BE53037" w14:textId="77777777" w:rsidR="00247AD2" w:rsidRPr="00672714" w:rsidRDefault="00247AD2" w:rsidP="00672714">
            <w:pPr>
              <w:pStyle w:val="BodyText"/>
              <w:rPr>
                <w:sz w:val="20"/>
                <w:szCs w:val="20"/>
              </w:rPr>
            </w:pPr>
            <w:r w:rsidRPr="00672714">
              <w:rPr>
                <w:sz w:val="20"/>
                <w:szCs w:val="20"/>
              </w:rPr>
              <w:t>0</w:t>
            </w:r>
          </w:p>
        </w:tc>
        <w:tc>
          <w:tcPr>
            <w:tcW w:w="288" w:type="pct"/>
          </w:tcPr>
          <w:p w14:paraId="7277783B" w14:textId="77777777" w:rsidR="00247AD2" w:rsidRPr="00672714" w:rsidRDefault="00247AD2" w:rsidP="00672714">
            <w:pPr>
              <w:pStyle w:val="BodyText"/>
              <w:rPr>
                <w:sz w:val="20"/>
                <w:szCs w:val="20"/>
              </w:rPr>
            </w:pPr>
            <w:r w:rsidRPr="00672714">
              <w:rPr>
                <w:sz w:val="20"/>
                <w:szCs w:val="20"/>
              </w:rPr>
              <w:t>4</w:t>
            </w:r>
          </w:p>
        </w:tc>
        <w:tc>
          <w:tcPr>
            <w:tcW w:w="313" w:type="pct"/>
          </w:tcPr>
          <w:p w14:paraId="6C4C6FDC" w14:textId="77777777" w:rsidR="00247AD2" w:rsidRPr="00672714" w:rsidRDefault="00247AD2" w:rsidP="00672714">
            <w:pPr>
              <w:pStyle w:val="BodyText"/>
              <w:rPr>
                <w:sz w:val="20"/>
                <w:szCs w:val="20"/>
              </w:rPr>
            </w:pPr>
            <w:r w:rsidRPr="00672714">
              <w:rPr>
                <w:sz w:val="20"/>
                <w:szCs w:val="20"/>
              </w:rPr>
              <w:t>2</w:t>
            </w:r>
          </w:p>
        </w:tc>
        <w:tc>
          <w:tcPr>
            <w:tcW w:w="288" w:type="pct"/>
          </w:tcPr>
          <w:p w14:paraId="4B6C31A6" w14:textId="77777777" w:rsidR="00247AD2" w:rsidRPr="00672714" w:rsidRDefault="00247AD2" w:rsidP="00672714">
            <w:pPr>
              <w:pStyle w:val="BodyText"/>
              <w:rPr>
                <w:sz w:val="20"/>
                <w:szCs w:val="20"/>
              </w:rPr>
            </w:pPr>
            <w:r w:rsidRPr="00672714">
              <w:rPr>
                <w:sz w:val="20"/>
                <w:szCs w:val="20"/>
              </w:rPr>
              <w:t>0</w:t>
            </w:r>
          </w:p>
        </w:tc>
        <w:tc>
          <w:tcPr>
            <w:tcW w:w="313" w:type="pct"/>
          </w:tcPr>
          <w:p w14:paraId="10B98859" w14:textId="77777777" w:rsidR="00247AD2" w:rsidRPr="00672714" w:rsidRDefault="00247AD2" w:rsidP="00672714">
            <w:pPr>
              <w:pStyle w:val="BodyText"/>
              <w:rPr>
                <w:sz w:val="20"/>
                <w:szCs w:val="20"/>
              </w:rPr>
            </w:pPr>
            <w:r w:rsidRPr="00672714">
              <w:rPr>
                <w:sz w:val="20"/>
                <w:szCs w:val="20"/>
              </w:rPr>
              <w:t>2</w:t>
            </w:r>
          </w:p>
        </w:tc>
        <w:tc>
          <w:tcPr>
            <w:tcW w:w="265" w:type="pct"/>
          </w:tcPr>
          <w:p w14:paraId="38B0660B" w14:textId="77777777" w:rsidR="00247AD2" w:rsidRPr="00672714" w:rsidRDefault="00247AD2" w:rsidP="00672714">
            <w:pPr>
              <w:pStyle w:val="BodyText"/>
              <w:rPr>
                <w:sz w:val="20"/>
                <w:szCs w:val="20"/>
              </w:rPr>
            </w:pPr>
            <w:r w:rsidRPr="00672714">
              <w:rPr>
                <w:sz w:val="20"/>
                <w:szCs w:val="20"/>
              </w:rPr>
              <w:t>0</w:t>
            </w:r>
          </w:p>
        </w:tc>
        <w:tc>
          <w:tcPr>
            <w:tcW w:w="265" w:type="pct"/>
          </w:tcPr>
          <w:p w14:paraId="6247982C" w14:textId="77777777" w:rsidR="00247AD2" w:rsidRPr="00672714" w:rsidRDefault="00247AD2" w:rsidP="00672714">
            <w:pPr>
              <w:pStyle w:val="BodyText"/>
              <w:rPr>
                <w:sz w:val="20"/>
                <w:szCs w:val="20"/>
              </w:rPr>
            </w:pPr>
            <w:r w:rsidRPr="00672714">
              <w:rPr>
                <w:sz w:val="20"/>
                <w:szCs w:val="20"/>
              </w:rPr>
              <w:t>0</w:t>
            </w:r>
          </w:p>
        </w:tc>
        <w:tc>
          <w:tcPr>
            <w:tcW w:w="265" w:type="pct"/>
          </w:tcPr>
          <w:p w14:paraId="6FA5CA91" w14:textId="77777777" w:rsidR="00247AD2" w:rsidRPr="00672714" w:rsidRDefault="00247AD2" w:rsidP="00672714">
            <w:pPr>
              <w:pStyle w:val="BodyText"/>
              <w:rPr>
                <w:sz w:val="20"/>
                <w:szCs w:val="20"/>
              </w:rPr>
            </w:pPr>
            <w:r w:rsidRPr="00672714">
              <w:rPr>
                <w:sz w:val="20"/>
                <w:szCs w:val="20"/>
              </w:rPr>
              <w:t>0</w:t>
            </w:r>
          </w:p>
        </w:tc>
        <w:tc>
          <w:tcPr>
            <w:tcW w:w="263" w:type="pct"/>
          </w:tcPr>
          <w:p w14:paraId="4658FCCF" w14:textId="77777777" w:rsidR="00247AD2" w:rsidRPr="00672714" w:rsidRDefault="00247AD2" w:rsidP="00672714">
            <w:pPr>
              <w:pStyle w:val="BodyText"/>
              <w:rPr>
                <w:sz w:val="20"/>
                <w:szCs w:val="20"/>
              </w:rPr>
            </w:pPr>
            <w:r w:rsidRPr="00672714">
              <w:rPr>
                <w:sz w:val="20"/>
                <w:szCs w:val="20"/>
              </w:rPr>
              <w:t>0</w:t>
            </w:r>
          </w:p>
        </w:tc>
        <w:tc>
          <w:tcPr>
            <w:tcW w:w="263" w:type="pct"/>
          </w:tcPr>
          <w:p w14:paraId="5EE76CD6" w14:textId="77777777" w:rsidR="00247AD2" w:rsidRPr="00672714" w:rsidRDefault="00247AD2" w:rsidP="00672714">
            <w:pPr>
              <w:pStyle w:val="BodyText"/>
              <w:rPr>
                <w:sz w:val="20"/>
                <w:szCs w:val="20"/>
              </w:rPr>
            </w:pPr>
            <w:r w:rsidRPr="00672714">
              <w:rPr>
                <w:sz w:val="20"/>
                <w:szCs w:val="20"/>
              </w:rPr>
              <w:t>0</w:t>
            </w:r>
          </w:p>
        </w:tc>
        <w:tc>
          <w:tcPr>
            <w:tcW w:w="263" w:type="pct"/>
          </w:tcPr>
          <w:p w14:paraId="6F472D33" w14:textId="77777777" w:rsidR="00247AD2" w:rsidRPr="00672714" w:rsidRDefault="00247AD2" w:rsidP="00672714">
            <w:pPr>
              <w:pStyle w:val="BodyText"/>
              <w:rPr>
                <w:sz w:val="20"/>
                <w:szCs w:val="20"/>
              </w:rPr>
            </w:pPr>
            <w:r w:rsidRPr="00672714">
              <w:rPr>
                <w:sz w:val="20"/>
                <w:szCs w:val="20"/>
              </w:rPr>
              <w:t>0</w:t>
            </w:r>
          </w:p>
        </w:tc>
        <w:tc>
          <w:tcPr>
            <w:tcW w:w="263" w:type="pct"/>
          </w:tcPr>
          <w:p w14:paraId="189DE71B" w14:textId="77777777" w:rsidR="00247AD2" w:rsidRPr="00672714" w:rsidRDefault="00247AD2" w:rsidP="00672714">
            <w:pPr>
              <w:pStyle w:val="BodyText"/>
              <w:rPr>
                <w:sz w:val="20"/>
                <w:szCs w:val="20"/>
              </w:rPr>
            </w:pPr>
            <w:r w:rsidRPr="00672714">
              <w:rPr>
                <w:sz w:val="20"/>
                <w:szCs w:val="20"/>
              </w:rPr>
              <w:t>0</w:t>
            </w:r>
          </w:p>
        </w:tc>
        <w:tc>
          <w:tcPr>
            <w:tcW w:w="263" w:type="pct"/>
          </w:tcPr>
          <w:p w14:paraId="7CB7A7BC" w14:textId="77777777" w:rsidR="00247AD2" w:rsidRPr="00672714" w:rsidRDefault="00247AD2" w:rsidP="00672714">
            <w:pPr>
              <w:pStyle w:val="BodyText"/>
              <w:rPr>
                <w:sz w:val="20"/>
                <w:szCs w:val="20"/>
              </w:rPr>
            </w:pPr>
            <w:r w:rsidRPr="00672714">
              <w:rPr>
                <w:sz w:val="20"/>
                <w:szCs w:val="20"/>
              </w:rPr>
              <w:t>0</w:t>
            </w:r>
          </w:p>
        </w:tc>
        <w:tc>
          <w:tcPr>
            <w:tcW w:w="263" w:type="pct"/>
          </w:tcPr>
          <w:p w14:paraId="2CAAC897" w14:textId="77777777" w:rsidR="00247AD2" w:rsidRPr="00672714" w:rsidRDefault="00247AD2" w:rsidP="00672714">
            <w:pPr>
              <w:pStyle w:val="BodyText"/>
              <w:rPr>
                <w:sz w:val="20"/>
                <w:szCs w:val="20"/>
              </w:rPr>
            </w:pPr>
            <w:r w:rsidRPr="00672714">
              <w:rPr>
                <w:sz w:val="20"/>
                <w:szCs w:val="20"/>
              </w:rPr>
              <w:t>0</w:t>
            </w:r>
          </w:p>
        </w:tc>
        <w:tc>
          <w:tcPr>
            <w:tcW w:w="313" w:type="pct"/>
          </w:tcPr>
          <w:p w14:paraId="2EDE14E9" w14:textId="77777777" w:rsidR="00247AD2" w:rsidRPr="00672714" w:rsidRDefault="00247AD2" w:rsidP="00672714">
            <w:pPr>
              <w:pStyle w:val="BodyText"/>
              <w:rPr>
                <w:sz w:val="20"/>
                <w:szCs w:val="20"/>
              </w:rPr>
            </w:pPr>
            <w:r w:rsidRPr="00672714">
              <w:rPr>
                <w:rStyle w:val="01bodybold"/>
                <w:sz w:val="20"/>
                <w:szCs w:val="20"/>
              </w:rPr>
              <w:t xml:space="preserve">6 </w:t>
            </w:r>
          </w:p>
        </w:tc>
      </w:tr>
      <w:tr w:rsidR="006A0585" w:rsidRPr="00672714" w14:paraId="6567A559" w14:textId="77777777" w:rsidTr="006A0585">
        <w:trPr>
          <w:trHeight w:val="396"/>
        </w:trPr>
        <w:tc>
          <w:tcPr>
            <w:tcW w:w="550" w:type="pct"/>
          </w:tcPr>
          <w:p w14:paraId="3C0D18C0" w14:textId="77777777" w:rsidR="00247AD2" w:rsidRPr="00672714" w:rsidRDefault="00247AD2" w:rsidP="00672714">
            <w:pPr>
              <w:pStyle w:val="BodyText"/>
              <w:rPr>
                <w:sz w:val="20"/>
                <w:szCs w:val="20"/>
              </w:rPr>
            </w:pPr>
            <w:r w:rsidRPr="00672714">
              <w:rPr>
                <w:sz w:val="20"/>
                <w:szCs w:val="20"/>
              </w:rPr>
              <w:t>SES2</w:t>
            </w:r>
          </w:p>
        </w:tc>
        <w:tc>
          <w:tcPr>
            <w:tcW w:w="288" w:type="pct"/>
          </w:tcPr>
          <w:p w14:paraId="5D7B53C4" w14:textId="77777777" w:rsidR="00247AD2" w:rsidRPr="00672714" w:rsidRDefault="00247AD2" w:rsidP="00672714">
            <w:pPr>
              <w:pStyle w:val="BodyText"/>
              <w:rPr>
                <w:sz w:val="20"/>
                <w:szCs w:val="20"/>
              </w:rPr>
            </w:pPr>
            <w:r w:rsidRPr="00672714">
              <w:rPr>
                <w:sz w:val="20"/>
                <w:szCs w:val="20"/>
              </w:rPr>
              <w:t>12</w:t>
            </w:r>
          </w:p>
        </w:tc>
        <w:tc>
          <w:tcPr>
            <w:tcW w:w="275" w:type="pct"/>
          </w:tcPr>
          <w:p w14:paraId="5F49741F" w14:textId="77777777" w:rsidR="00247AD2" w:rsidRPr="00672714" w:rsidRDefault="00247AD2" w:rsidP="00672714">
            <w:pPr>
              <w:pStyle w:val="BodyText"/>
              <w:rPr>
                <w:sz w:val="20"/>
                <w:szCs w:val="20"/>
              </w:rPr>
            </w:pPr>
            <w:r w:rsidRPr="00672714">
              <w:rPr>
                <w:sz w:val="20"/>
                <w:szCs w:val="20"/>
              </w:rPr>
              <w:t>1</w:t>
            </w:r>
          </w:p>
        </w:tc>
        <w:tc>
          <w:tcPr>
            <w:tcW w:w="288" w:type="pct"/>
          </w:tcPr>
          <w:p w14:paraId="1FF8B503" w14:textId="77777777" w:rsidR="00247AD2" w:rsidRPr="00672714" w:rsidRDefault="00247AD2" w:rsidP="00672714">
            <w:pPr>
              <w:pStyle w:val="BodyText"/>
              <w:rPr>
                <w:sz w:val="20"/>
                <w:szCs w:val="20"/>
              </w:rPr>
            </w:pPr>
            <w:r w:rsidRPr="00672714">
              <w:rPr>
                <w:sz w:val="20"/>
                <w:szCs w:val="20"/>
              </w:rPr>
              <w:t>13</w:t>
            </w:r>
          </w:p>
        </w:tc>
        <w:tc>
          <w:tcPr>
            <w:tcW w:w="313" w:type="pct"/>
          </w:tcPr>
          <w:p w14:paraId="2344EF36" w14:textId="77777777" w:rsidR="00247AD2" w:rsidRPr="00672714" w:rsidRDefault="00247AD2" w:rsidP="00672714">
            <w:pPr>
              <w:pStyle w:val="BodyText"/>
              <w:rPr>
                <w:sz w:val="20"/>
                <w:szCs w:val="20"/>
              </w:rPr>
            </w:pPr>
            <w:r w:rsidRPr="00672714">
              <w:rPr>
                <w:sz w:val="20"/>
                <w:szCs w:val="20"/>
              </w:rPr>
              <w:t>19</w:t>
            </w:r>
          </w:p>
        </w:tc>
        <w:tc>
          <w:tcPr>
            <w:tcW w:w="288" w:type="pct"/>
          </w:tcPr>
          <w:p w14:paraId="2699AA29" w14:textId="77777777" w:rsidR="00247AD2" w:rsidRPr="00672714" w:rsidRDefault="00247AD2" w:rsidP="00672714">
            <w:pPr>
              <w:pStyle w:val="BodyText"/>
              <w:rPr>
                <w:sz w:val="20"/>
                <w:szCs w:val="20"/>
              </w:rPr>
            </w:pPr>
            <w:r w:rsidRPr="00672714">
              <w:rPr>
                <w:sz w:val="20"/>
                <w:szCs w:val="20"/>
              </w:rPr>
              <w:t>0</w:t>
            </w:r>
          </w:p>
        </w:tc>
        <w:tc>
          <w:tcPr>
            <w:tcW w:w="313" w:type="pct"/>
          </w:tcPr>
          <w:p w14:paraId="70219B91" w14:textId="77777777" w:rsidR="00247AD2" w:rsidRPr="00672714" w:rsidRDefault="00247AD2" w:rsidP="00672714">
            <w:pPr>
              <w:pStyle w:val="BodyText"/>
              <w:rPr>
                <w:sz w:val="20"/>
                <w:szCs w:val="20"/>
              </w:rPr>
            </w:pPr>
            <w:r w:rsidRPr="00672714">
              <w:rPr>
                <w:sz w:val="20"/>
                <w:szCs w:val="20"/>
              </w:rPr>
              <w:t>19</w:t>
            </w:r>
          </w:p>
        </w:tc>
        <w:tc>
          <w:tcPr>
            <w:tcW w:w="265" w:type="pct"/>
          </w:tcPr>
          <w:p w14:paraId="5459FE1D" w14:textId="77777777" w:rsidR="00247AD2" w:rsidRPr="00672714" w:rsidRDefault="00247AD2" w:rsidP="00672714">
            <w:pPr>
              <w:pStyle w:val="BodyText"/>
              <w:rPr>
                <w:sz w:val="20"/>
                <w:szCs w:val="20"/>
              </w:rPr>
            </w:pPr>
            <w:r w:rsidRPr="00672714">
              <w:rPr>
                <w:sz w:val="20"/>
                <w:szCs w:val="20"/>
              </w:rPr>
              <w:t>0</w:t>
            </w:r>
          </w:p>
        </w:tc>
        <w:tc>
          <w:tcPr>
            <w:tcW w:w="265" w:type="pct"/>
          </w:tcPr>
          <w:p w14:paraId="1B7682DE" w14:textId="77777777" w:rsidR="00247AD2" w:rsidRPr="00672714" w:rsidRDefault="00247AD2" w:rsidP="00672714">
            <w:pPr>
              <w:pStyle w:val="BodyText"/>
              <w:rPr>
                <w:sz w:val="20"/>
                <w:szCs w:val="20"/>
              </w:rPr>
            </w:pPr>
            <w:r w:rsidRPr="00672714">
              <w:rPr>
                <w:sz w:val="20"/>
                <w:szCs w:val="20"/>
              </w:rPr>
              <w:t>0</w:t>
            </w:r>
          </w:p>
        </w:tc>
        <w:tc>
          <w:tcPr>
            <w:tcW w:w="265" w:type="pct"/>
          </w:tcPr>
          <w:p w14:paraId="2C873A71" w14:textId="77777777" w:rsidR="00247AD2" w:rsidRPr="00672714" w:rsidRDefault="00247AD2" w:rsidP="00672714">
            <w:pPr>
              <w:pStyle w:val="BodyText"/>
              <w:rPr>
                <w:sz w:val="20"/>
                <w:szCs w:val="20"/>
              </w:rPr>
            </w:pPr>
            <w:r w:rsidRPr="00672714">
              <w:rPr>
                <w:sz w:val="20"/>
                <w:szCs w:val="20"/>
              </w:rPr>
              <w:t>0</w:t>
            </w:r>
          </w:p>
        </w:tc>
        <w:tc>
          <w:tcPr>
            <w:tcW w:w="263" w:type="pct"/>
          </w:tcPr>
          <w:p w14:paraId="5AD9D8F1" w14:textId="77777777" w:rsidR="00247AD2" w:rsidRPr="00672714" w:rsidRDefault="00247AD2" w:rsidP="00672714">
            <w:pPr>
              <w:pStyle w:val="BodyText"/>
              <w:rPr>
                <w:sz w:val="20"/>
                <w:szCs w:val="20"/>
              </w:rPr>
            </w:pPr>
            <w:r w:rsidRPr="00672714">
              <w:rPr>
                <w:sz w:val="20"/>
                <w:szCs w:val="20"/>
              </w:rPr>
              <w:t>0</w:t>
            </w:r>
          </w:p>
        </w:tc>
        <w:tc>
          <w:tcPr>
            <w:tcW w:w="263" w:type="pct"/>
          </w:tcPr>
          <w:p w14:paraId="726471DC" w14:textId="77777777" w:rsidR="00247AD2" w:rsidRPr="00672714" w:rsidRDefault="00247AD2" w:rsidP="00672714">
            <w:pPr>
              <w:pStyle w:val="BodyText"/>
              <w:rPr>
                <w:sz w:val="20"/>
                <w:szCs w:val="20"/>
              </w:rPr>
            </w:pPr>
            <w:r w:rsidRPr="00672714">
              <w:rPr>
                <w:sz w:val="20"/>
                <w:szCs w:val="20"/>
              </w:rPr>
              <w:t>0</w:t>
            </w:r>
          </w:p>
        </w:tc>
        <w:tc>
          <w:tcPr>
            <w:tcW w:w="263" w:type="pct"/>
          </w:tcPr>
          <w:p w14:paraId="1270FCBC" w14:textId="77777777" w:rsidR="00247AD2" w:rsidRPr="00672714" w:rsidRDefault="00247AD2" w:rsidP="00672714">
            <w:pPr>
              <w:pStyle w:val="BodyText"/>
              <w:rPr>
                <w:sz w:val="20"/>
                <w:szCs w:val="20"/>
              </w:rPr>
            </w:pPr>
            <w:r w:rsidRPr="00672714">
              <w:rPr>
                <w:sz w:val="20"/>
                <w:szCs w:val="20"/>
              </w:rPr>
              <w:t>0</w:t>
            </w:r>
          </w:p>
        </w:tc>
        <w:tc>
          <w:tcPr>
            <w:tcW w:w="263" w:type="pct"/>
          </w:tcPr>
          <w:p w14:paraId="139C7CDC" w14:textId="77777777" w:rsidR="00247AD2" w:rsidRPr="00672714" w:rsidRDefault="00247AD2" w:rsidP="00672714">
            <w:pPr>
              <w:pStyle w:val="BodyText"/>
              <w:rPr>
                <w:sz w:val="20"/>
                <w:szCs w:val="20"/>
              </w:rPr>
            </w:pPr>
            <w:r w:rsidRPr="00672714">
              <w:rPr>
                <w:sz w:val="20"/>
                <w:szCs w:val="20"/>
              </w:rPr>
              <w:t>0</w:t>
            </w:r>
          </w:p>
        </w:tc>
        <w:tc>
          <w:tcPr>
            <w:tcW w:w="263" w:type="pct"/>
          </w:tcPr>
          <w:p w14:paraId="756EBF1D" w14:textId="77777777" w:rsidR="00247AD2" w:rsidRPr="00672714" w:rsidRDefault="00247AD2" w:rsidP="00672714">
            <w:pPr>
              <w:pStyle w:val="BodyText"/>
              <w:rPr>
                <w:sz w:val="20"/>
                <w:szCs w:val="20"/>
              </w:rPr>
            </w:pPr>
            <w:r w:rsidRPr="00672714">
              <w:rPr>
                <w:sz w:val="20"/>
                <w:szCs w:val="20"/>
              </w:rPr>
              <w:t>0</w:t>
            </w:r>
          </w:p>
        </w:tc>
        <w:tc>
          <w:tcPr>
            <w:tcW w:w="263" w:type="pct"/>
          </w:tcPr>
          <w:p w14:paraId="34A6A868" w14:textId="77777777" w:rsidR="00247AD2" w:rsidRPr="00672714" w:rsidRDefault="00247AD2" w:rsidP="00672714">
            <w:pPr>
              <w:pStyle w:val="BodyText"/>
              <w:rPr>
                <w:sz w:val="20"/>
                <w:szCs w:val="20"/>
              </w:rPr>
            </w:pPr>
            <w:r w:rsidRPr="00672714">
              <w:rPr>
                <w:sz w:val="20"/>
                <w:szCs w:val="20"/>
              </w:rPr>
              <w:t>0</w:t>
            </w:r>
          </w:p>
        </w:tc>
        <w:tc>
          <w:tcPr>
            <w:tcW w:w="313" w:type="pct"/>
          </w:tcPr>
          <w:p w14:paraId="789774C5" w14:textId="77777777" w:rsidR="00247AD2" w:rsidRPr="00672714" w:rsidRDefault="00247AD2" w:rsidP="00672714">
            <w:pPr>
              <w:pStyle w:val="BodyText"/>
              <w:rPr>
                <w:sz w:val="20"/>
                <w:szCs w:val="20"/>
              </w:rPr>
            </w:pPr>
            <w:r w:rsidRPr="00672714">
              <w:rPr>
                <w:rStyle w:val="01bodybold"/>
                <w:sz w:val="20"/>
                <w:szCs w:val="20"/>
              </w:rPr>
              <w:t xml:space="preserve">32 </w:t>
            </w:r>
          </w:p>
        </w:tc>
      </w:tr>
      <w:tr w:rsidR="006A0585" w:rsidRPr="00672714" w14:paraId="50C4C8E1" w14:textId="77777777" w:rsidTr="006A0585">
        <w:trPr>
          <w:trHeight w:val="396"/>
        </w:trPr>
        <w:tc>
          <w:tcPr>
            <w:tcW w:w="550" w:type="pct"/>
          </w:tcPr>
          <w:p w14:paraId="543F23DE" w14:textId="77777777" w:rsidR="00247AD2" w:rsidRPr="00672714" w:rsidRDefault="00247AD2" w:rsidP="00672714">
            <w:pPr>
              <w:pStyle w:val="BodyText"/>
              <w:rPr>
                <w:sz w:val="20"/>
                <w:szCs w:val="20"/>
              </w:rPr>
            </w:pPr>
            <w:r w:rsidRPr="00672714">
              <w:rPr>
                <w:sz w:val="20"/>
                <w:szCs w:val="20"/>
              </w:rPr>
              <w:t>SES1</w:t>
            </w:r>
          </w:p>
        </w:tc>
        <w:tc>
          <w:tcPr>
            <w:tcW w:w="288" w:type="pct"/>
          </w:tcPr>
          <w:p w14:paraId="154FE201" w14:textId="77777777" w:rsidR="00247AD2" w:rsidRPr="00672714" w:rsidRDefault="00247AD2" w:rsidP="00672714">
            <w:pPr>
              <w:pStyle w:val="BodyText"/>
              <w:rPr>
                <w:sz w:val="20"/>
                <w:szCs w:val="20"/>
              </w:rPr>
            </w:pPr>
            <w:r w:rsidRPr="00672714">
              <w:rPr>
                <w:sz w:val="20"/>
                <w:szCs w:val="20"/>
              </w:rPr>
              <w:t>46</w:t>
            </w:r>
          </w:p>
        </w:tc>
        <w:tc>
          <w:tcPr>
            <w:tcW w:w="275" w:type="pct"/>
          </w:tcPr>
          <w:p w14:paraId="349DF87C" w14:textId="77777777" w:rsidR="00247AD2" w:rsidRPr="00672714" w:rsidRDefault="00247AD2" w:rsidP="00672714">
            <w:pPr>
              <w:pStyle w:val="BodyText"/>
              <w:rPr>
                <w:sz w:val="20"/>
                <w:szCs w:val="20"/>
              </w:rPr>
            </w:pPr>
            <w:r w:rsidRPr="00672714">
              <w:rPr>
                <w:sz w:val="20"/>
                <w:szCs w:val="20"/>
              </w:rPr>
              <w:t>0</w:t>
            </w:r>
          </w:p>
        </w:tc>
        <w:tc>
          <w:tcPr>
            <w:tcW w:w="288" w:type="pct"/>
          </w:tcPr>
          <w:p w14:paraId="2B5288C3" w14:textId="77777777" w:rsidR="00247AD2" w:rsidRPr="00672714" w:rsidRDefault="00247AD2" w:rsidP="00672714">
            <w:pPr>
              <w:pStyle w:val="BodyText"/>
              <w:rPr>
                <w:sz w:val="20"/>
                <w:szCs w:val="20"/>
              </w:rPr>
            </w:pPr>
            <w:r w:rsidRPr="00672714">
              <w:rPr>
                <w:sz w:val="20"/>
                <w:szCs w:val="20"/>
              </w:rPr>
              <w:t>46</w:t>
            </w:r>
          </w:p>
        </w:tc>
        <w:tc>
          <w:tcPr>
            <w:tcW w:w="313" w:type="pct"/>
          </w:tcPr>
          <w:p w14:paraId="185560E8" w14:textId="77777777" w:rsidR="00247AD2" w:rsidRPr="00672714" w:rsidRDefault="00247AD2" w:rsidP="00672714">
            <w:pPr>
              <w:pStyle w:val="BodyText"/>
              <w:rPr>
                <w:sz w:val="20"/>
                <w:szCs w:val="20"/>
              </w:rPr>
            </w:pPr>
            <w:r w:rsidRPr="00672714">
              <w:rPr>
                <w:sz w:val="20"/>
                <w:szCs w:val="20"/>
              </w:rPr>
              <w:t>78</w:t>
            </w:r>
          </w:p>
        </w:tc>
        <w:tc>
          <w:tcPr>
            <w:tcW w:w="288" w:type="pct"/>
          </w:tcPr>
          <w:p w14:paraId="1E736360" w14:textId="77777777" w:rsidR="00247AD2" w:rsidRPr="00672714" w:rsidRDefault="00247AD2" w:rsidP="00672714">
            <w:pPr>
              <w:pStyle w:val="BodyText"/>
              <w:rPr>
                <w:sz w:val="20"/>
                <w:szCs w:val="20"/>
              </w:rPr>
            </w:pPr>
            <w:r w:rsidRPr="00672714">
              <w:rPr>
                <w:sz w:val="20"/>
                <w:szCs w:val="20"/>
              </w:rPr>
              <w:t>2</w:t>
            </w:r>
          </w:p>
        </w:tc>
        <w:tc>
          <w:tcPr>
            <w:tcW w:w="313" w:type="pct"/>
          </w:tcPr>
          <w:p w14:paraId="4BB80B1A" w14:textId="77777777" w:rsidR="00247AD2" w:rsidRPr="00672714" w:rsidRDefault="00247AD2" w:rsidP="00672714">
            <w:pPr>
              <w:pStyle w:val="BodyText"/>
              <w:rPr>
                <w:sz w:val="20"/>
                <w:szCs w:val="20"/>
              </w:rPr>
            </w:pPr>
            <w:r w:rsidRPr="00672714">
              <w:rPr>
                <w:sz w:val="20"/>
                <w:szCs w:val="20"/>
              </w:rPr>
              <w:t>80</w:t>
            </w:r>
          </w:p>
        </w:tc>
        <w:tc>
          <w:tcPr>
            <w:tcW w:w="265" w:type="pct"/>
          </w:tcPr>
          <w:p w14:paraId="6E8ECB3F" w14:textId="77777777" w:rsidR="00247AD2" w:rsidRPr="00672714" w:rsidRDefault="00247AD2" w:rsidP="00672714">
            <w:pPr>
              <w:pStyle w:val="BodyText"/>
              <w:rPr>
                <w:sz w:val="20"/>
                <w:szCs w:val="20"/>
              </w:rPr>
            </w:pPr>
            <w:r w:rsidRPr="00672714">
              <w:rPr>
                <w:sz w:val="20"/>
                <w:szCs w:val="20"/>
              </w:rPr>
              <w:t>1</w:t>
            </w:r>
          </w:p>
        </w:tc>
        <w:tc>
          <w:tcPr>
            <w:tcW w:w="265" w:type="pct"/>
          </w:tcPr>
          <w:p w14:paraId="771811D1" w14:textId="77777777" w:rsidR="00247AD2" w:rsidRPr="00672714" w:rsidRDefault="00247AD2" w:rsidP="00672714">
            <w:pPr>
              <w:pStyle w:val="BodyText"/>
              <w:rPr>
                <w:sz w:val="20"/>
                <w:szCs w:val="20"/>
              </w:rPr>
            </w:pPr>
            <w:r w:rsidRPr="00672714">
              <w:rPr>
                <w:sz w:val="20"/>
                <w:szCs w:val="20"/>
              </w:rPr>
              <w:t>0</w:t>
            </w:r>
          </w:p>
        </w:tc>
        <w:tc>
          <w:tcPr>
            <w:tcW w:w="265" w:type="pct"/>
          </w:tcPr>
          <w:p w14:paraId="71706859" w14:textId="77777777" w:rsidR="00247AD2" w:rsidRPr="00672714" w:rsidRDefault="00247AD2" w:rsidP="00672714">
            <w:pPr>
              <w:pStyle w:val="BodyText"/>
              <w:rPr>
                <w:sz w:val="20"/>
                <w:szCs w:val="20"/>
              </w:rPr>
            </w:pPr>
            <w:r w:rsidRPr="00672714">
              <w:rPr>
                <w:sz w:val="20"/>
                <w:szCs w:val="20"/>
              </w:rPr>
              <w:t>1</w:t>
            </w:r>
          </w:p>
        </w:tc>
        <w:tc>
          <w:tcPr>
            <w:tcW w:w="263" w:type="pct"/>
          </w:tcPr>
          <w:p w14:paraId="00600E0E" w14:textId="77777777" w:rsidR="00247AD2" w:rsidRPr="00672714" w:rsidRDefault="00247AD2" w:rsidP="00672714">
            <w:pPr>
              <w:pStyle w:val="BodyText"/>
              <w:rPr>
                <w:sz w:val="20"/>
                <w:szCs w:val="20"/>
              </w:rPr>
            </w:pPr>
            <w:r w:rsidRPr="00672714">
              <w:rPr>
                <w:sz w:val="20"/>
                <w:szCs w:val="20"/>
              </w:rPr>
              <w:t>0</w:t>
            </w:r>
          </w:p>
        </w:tc>
        <w:tc>
          <w:tcPr>
            <w:tcW w:w="263" w:type="pct"/>
          </w:tcPr>
          <w:p w14:paraId="0007DBF9" w14:textId="77777777" w:rsidR="00247AD2" w:rsidRPr="00672714" w:rsidRDefault="00247AD2" w:rsidP="00672714">
            <w:pPr>
              <w:pStyle w:val="BodyText"/>
              <w:rPr>
                <w:sz w:val="20"/>
                <w:szCs w:val="20"/>
              </w:rPr>
            </w:pPr>
            <w:r w:rsidRPr="00672714">
              <w:rPr>
                <w:sz w:val="20"/>
                <w:szCs w:val="20"/>
              </w:rPr>
              <w:t>0</w:t>
            </w:r>
          </w:p>
        </w:tc>
        <w:tc>
          <w:tcPr>
            <w:tcW w:w="263" w:type="pct"/>
          </w:tcPr>
          <w:p w14:paraId="488E8B5E" w14:textId="77777777" w:rsidR="00247AD2" w:rsidRPr="00672714" w:rsidRDefault="00247AD2" w:rsidP="00672714">
            <w:pPr>
              <w:pStyle w:val="BodyText"/>
              <w:rPr>
                <w:sz w:val="20"/>
                <w:szCs w:val="20"/>
              </w:rPr>
            </w:pPr>
            <w:r w:rsidRPr="00672714">
              <w:rPr>
                <w:sz w:val="20"/>
                <w:szCs w:val="20"/>
              </w:rPr>
              <w:t>0</w:t>
            </w:r>
          </w:p>
        </w:tc>
        <w:tc>
          <w:tcPr>
            <w:tcW w:w="263" w:type="pct"/>
          </w:tcPr>
          <w:p w14:paraId="1F8567EF" w14:textId="77777777" w:rsidR="00247AD2" w:rsidRPr="00672714" w:rsidRDefault="00247AD2" w:rsidP="00672714">
            <w:pPr>
              <w:pStyle w:val="BodyText"/>
              <w:rPr>
                <w:sz w:val="20"/>
                <w:szCs w:val="20"/>
              </w:rPr>
            </w:pPr>
            <w:r w:rsidRPr="00672714">
              <w:rPr>
                <w:sz w:val="20"/>
                <w:szCs w:val="20"/>
              </w:rPr>
              <w:t>0</w:t>
            </w:r>
          </w:p>
        </w:tc>
        <w:tc>
          <w:tcPr>
            <w:tcW w:w="263" w:type="pct"/>
          </w:tcPr>
          <w:p w14:paraId="5BF10447" w14:textId="77777777" w:rsidR="00247AD2" w:rsidRPr="00672714" w:rsidRDefault="00247AD2" w:rsidP="00672714">
            <w:pPr>
              <w:pStyle w:val="BodyText"/>
              <w:rPr>
                <w:sz w:val="20"/>
                <w:szCs w:val="20"/>
              </w:rPr>
            </w:pPr>
            <w:r w:rsidRPr="00672714">
              <w:rPr>
                <w:sz w:val="20"/>
                <w:szCs w:val="20"/>
              </w:rPr>
              <w:t>0</w:t>
            </w:r>
          </w:p>
        </w:tc>
        <w:tc>
          <w:tcPr>
            <w:tcW w:w="263" w:type="pct"/>
          </w:tcPr>
          <w:p w14:paraId="483E0A6F" w14:textId="77777777" w:rsidR="00247AD2" w:rsidRPr="00672714" w:rsidRDefault="00247AD2" w:rsidP="00672714">
            <w:pPr>
              <w:pStyle w:val="BodyText"/>
              <w:rPr>
                <w:sz w:val="20"/>
                <w:szCs w:val="20"/>
              </w:rPr>
            </w:pPr>
            <w:r w:rsidRPr="00672714">
              <w:rPr>
                <w:sz w:val="20"/>
                <w:szCs w:val="20"/>
              </w:rPr>
              <w:t>0</w:t>
            </w:r>
          </w:p>
        </w:tc>
        <w:tc>
          <w:tcPr>
            <w:tcW w:w="313" w:type="pct"/>
          </w:tcPr>
          <w:p w14:paraId="0F231AB8" w14:textId="77777777" w:rsidR="00247AD2" w:rsidRPr="00672714" w:rsidRDefault="00247AD2" w:rsidP="00672714">
            <w:pPr>
              <w:pStyle w:val="BodyText"/>
              <w:rPr>
                <w:sz w:val="20"/>
                <w:szCs w:val="20"/>
              </w:rPr>
            </w:pPr>
            <w:r w:rsidRPr="00672714">
              <w:rPr>
                <w:rStyle w:val="01bodybold"/>
                <w:sz w:val="20"/>
                <w:szCs w:val="20"/>
              </w:rPr>
              <w:t xml:space="preserve">127 </w:t>
            </w:r>
          </w:p>
        </w:tc>
      </w:tr>
      <w:tr w:rsidR="006A0585" w:rsidRPr="00672714" w14:paraId="24C359BD" w14:textId="77777777" w:rsidTr="006A0585">
        <w:trPr>
          <w:trHeight w:val="396"/>
        </w:trPr>
        <w:tc>
          <w:tcPr>
            <w:tcW w:w="550" w:type="pct"/>
          </w:tcPr>
          <w:p w14:paraId="285B36E2" w14:textId="77777777" w:rsidR="00247AD2" w:rsidRPr="00672714" w:rsidRDefault="00247AD2" w:rsidP="00672714">
            <w:pPr>
              <w:pStyle w:val="BodyText"/>
              <w:rPr>
                <w:sz w:val="20"/>
                <w:szCs w:val="20"/>
              </w:rPr>
            </w:pPr>
            <w:r w:rsidRPr="00672714">
              <w:rPr>
                <w:sz w:val="20"/>
                <w:szCs w:val="20"/>
              </w:rPr>
              <w:t>EL2</w:t>
            </w:r>
          </w:p>
        </w:tc>
        <w:tc>
          <w:tcPr>
            <w:tcW w:w="288" w:type="pct"/>
          </w:tcPr>
          <w:p w14:paraId="4E553918" w14:textId="77777777" w:rsidR="00247AD2" w:rsidRPr="00672714" w:rsidRDefault="00247AD2" w:rsidP="00672714">
            <w:pPr>
              <w:pStyle w:val="BodyText"/>
              <w:rPr>
                <w:sz w:val="20"/>
                <w:szCs w:val="20"/>
              </w:rPr>
            </w:pPr>
            <w:r w:rsidRPr="00672714">
              <w:rPr>
                <w:sz w:val="20"/>
                <w:szCs w:val="20"/>
              </w:rPr>
              <w:t>496</w:t>
            </w:r>
          </w:p>
        </w:tc>
        <w:tc>
          <w:tcPr>
            <w:tcW w:w="275" w:type="pct"/>
          </w:tcPr>
          <w:p w14:paraId="367C2204" w14:textId="77777777" w:rsidR="00247AD2" w:rsidRPr="00672714" w:rsidRDefault="00247AD2" w:rsidP="00672714">
            <w:pPr>
              <w:pStyle w:val="BodyText"/>
              <w:rPr>
                <w:sz w:val="20"/>
                <w:szCs w:val="20"/>
              </w:rPr>
            </w:pPr>
            <w:r w:rsidRPr="00672714">
              <w:rPr>
                <w:sz w:val="20"/>
                <w:szCs w:val="20"/>
              </w:rPr>
              <w:t>13</w:t>
            </w:r>
          </w:p>
        </w:tc>
        <w:tc>
          <w:tcPr>
            <w:tcW w:w="288" w:type="pct"/>
          </w:tcPr>
          <w:p w14:paraId="5331B431" w14:textId="77777777" w:rsidR="00247AD2" w:rsidRPr="00672714" w:rsidRDefault="00247AD2" w:rsidP="00672714">
            <w:pPr>
              <w:pStyle w:val="BodyText"/>
              <w:rPr>
                <w:sz w:val="20"/>
                <w:szCs w:val="20"/>
              </w:rPr>
            </w:pPr>
            <w:r w:rsidRPr="00672714">
              <w:rPr>
                <w:sz w:val="20"/>
                <w:szCs w:val="20"/>
              </w:rPr>
              <w:t>509</w:t>
            </w:r>
          </w:p>
        </w:tc>
        <w:tc>
          <w:tcPr>
            <w:tcW w:w="313" w:type="pct"/>
          </w:tcPr>
          <w:p w14:paraId="34DA933E" w14:textId="77777777" w:rsidR="00247AD2" w:rsidRPr="00672714" w:rsidRDefault="00247AD2" w:rsidP="00672714">
            <w:pPr>
              <w:pStyle w:val="BodyText"/>
              <w:rPr>
                <w:sz w:val="20"/>
                <w:szCs w:val="20"/>
              </w:rPr>
            </w:pPr>
            <w:r w:rsidRPr="00672714">
              <w:rPr>
                <w:sz w:val="20"/>
                <w:szCs w:val="20"/>
              </w:rPr>
              <w:t>464</w:t>
            </w:r>
          </w:p>
        </w:tc>
        <w:tc>
          <w:tcPr>
            <w:tcW w:w="288" w:type="pct"/>
          </w:tcPr>
          <w:p w14:paraId="404F8A64" w14:textId="77777777" w:rsidR="00247AD2" w:rsidRPr="00672714" w:rsidRDefault="00247AD2" w:rsidP="00672714">
            <w:pPr>
              <w:pStyle w:val="BodyText"/>
              <w:rPr>
                <w:sz w:val="20"/>
                <w:szCs w:val="20"/>
              </w:rPr>
            </w:pPr>
            <w:r w:rsidRPr="00672714">
              <w:rPr>
                <w:sz w:val="20"/>
                <w:szCs w:val="20"/>
              </w:rPr>
              <w:t>50</w:t>
            </w:r>
          </w:p>
        </w:tc>
        <w:tc>
          <w:tcPr>
            <w:tcW w:w="313" w:type="pct"/>
          </w:tcPr>
          <w:p w14:paraId="467CE223" w14:textId="77777777" w:rsidR="00247AD2" w:rsidRPr="00672714" w:rsidRDefault="00247AD2" w:rsidP="00672714">
            <w:pPr>
              <w:pStyle w:val="BodyText"/>
              <w:rPr>
                <w:sz w:val="20"/>
                <w:szCs w:val="20"/>
              </w:rPr>
            </w:pPr>
            <w:r w:rsidRPr="00672714">
              <w:rPr>
                <w:sz w:val="20"/>
                <w:szCs w:val="20"/>
              </w:rPr>
              <w:t>514</w:t>
            </w:r>
          </w:p>
        </w:tc>
        <w:tc>
          <w:tcPr>
            <w:tcW w:w="265" w:type="pct"/>
          </w:tcPr>
          <w:p w14:paraId="3FFC4151" w14:textId="77777777" w:rsidR="00247AD2" w:rsidRPr="00672714" w:rsidRDefault="00247AD2" w:rsidP="00672714">
            <w:pPr>
              <w:pStyle w:val="BodyText"/>
              <w:rPr>
                <w:sz w:val="20"/>
                <w:szCs w:val="20"/>
              </w:rPr>
            </w:pPr>
            <w:r w:rsidRPr="00672714">
              <w:rPr>
                <w:sz w:val="20"/>
                <w:szCs w:val="20"/>
              </w:rPr>
              <w:t>0</w:t>
            </w:r>
          </w:p>
        </w:tc>
        <w:tc>
          <w:tcPr>
            <w:tcW w:w="265" w:type="pct"/>
          </w:tcPr>
          <w:p w14:paraId="4B6289C8" w14:textId="77777777" w:rsidR="00247AD2" w:rsidRPr="00672714" w:rsidRDefault="00247AD2" w:rsidP="00672714">
            <w:pPr>
              <w:pStyle w:val="BodyText"/>
              <w:rPr>
                <w:sz w:val="20"/>
                <w:szCs w:val="20"/>
              </w:rPr>
            </w:pPr>
            <w:r w:rsidRPr="00672714">
              <w:rPr>
                <w:sz w:val="20"/>
                <w:szCs w:val="20"/>
              </w:rPr>
              <w:t>0</w:t>
            </w:r>
          </w:p>
        </w:tc>
        <w:tc>
          <w:tcPr>
            <w:tcW w:w="265" w:type="pct"/>
          </w:tcPr>
          <w:p w14:paraId="1E4C90D4" w14:textId="77777777" w:rsidR="00247AD2" w:rsidRPr="00672714" w:rsidRDefault="00247AD2" w:rsidP="00672714">
            <w:pPr>
              <w:pStyle w:val="BodyText"/>
              <w:rPr>
                <w:sz w:val="20"/>
                <w:szCs w:val="20"/>
              </w:rPr>
            </w:pPr>
            <w:r w:rsidRPr="00672714">
              <w:rPr>
                <w:sz w:val="20"/>
                <w:szCs w:val="20"/>
              </w:rPr>
              <w:t>0</w:t>
            </w:r>
          </w:p>
        </w:tc>
        <w:tc>
          <w:tcPr>
            <w:tcW w:w="263" w:type="pct"/>
          </w:tcPr>
          <w:p w14:paraId="7A5CE051" w14:textId="77777777" w:rsidR="00247AD2" w:rsidRPr="00672714" w:rsidRDefault="00247AD2" w:rsidP="00672714">
            <w:pPr>
              <w:pStyle w:val="BodyText"/>
              <w:rPr>
                <w:sz w:val="20"/>
                <w:szCs w:val="20"/>
              </w:rPr>
            </w:pPr>
            <w:r w:rsidRPr="00672714">
              <w:rPr>
                <w:sz w:val="20"/>
                <w:szCs w:val="20"/>
              </w:rPr>
              <w:t>0</w:t>
            </w:r>
          </w:p>
        </w:tc>
        <w:tc>
          <w:tcPr>
            <w:tcW w:w="263" w:type="pct"/>
          </w:tcPr>
          <w:p w14:paraId="58167252" w14:textId="77777777" w:rsidR="00247AD2" w:rsidRPr="00672714" w:rsidRDefault="00247AD2" w:rsidP="00672714">
            <w:pPr>
              <w:pStyle w:val="BodyText"/>
              <w:rPr>
                <w:sz w:val="20"/>
                <w:szCs w:val="20"/>
              </w:rPr>
            </w:pPr>
            <w:r w:rsidRPr="00672714">
              <w:rPr>
                <w:sz w:val="20"/>
                <w:szCs w:val="20"/>
              </w:rPr>
              <w:t>0</w:t>
            </w:r>
          </w:p>
        </w:tc>
        <w:tc>
          <w:tcPr>
            <w:tcW w:w="263" w:type="pct"/>
          </w:tcPr>
          <w:p w14:paraId="702C8708" w14:textId="77777777" w:rsidR="00247AD2" w:rsidRPr="00672714" w:rsidRDefault="00247AD2" w:rsidP="00672714">
            <w:pPr>
              <w:pStyle w:val="BodyText"/>
              <w:rPr>
                <w:sz w:val="20"/>
                <w:szCs w:val="20"/>
              </w:rPr>
            </w:pPr>
            <w:r w:rsidRPr="00672714">
              <w:rPr>
                <w:sz w:val="20"/>
                <w:szCs w:val="20"/>
              </w:rPr>
              <w:t>0</w:t>
            </w:r>
          </w:p>
        </w:tc>
        <w:tc>
          <w:tcPr>
            <w:tcW w:w="263" w:type="pct"/>
          </w:tcPr>
          <w:p w14:paraId="7745368A" w14:textId="77777777" w:rsidR="00247AD2" w:rsidRPr="00672714" w:rsidRDefault="00247AD2" w:rsidP="00672714">
            <w:pPr>
              <w:pStyle w:val="BodyText"/>
              <w:rPr>
                <w:sz w:val="20"/>
                <w:szCs w:val="20"/>
              </w:rPr>
            </w:pPr>
            <w:r w:rsidRPr="00672714">
              <w:rPr>
                <w:sz w:val="20"/>
                <w:szCs w:val="20"/>
              </w:rPr>
              <w:t>0</w:t>
            </w:r>
          </w:p>
        </w:tc>
        <w:tc>
          <w:tcPr>
            <w:tcW w:w="263" w:type="pct"/>
          </w:tcPr>
          <w:p w14:paraId="354A370E" w14:textId="77777777" w:rsidR="00247AD2" w:rsidRPr="00672714" w:rsidRDefault="00247AD2" w:rsidP="00672714">
            <w:pPr>
              <w:pStyle w:val="BodyText"/>
              <w:rPr>
                <w:sz w:val="20"/>
                <w:szCs w:val="20"/>
              </w:rPr>
            </w:pPr>
            <w:r w:rsidRPr="00672714">
              <w:rPr>
                <w:sz w:val="20"/>
                <w:szCs w:val="20"/>
              </w:rPr>
              <w:t>0</w:t>
            </w:r>
          </w:p>
        </w:tc>
        <w:tc>
          <w:tcPr>
            <w:tcW w:w="263" w:type="pct"/>
          </w:tcPr>
          <w:p w14:paraId="7B2EF5B7" w14:textId="77777777" w:rsidR="00247AD2" w:rsidRPr="00672714" w:rsidRDefault="00247AD2" w:rsidP="00672714">
            <w:pPr>
              <w:pStyle w:val="BodyText"/>
              <w:rPr>
                <w:sz w:val="20"/>
                <w:szCs w:val="20"/>
              </w:rPr>
            </w:pPr>
            <w:r w:rsidRPr="00672714">
              <w:rPr>
                <w:sz w:val="20"/>
                <w:szCs w:val="20"/>
              </w:rPr>
              <w:t>0</w:t>
            </w:r>
          </w:p>
        </w:tc>
        <w:tc>
          <w:tcPr>
            <w:tcW w:w="313" w:type="pct"/>
          </w:tcPr>
          <w:p w14:paraId="53956152" w14:textId="77777777" w:rsidR="00247AD2" w:rsidRPr="00672714" w:rsidRDefault="00247AD2" w:rsidP="00672714">
            <w:pPr>
              <w:pStyle w:val="BodyText"/>
              <w:rPr>
                <w:sz w:val="20"/>
                <w:szCs w:val="20"/>
              </w:rPr>
            </w:pPr>
            <w:r w:rsidRPr="00672714">
              <w:rPr>
                <w:rStyle w:val="01bodybold"/>
                <w:sz w:val="20"/>
                <w:szCs w:val="20"/>
              </w:rPr>
              <w:t xml:space="preserve">1,023 </w:t>
            </w:r>
          </w:p>
        </w:tc>
      </w:tr>
      <w:tr w:rsidR="006A0585" w:rsidRPr="00672714" w14:paraId="7AA9AD44" w14:textId="77777777" w:rsidTr="006A0585">
        <w:trPr>
          <w:trHeight w:val="396"/>
        </w:trPr>
        <w:tc>
          <w:tcPr>
            <w:tcW w:w="550" w:type="pct"/>
          </w:tcPr>
          <w:p w14:paraId="75565E0E" w14:textId="77777777" w:rsidR="00247AD2" w:rsidRPr="00672714" w:rsidRDefault="00247AD2" w:rsidP="00672714">
            <w:pPr>
              <w:pStyle w:val="BodyText"/>
              <w:rPr>
                <w:sz w:val="20"/>
                <w:szCs w:val="20"/>
              </w:rPr>
            </w:pPr>
            <w:r w:rsidRPr="00672714">
              <w:rPr>
                <w:sz w:val="20"/>
                <w:szCs w:val="20"/>
              </w:rPr>
              <w:t>EL1</w:t>
            </w:r>
          </w:p>
        </w:tc>
        <w:tc>
          <w:tcPr>
            <w:tcW w:w="288" w:type="pct"/>
          </w:tcPr>
          <w:p w14:paraId="0D633A59" w14:textId="77777777" w:rsidR="00247AD2" w:rsidRPr="00672714" w:rsidRDefault="00247AD2" w:rsidP="00672714">
            <w:pPr>
              <w:pStyle w:val="BodyText"/>
              <w:rPr>
                <w:sz w:val="20"/>
                <w:szCs w:val="20"/>
              </w:rPr>
            </w:pPr>
            <w:r w:rsidRPr="00672714">
              <w:rPr>
                <w:sz w:val="20"/>
                <w:szCs w:val="20"/>
              </w:rPr>
              <w:t>1,098</w:t>
            </w:r>
          </w:p>
        </w:tc>
        <w:tc>
          <w:tcPr>
            <w:tcW w:w="275" w:type="pct"/>
          </w:tcPr>
          <w:p w14:paraId="32C2142B" w14:textId="77777777" w:rsidR="00247AD2" w:rsidRPr="00672714" w:rsidRDefault="00247AD2" w:rsidP="00672714">
            <w:pPr>
              <w:pStyle w:val="BodyText"/>
              <w:rPr>
                <w:sz w:val="20"/>
                <w:szCs w:val="20"/>
              </w:rPr>
            </w:pPr>
            <w:r w:rsidRPr="00672714">
              <w:rPr>
                <w:sz w:val="20"/>
                <w:szCs w:val="20"/>
              </w:rPr>
              <w:t>43</w:t>
            </w:r>
          </w:p>
        </w:tc>
        <w:tc>
          <w:tcPr>
            <w:tcW w:w="288" w:type="pct"/>
          </w:tcPr>
          <w:p w14:paraId="5A8C7310" w14:textId="77777777" w:rsidR="00247AD2" w:rsidRPr="00672714" w:rsidRDefault="00247AD2" w:rsidP="00672714">
            <w:pPr>
              <w:pStyle w:val="BodyText"/>
              <w:rPr>
                <w:sz w:val="20"/>
                <w:szCs w:val="20"/>
              </w:rPr>
            </w:pPr>
            <w:r w:rsidRPr="00672714">
              <w:rPr>
                <w:sz w:val="20"/>
                <w:szCs w:val="20"/>
              </w:rPr>
              <w:t>1,141</w:t>
            </w:r>
          </w:p>
        </w:tc>
        <w:tc>
          <w:tcPr>
            <w:tcW w:w="313" w:type="pct"/>
          </w:tcPr>
          <w:p w14:paraId="5927048D" w14:textId="77777777" w:rsidR="00247AD2" w:rsidRPr="00672714" w:rsidRDefault="00247AD2" w:rsidP="00672714">
            <w:pPr>
              <w:pStyle w:val="BodyText"/>
              <w:rPr>
                <w:sz w:val="20"/>
                <w:szCs w:val="20"/>
              </w:rPr>
            </w:pPr>
            <w:r w:rsidRPr="00672714">
              <w:rPr>
                <w:sz w:val="20"/>
                <w:szCs w:val="20"/>
              </w:rPr>
              <w:t>1,424</w:t>
            </w:r>
          </w:p>
        </w:tc>
        <w:tc>
          <w:tcPr>
            <w:tcW w:w="288" w:type="pct"/>
          </w:tcPr>
          <w:p w14:paraId="48E689F6" w14:textId="77777777" w:rsidR="00247AD2" w:rsidRPr="00672714" w:rsidRDefault="00247AD2" w:rsidP="00672714">
            <w:pPr>
              <w:pStyle w:val="BodyText"/>
              <w:rPr>
                <w:sz w:val="20"/>
                <w:szCs w:val="20"/>
              </w:rPr>
            </w:pPr>
            <w:r w:rsidRPr="00672714">
              <w:rPr>
                <w:sz w:val="20"/>
                <w:szCs w:val="20"/>
              </w:rPr>
              <w:t>282</w:t>
            </w:r>
          </w:p>
        </w:tc>
        <w:tc>
          <w:tcPr>
            <w:tcW w:w="313" w:type="pct"/>
          </w:tcPr>
          <w:p w14:paraId="4F477C0E" w14:textId="77777777" w:rsidR="00247AD2" w:rsidRPr="00672714" w:rsidRDefault="00247AD2" w:rsidP="00672714">
            <w:pPr>
              <w:pStyle w:val="BodyText"/>
              <w:rPr>
                <w:sz w:val="20"/>
                <w:szCs w:val="20"/>
              </w:rPr>
            </w:pPr>
            <w:r w:rsidRPr="00672714">
              <w:rPr>
                <w:sz w:val="20"/>
                <w:szCs w:val="20"/>
              </w:rPr>
              <w:t>1,706</w:t>
            </w:r>
          </w:p>
        </w:tc>
        <w:tc>
          <w:tcPr>
            <w:tcW w:w="265" w:type="pct"/>
          </w:tcPr>
          <w:p w14:paraId="046F0F30" w14:textId="77777777" w:rsidR="00247AD2" w:rsidRPr="00672714" w:rsidRDefault="00247AD2" w:rsidP="00672714">
            <w:pPr>
              <w:pStyle w:val="BodyText"/>
              <w:rPr>
                <w:sz w:val="20"/>
                <w:szCs w:val="20"/>
              </w:rPr>
            </w:pPr>
            <w:r w:rsidRPr="00672714">
              <w:rPr>
                <w:sz w:val="20"/>
                <w:szCs w:val="20"/>
              </w:rPr>
              <w:t>7</w:t>
            </w:r>
          </w:p>
        </w:tc>
        <w:tc>
          <w:tcPr>
            <w:tcW w:w="265" w:type="pct"/>
          </w:tcPr>
          <w:p w14:paraId="33A65FB5" w14:textId="77777777" w:rsidR="00247AD2" w:rsidRPr="00672714" w:rsidRDefault="00247AD2" w:rsidP="00672714">
            <w:pPr>
              <w:pStyle w:val="BodyText"/>
              <w:rPr>
                <w:sz w:val="20"/>
                <w:szCs w:val="20"/>
              </w:rPr>
            </w:pPr>
            <w:r w:rsidRPr="00672714">
              <w:rPr>
                <w:sz w:val="20"/>
                <w:szCs w:val="20"/>
              </w:rPr>
              <w:t>1</w:t>
            </w:r>
          </w:p>
        </w:tc>
        <w:tc>
          <w:tcPr>
            <w:tcW w:w="265" w:type="pct"/>
          </w:tcPr>
          <w:p w14:paraId="10B2703C" w14:textId="77777777" w:rsidR="00247AD2" w:rsidRPr="00672714" w:rsidRDefault="00247AD2" w:rsidP="00672714">
            <w:pPr>
              <w:pStyle w:val="BodyText"/>
              <w:rPr>
                <w:sz w:val="20"/>
                <w:szCs w:val="20"/>
              </w:rPr>
            </w:pPr>
            <w:r w:rsidRPr="00672714">
              <w:rPr>
                <w:sz w:val="20"/>
                <w:szCs w:val="20"/>
              </w:rPr>
              <w:t>8</w:t>
            </w:r>
          </w:p>
        </w:tc>
        <w:tc>
          <w:tcPr>
            <w:tcW w:w="263" w:type="pct"/>
          </w:tcPr>
          <w:p w14:paraId="28885A3B" w14:textId="77777777" w:rsidR="00247AD2" w:rsidRPr="00672714" w:rsidRDefault="00247AD2" w:rsidP="00672714">
            <w:pPr>
              <w:pStyle w:val="BodyText"/>
              <w:rPr>
                <w:sz w:val="20"/>
                <w:szCs w:val="20"/>
              </w:rPr>
            </w:pPr>
            <w:r w:rsidRPr="00672714">
              <w:rPr>
                <w:sz w:val="20"/>
                <w:szCs w:val="20"/>
              </w:rPr>
              <w:t>0</w:t>
            </w:r>
          </w:p>
        </w:tc>
        <w:tc>
          <w:tcPr>
            <w:tcW w:w="263" w:type="pct"/>
          </w:tcPr>
          <w:p w14:paraId="11FA5843" w14:textId="77777777" w:rsidR="00247AD2" w:rsidRPr="00672714" w:rsidRDefault="00247AD2" w:rsidP="00672714">
            <w:pPr>
              <w:pStyle w:val="BodyText"/>
              <w:rPr>
                <w:sz w:val="20"/>
                <w:szCs w:val="20"/>
              </w:rPr>
            </w:pPr>
            <w:r w:rsidRPr="00672714">
              <w:rPr>
                <w:sz w:val="20"/>
                <w:szCs w:val="20"/>
              </w:rPr>
              <w:t>0</w:t>
            </w:r>
          </w:p>
        </w:tc>
        <w:tc>
          <w:tcPr>
            <w:tcW w:w="263" w:type="pct"/>
          </w:tcPr>
          <w:p w14:paraId="4C18B91D" w14:textId="77777777" w:rsidR="00247AD2" w:rsidRPr="00672714" w:rsidRDefault="00247AD2" w:rsidP="00672714">
            <w:pPr>
              <w:pStyle w:val="BodyText"/>
              <w:rPr>
                <w:sz w:val="20"/>
                <w:szCs w:val="20"/>
              </w:rPr>
            </w:pPr>
            <w:r w:rsidRPr="00672714">
              <w:rPr>
                <w:sz w:val="20"/>
                <w:szCs w:val="20"/>
              </w:rPr>
              <w:t>0</w:t>
            </w:r>
          </w:p>
        </w:tc>
        <w:tc>
          <w:tcPr>
            <w:tcW w:w="263" w:type="pct"/>
          </w:tcPr>
          <w:p w14:paraId="6B825EE8" w14:textId="77777777" w:rsidR="00247AD2" w:rsidRPr="00672714" w:rsidRDefault="00247AD2" w:rsidP="00672714">
            <w:pPr>
              <w:pStyle w:val="BodyText"/>
              <w:rPr>
                <w:sz w:val="20"/>
                <w:szCs w:val="20"/>
              </w:rPr>
            </w:pPr>
            <w:r w:rsidRPr="00672714">
              <w:rPr>
                <w:sz w:val="20"/>
                <w:szCs w:val="20"/>
              </w:rPr>
              <w:t>0</w:t>
            </w:r>
          </w:p>
        </w:tc>
        <w:tc>
          <w:tcPr>
            <w:tcW w:w="263" w:type="pct"/>
          </w:tcPr>
          <w:p w14:paraId="037FCE2A" w14:textId="77777777" w:rsidR="00247AD2" w:rsidRPr="00672714" w:rsidRDefault="00247AD2" w:rsidP="00672714">
            <w:pPr>
              <w:pStyle w:val="BodyText"/>
              <w:rPr>
                <w:sz w:val="20"/>
                <w:szCs w:val="20"/>
              </w:rPr>
            </w:pPr>
            <w:r w:rsidRPr="00672714">
              <w:rPr>
                <w:sz w:val="20"/>
                <w:szCs w:val="20"/>
              </w:rPr>
              <w:t>0</w:t>
            </w:r>
          </w:p>
        </w:tc>
        <w:tc>
          <w:tcPr>
            <w:tcW w:w="263" w:type="pct"/>
          </w:tcPr>
          <w:p w14:paraId="5914D9AD" w14:textId="77777777" w:rsidR="00247AD2" w:rsidRPr="00672714" w:rsidRDefault="00247AD2" w:rsidP="00672714">
            <w:pPr>
              <w:pStyle w:val="BodyText"/>
              <w:rPr>
                <w:sz w:val="20"/>
                <w:szCs w:val="20"/>
              </w:rPr>
            </w:pPr>
            <w:r w:rsidRPr="00672714">
              <w:rPr>
                <w:sz w:val="20"/>
                <w:szCs w:val="20"/>
              </w:rPr>
              <w:t>0</w:t>
            </w:r>
          </w:p>
        </w:tc>
        <w:tc>
          <w:tcPr>
            <w:tcW w:w="313" w:type="pct"/>
          </w:tcPr>
          <w:p w14:paraId="0FEFB970" w14:textId="77777777" w:rsidR="00247AD2" w:rsidRPr="00672714" w:rsidRDefault="00247AD2" w:rsidP="00672714">
            <w:pPr>
              <w:pStyle w:val="BodyText"/>
              <w:rPr>
                <w:sz w:val="20"/>
                <w:szCs w:val="20"/>
              </w:rPr>
            </w:pPr>
            <w:r w:rsidRPr="00672714">
              <w:rPr>
                <w:rStyle w:val="01bodybold"/>
                <w:sz w:val="20"/>
                <w:szCs w:val="20"/>
              </w:rPr>
              <w:t xml:space="preserve">2,855 </w:t>
            </w:r>
          </w:p>
        </w:tc>
      </w:tr>
      <w:tr w:rsidR="006A0585" w:rsidRPr="00672714" w14:paraId="2B081091" w14:textId="77777777" w:rsidTr="006A0585">
        <w:trPr>
          <w:trHeight w:val="396"/>
        </w:trPr>
        <w:tc>
          <w:tcPr>
            <w:tcW w:w="550" w:type="pct"/>
          </w:tcPr>
          <w:p w14:paraId="5A68F0A7" w14:textId="77777777" w:rsidR="00247AD2" w:rsidRPr="00672714" w:rsidRDefault="00247AD2" w:rsidP="00672714">
            <w:pPr>
              <w:pStyle w:val="BodyText"/>
              <w:rPr>
                <w:sz w:val="20"/>
                <w:szCs w:val="20"/>
              </w:rPr>
            </w:pPr>
            <w:r w:rsidRPr="00672714">
              <w:rPr>
                <w:sz w:val="20"/>
                <w:szCs w:val="20"/>
              </w:rPr>
              <w:t>APS6</w:t>
            </w:r>
          </w:p>
        </w:tc>
        <w:tc>
          <w:tcPr>
            <w:tcW w:w="288" w:type="pct"/>
          </w:tcPr>
          <w:p w14:paraId="06E526B1" w14:textId="77777777" w:rsidR="00247AD2" w:rsidRPr="00672714" w:rsidRDefault="00247AD2" w:rsidP="00672714">
            <w:pPr>
              <w:pStyle w:val="BodyText"/>
              <w:rPr>
                <w:sz w:val="20"/>
                <w:szCs w:val="20"/>
              </w:rPr>
            </w:pPr>
            <w:r w:rsidRPr="00672714">
              <w:rPr>
                <w:sz w:val="20"/>
                <w:szCs w:val="20"/>
              </w:rPr>
              <w:t>1,858</w:t>
            </w:r>
          </w:p>
        </w:tc>
        <w:tc>
          <w:tcPr>
            <w:tcW w:w="275" w:type="pct"/>
          </w:tcPr>
          <w:p w14:paraId="2009F69F" w14:textId="77777777" w:rsidR="00247AD2" w:rsidRPr="00672714" w:rsidRDefault="00247AD2" w:rsidP="00672714">
            <w:pPr>
              <w:pStyle w:val="BodyText"/>
              <w:rPr>
                <w:sz w:val="20"/>
                <w:szCs w:val="20"/>
              </w:rPr>
            </w:pPr>
            <w:r w:rsidRPr="00672714">
              <w:rPr>
                <w:sz w:val="20"/>
                <w:szCs w:val="20"/>
              </w:rPr>
              <w:t>114</w:t>
            </w:r>
          </w:p>
        </w:tc>
        <w:tc>
          <w:tcPr>
            <w:tcW w:w="288" w:type="pct"/>
          </w:tcPr>
          <w:p w14:paraId="3946EC95" w14:textId="77777777" w:rsidR="00247AD2" w:rsidRPr="00672714" w:rsidRDefault="00247AD2" w:rsidP="00672714">
            <w:pPr>
              <w:pStyle w:val="BodyText"/>
              <w:rPr>
                <w:sz w:val="20"/>
                <w:szCs w:val="20"/>
              </w:rPr>
            </w:pPr>
            <w:r w:rsidRPr="00672714">
              <w:rPr>
                <w:sz w:val="20"/>
                <w:szCs w:val="20"/>
              </w:rPr>
              <w:t>1,972</w:t>
            </w:r>
          </w:p>
        </w:tc>
        <w:tc>
          <w:tcPr>
            <w:tcW w:w="313" w:type="pct"/>
          </w:tcPr>
          <w:p w14:paraId="70EEDA28" w14:textId="77777777" w:rsidR="00247AD2" w:rsidRPr="00672714" w:rsidRDefault="00247AD2" w:rsidP="00672714">
            <w:pPr>
              <w:pStyle w:val="BodyText"/>
              <w:rPr>
                <w:sz w:val="20"/>
                <w:szCs w:val="20"/>
              </w:rPr>
            </w:pPr>
            <w:r w:rsidRPr="00672714">
              <w:rPr>
                <w:sz w:val="20"/>
                <w:szCs w:val="20"/>
              </w:rPr>
              <w:t>2,996</w:t>
            </w:r>
          </w:p>
        </w:tc>
        <w:tc>
          <w:tcPr>
            <w:tcW w:w="288" w:type="pct"/>
          </w:tcPr>
          <w:p w14:paraId="16341C0E" w14:textId="77777777" w:rsidR="00247AD2" w:rsidRPr="00672714" w:rsidRDefault="00247AD2" w:rsidP="00672714">
            <w:pPr>
              <w:pStyle w:val="BodyText"/>
              <w:rPr>
                <w:sz w:val="20"/>
                <w:szCs w:val="20"/>
              </w:rPr>
            </w:pPr>
            <w:r w:rsidRPr="00672714">
              <w:rPr>
                <w:sz w:val="20"/>
                <w:szCs w:val="20"/>
              </w:rPr>
              <w:t>1,054</w:t>
            </w:r>
          </w:p>
        </w:tc>
        <w:tc>
          <w:tcPr>
            <w:tcW w:w="313" w:type="pct"/>
          </w:tcPr>
          <w:p w14:paraId="682511BC" w14:textId="77777777" w:rsidR="00247AD2" w:rsidRPr="00672714" w:rsidRDefault="00247AD2" w:rsidP="00672714">
            <w:pPr>
              <w:pStyle w:val="BodyText"/>
              <w:rPr>
                <w:sz w:val="20"/>
                <w:szCs w:val="20"/>
              </w:rPr>
            </w:pPr>
            <w:r w:rsidRPr="00672714">
              <w:rPr>
                <w:sz w:val="20"/>
                <w:szCs w:val="20"/>
              </w:rPr>
              <w:t>4,050</w:t>
            </w:r>
          </w:p>
        </w:tc>
        <w:tc>
          <w:tcPr>
            <w:tcW w:w="265" w:type="pct"/>
          </w:tcPr>
          <w:p w14:paraId="71265287" w14:textId="77777777" w:rsidR="00247AD2" w:rsidRPr="00672714" w:rsidRDefault="00247AD2" w:rsidP="00672714">
            <w:pPr>
              <w:pStyle w:val="BodyText"/>
              <w:rPr>
                <w:sz w:val="20"/>
                <w:szCs w:val="20"/>
              </w:rPr>
            </w:pPr>
            <w:r w:rsidRPr="00672714">
              <w:rPr>
                <w:sz w:val="20"/>
                <w:szCs w:val="20"/>
              </w:rPr>
              <w:t>15</w:t>
            </w:r>
          </w:p>
        </w:tc>
        <w:tc>
          <w:tcPr>
            <w:tcW w:w="265" w:type="pct"/>
          </w:tcPr>
          <w:p w14:paraId="66390132" w14:textId="77777777" w:rsidR="00247AD2" w:rsidRPr="00672714" w:rsidRDefault="00247AD2" w:rsidP="00672714">
            <w:pPr>
              <w:pStyle w:val="BodyText"/>
              <w:rPr>
                <w:sz w:val="20"/>
                <w:szCs w:val="20"/>
              </w:rPr>
            </w:pPr>
            <w:r w:rsidRPr="00672714">
              <w:rPr>
                <w:sz w:val="20"/>
                <w:szCs w:val="20"/>
              </w:rPr>
              <w:t>7</w:t>
            </w:r>
          </w:p>
        </w:tc>
        <w:tc>
          <w:tcPr>
            <w:tcW w:w="265" w:type="pct"/>
          </w:tcPr>
          <w:p w14:paraId="33EFDA9E" w14:textId="77777777" w:rsidR="00247AD2" w:rsidRPr="00672714" w:rsidRDefault="00247AD2" w:rsidP="00672714">
            <w:pPr>
              <w:pStyle w:val="BodyText"/>
              <w:rPr>
                <w:sz w:val="20"/>
                <w:szCs w:val="20"/>
              </w:rPr>
            </w:pPr>
            <w:r w:rsidRPr="00672714">
              <w:rPr>
                <w:sz w:val="20"/>
                <w:szCs w:val="20"/>
              </w:rPr>
              <w:t>22</w:t>
            </w:r>
          </w:p>
        </w:tc>
        <w:tc>
          <w:tcPr>
            <w:tcW w:w="263" w:type="pct"/>
          </w:tcPr>
          <w:p w14:paraId="13A2B81E" w14:textId="77777777" w:rsidR="00247AD2" w:rsidRPr="00672714" w:rsidRDefault="00247AD2" w:rsidP="00672714">
            <w:pPr>
              <w:pStyle w:val="BodyText"/>
              <w:rPr>
                <w:sz w:val="20"/>
                <w:szCs w:val="20"/>
              </w:rPr>
            </w:pPr>
            <w:r w:rsidRPr="00672714">
              <w:rPr>
                <w:sz w:val="20"/>
                <w:szCs w:val="20"/>
              </w:rPr>
              <w:t>0</w:t>
            </w:r>
          </w:p>
        </w:tc>
        <w:tc>
          <w:tcPr>
            <w:tcW w:w="263" w:type="pct"/>
          </w:tcPr>
          <w:p w14:paraId="647E0CC5" w14:textId="77777777" w:rsidR="00247AD2" w:rsidRPr="00672714" w:rsidRDefault="00247AD2" w:rsidP="00672714">
            <w:pPr>
              <w:pStyle w:val="BodyText"/>
              <w:rPr>
                <w:sz w:val="20"/>
                <w:szCs w:val="20"/>
              </w:rPr>
            </w:pPr>
            <w:r w:rsidRPr="00672714">
              <w:rPr>
                <w:sz w:val="20"/>
                <w:szCs w:val="20"/>
              </w:rPr>
              <w:t>0</w:t>
            </w:r>
          </w:p>
        </w:tc>
        <w:tc>
          <w:tcPr>
            <w:tcW w:w="263" w:type="pct"/>
          </w:tcPr>
          <w:p w14:paraId="52BCD268" w14:textId="77777777" w:rsidR="00247AD2" w:rsidRPr="00672714" w:rsidRDefault="00247AD2" w:rsidP="00672714">
            <w:pPr>
              <w:pStyle w:val="BodyText"/>
              <w:rPr>
                <w:sz w:val="20"/>
                <w:szCs w:val="20"/>
              </w:rPr>
            </w:pPr>
            <w:r w:rsidRPr="00672714">
              <w:rPr>
                <w:sz w:val="20"/>
                <w:szCs w:val="20"/>
              </w:rPr>
              <w:t>0</w:t>
            </w:r>
          </w:p>
        </w:tc>
        <w:tc>
          <w:tcPr>
            <w:tcW w:w="263" w:type="pct"/>
          </w:tcPr>
          <w:p w14:paraId="30E0CEC0" w14:textId="77777777" w:rsidR="00247AD2" w:rsidRPr="00672714" w:rsidRDefault="00247AD2" w:rsidP="00672714">
            <w:pPr>
              <w:pStyle w:val="BodyText"/>
              <w:rPr>
                <w:sz w:val="20"/>
                <w:szCs w:val="20"/>
              </w:rPr>
            </w:pPr>
            <w:r w:rsidRPr="00672714">
              <w:rPr>
                <w:sz w:val="20"/>
                <w:szCs w:val="20"/>
              </w:rPr>
              <w:t>0</w:t>
            </w:r>
          </w:p>
        </w:tc>
        <w:tc>
          <w:tcPr>
            <w:tcW w:w="263" w:type="pct"/>
          </w:tcPr>
          <w:p w14:paraId="3B6875F7" w14:textId="77777777" w:rsidR="00247AD2" w:rsidRPr="00672714" w:rsidRDefault="00247AD2" w:rsidP="00672714">
            <w:pPr>
              <w:pStyle w:val="BodyText"/>
              <w:rPr>
                <w:sz w:val="20"/>
                <w:szCs w:val="20"/>
              </w:rPr>
            </w:pPr>
            <w:r w:rsidRPr="00672714">
              <w:rPr>
                <w:sz w:val="20"/>
                <w:szCs w:val="20"/>
              </w:rPr>
              <w:t>0</w:t>
            </w:r>
          </w:p>
        </w:tc>
        <w:tc>
          <w:tcPr>
            <w:tcW w:w="263" w:type="pct"/>
          </w:tcPr>
          <w:p w14:paraId="318252E2" w14:textId="77777777" w:rsidR="00247AD2" w:rsidRPr="00672714" w:rsidRDefault="00247AD2" w:rsidP="00672714">
            <w:pPr>
              <w:pStyle w:val="BodyText"/>
              <w:rPr>
                <w:sz w:val="20"/>
                <w:szCs w:val="20"/>
              </w:rPr>
            </w:pPr>
            <w:r w:rsidRPr="00672714">
              <w:rPr>
                <w:sz w:val="20"/>
                <w:szCs w:val="20"/>
              </w:rPr>
              <w:t>0</w:t>
            </w:r>
          </w:p>
        </w:tc>
        <w:tc>
          <w:tcPr>
            <w:tcW w:w="313" w:type="pct"/>
          </w:tcPr>
          <w:p w14:paraId="6FB26CE2" w14:textId="77777777" w:rsidR="00247AD2" w:rsidRPr="00672714" w:rsidRDefault="00247AD2" w:rsidP="00672714">
            <w:pPr>
              <w:pStyle w:val="BodyText"/>
              <w:rPr>
                <w:sz w:val="20"/>
                <w:szCs w:val="20"/>
              </w:rPr>
            </w:pPr>
            <w:r w:rsidRPr="00672714">
              <w:rPr>
                <w:rStyle w:val="01bodybold"/>
                <w:sz w:val="20"/>
                <w:szCs w:val="20"/>
              </w:rPr>
              <w:t xml:space="preserve">6,044 </w:t>
            </w:r>
          </w:p>
        </w:tc>
      </w:tr>
      <w:tr w:rsidR="006A0585" w:rsidRPr="00672714" w14:paraId="4260CBD3" w14:textId="77777777" w:rsidTr="006A0585">
        <w:trPr>
          <w:trHeight w:val="396"/>
        </w:trPr>
        <w:tc>
          <w:tcPr>
            <w:tcW w:w="550" w:type="pct"/>
          </w:tcPr>
          <w:p w14:paraId="6F7044E4" w14:textId="77777777" w:rsidR="00247AD2" w:rsidRPr="00672714" w:rsidRDefault="00247AD2" w:rsidP="00672714">
            <w:pPr>
              <w:pStyle w:val="BodyText"/>
              <w:rPr>
                <w:sz w:val="20"/>
                <w:szCs w:val="20"/>
              </w:rPr>
            </w:pPr>
            <w:r w:rsidRPr="00672714">
              <w:rPr>
                <w:sz w:val="20"/>
                <w:szCs w:val="20"/>
              </w:rPr>
              <w:lastRenderedPageBreak/>
              <w:t>APS5</w:t>
            </w:r>
          </w:p>
        </w:tc>
        <w:tc>
          <w:tcPr>
            <w:tcW w:w="288" w:type="pct"/>
          </w:tcPr>
          <w:p w14:paraId="410FE433" w14:textId="77777777" w:rsidR="00247AD2" w:rsidRPr="00672714" w:rsidRDefault="00247AD2" w:rsidP="00672714">
            <w:pPr>
              <w:pStyle w:val="BodyText"/>
              <w:rPr>
                <w:sz w:val="20"/>
                <w:szCs w:val="20"/>
              </w:rPr>
            </w:pPr>
            <w:r w:rsidRPr="00672714">
              <w:rPr>
                <w:sz w:val="20"/>
                <w:szCs w:val="20"/>
              </w:rPr>
              <w:t>1,047</w:t>
            </w:r>
          </w:p>
        </w:tc>
        <w:tc>
          <w:tcPr>
            <w:tcW w:w="275" w:type="pct"/>
          </w:tcPr>
          <w:p w14:paraId="19B25EA8" w14:textId="77777777" w:rsidR="00247AD2" w:rsidRPr="00672714" w:rsidRDefault="00247AD2" w:rsidP="00672714">
            <w:pPr>
              <w:pStyle w:val="BodyText"/>
              <w:rPr>
                <w:sz w:val="20"/>
                <w:szCs w:val="20"/>
              </w:rPr>
            </w:pPr>
            <w:r w:rsidRPr="00672714">
              <w:rPr>
                <w:sz w:val="20"/>
                <w:szCs w:val="20"/>
              </w:rPr>
              <w:t>58</w:t>
            </w:r>
          </w:p>
        </w:tc>
        <w:tc>
          <w:tcPr>
            <w:tcW w:w="288" w:type="pct"/>
          </w:tcPr>
          <w:p w14:paraId="6AE61C9C" w14:textId="77777777" w:rsidR="00247AD2" w:rsidRPr="00672714" w:rsidRDefault="00247AD2" w:rsidP="00672714">
            <w:pPr>
              <w:pStyle w:val="BodyText"/>
              <w:rPr>
                <w:sz w:val="20"/>
                <w:szCs w:val="20"/>
              </w:rPr>
            </w:pPr>
            <w:r w:rsidRPr="00672714">
              <w:rPr>
                <w:sz w:val="20"/>
                <w:szCs w:val="20"/>
              </w:rPr>
              <w:t>1,105</w:t>
            </w:r>
          </w:p>
        </w:tc>
        <w:tc>
          <w:tcPr>
            <w:tcW w:w="313" w:type="pct"/>
          </w:tcPr>
          <w:p w14:paraId="18E474C0" w14:textId="77777777" w:rsidR="00247AD2" w:rsidRPr="00672714" w:rsidRDefault="00247AD2" w:rsidP="00672714">
            <w:pPr>
              <w:pStyle w:val="BodyText"/>
              <w:rPr>
                <w:sz w:val="20"/>
                <w:szCs w:val="20"/>
              </w:rPr>
            </w:pPr>
            <w:r w:rsidRPr="00672714">
              <w:rPr>
                <w:sz w:val="20"/>
                <w:szCs w:val="20"/>
              </w:rPr>
              <w:t>1,644</w:t>
            </w:r>
          </w:p>
        </w:tc>
        <w:tc>
          <w:tcPr>
            <w:tcW w:w="288" w:type="pct"/>
          </w:tcPr>
          <w:p w14:paraId="0F5FA8C5" w14:textId="77777777" w:rsidR="00247AD2" w:rsidRPr="00672714" w:rsidRDefault="00247AD2" w:rsidP="00672714">
            <w:pPr>
              <w:pStyle w:val="BodyText"/>
              <w:rPr>
                <w:sz w:val="20"/>
                <w:szCs w:val="20"/>
              </w:rPr>
            </w:pPr>
            <w:r w:rsidRPr="00672714">
              <w:rPr>
                <w:sz w:val="20"/>
                <w:szCs w:val="20"/>
              </w:rPr>
              <w:t>513</w:t>
            </w:r>
          </w:p>
        </w:tc>
        <w:tc>
          <w:tcPr>
            <w:tcW w:w="313" w:type="pct"/>
          </w:tcPr>
          <w:p w14:paraId="63DA37D3" w14:textId="77777777" w:rsidR="00247AD2" w:rsidRPr="00672714" w:rsidRDefault="00247AD2" w:rsidP="00672714">
            <w:pPr>
              <w:pStyle w:val="BodyText"/>
              <w:rPr>
                <w:sz w:val="20"/>
                <w:szCs w:val="20"/>
              </w:rPr>
            </w:pPr>
            <w:r w:rsidRPr="00672714">
              <w:rPr>
                <w:sz w:val="20"/>
                <w:szCs w:val="20"/>
              </w:rPr>
              <w:t>2,157</w:t>
            </w:r>
          </w:p>
        </w:tc>
        <w:tc>
          <w:tcPr>
            <w:tcW w:w="265" w:type="pct"/>
          </w:tcPr>
          <w:p w14:paraId="459C8493" w14:textId="77777777" w:rsidR="00247AD2" w:rsidRPr="00672714" w:rsidRDefault="00247AD2" w:rsidP="00672714">
            <w:pPr>
              <w:pStyle w:val="BodyText"/>
              <w:rPr>
                <w:sz w:val="20"/>
                <w:szCs w:val="20"/>
              </w:rPr>
            </w:pPr>
            <w:r w:rsidRPr="00672714">
              <w:rPr>
                <w:sz w:val="20"/>
                <w:szCs w:val="20"/>
              </w:rPr>
              <w:t>24</w:t>
            </w:r>
          </w:p>
        </w:tc>
        <w:tc>
          <w:tcPr>
            <w:tcW w:w="265" w:type="pct"/>
          </w:tcPr>
          <w:p w14:paraId="2096DCF6" w14:textId="77777777" w:rsidR="00247AD2" w:rsidRPr="00672714" w:rsidRDefault="00247AD2" w:rsidP="00672714">
            <w:pPr>
              <w:pStyle w:val="BodyText"/>
              <w:rPr>
                <w:sz w:val="20"/>
                <w:szCs w:val="20"/>
              </w:rPr>
            </w:pPr>
            <w:r w:rsidRPr="00672714">
              <w:rPr>
                <w:sz w:val="20"/>
                <w:szCs w:val="20"/>
              </w:rPr>
              <w:t>5</w:t>
            </w:r>
          </w:p>
        </w:tc>
        <w:tc>
          <w:tcPr>
            <w:tcW w:w="265" w:type="pct"/>
          </w:tcPr>
          <w:p w14:paraId="56A78FE0" w14:textId="77777777" w:rsidR="00247AD2" w:rsidRPr="00672714" w:rsidRDefault="00247AD2" w:rsidP="00672714">
            <w:pPr>
              <w:pStyle w:val="BodyText"/>
              <w:rPr>
                <w:sz w:val="20"/>
                <w:szCs w:val="20"/>
              </w:rPr>
            </w:pPr>
            <w:r w:rsidRPr="00672714">
              <w:rPr>
                <w:sz w:val="20"/>
                <w:szCs w:val="20"/>
              </w:rPr>
              <w:t>29</w:t>
            </w:r>
          </w:p>
        </w:tc>
        <w:tc>
          <w:tcPr>
            <w:tcW w:w="263" w:type="pct"/>
          </w:tcPr>
          <w:p w14:paraId="75475B4A" w14:textId="77777777" w:rsidR="00247AD2" w:rsidRPr="00672714" w:rsidRDefault="00247AD2" w:rsidP="00672714">
            <w:pPr>
              <w:pStyle w:val="BodyText"/>
              <w:rPr>
                <w:sz w:val="20"/>
                <w:szCs w:val="20"/>
              </w:rPr>
            </w:pPr>
            <w:r w:rsidRPr="00672714">
              <w:rPr>
                <w:sz w:val="20"/>
                <w:szCs w:val="20"/>
              </w:rPr>
              <w:t>0</w:t>
            </w:r>
          </w:p>
        </w:tc>
        <w:tc>
          <w:tcPr>
            <w:tcW w:w="263" w:type="pct"/>
          </w:tcPr>
          <w:p w14:paraId="4D861AB2" w14:textId="77777777" w:rsidR="00247AD2" w:rsidRPr="00672714" w:rsidRDefault="00247AD2" w:rsidP="00672714">
            <w:pPr>
              <w:pStyle w:val="BodyText"/>
              <w:rPr>
                <w:sz w:val="20"/>
                <w:szCs w:val="20"/>
              </w:rPr>
            </w:pPr>
            <w:r w:rsidRPr="00672714">
              <w:rPr>
                <w:sz w:val="20"/>
                <w:szCs w:val="20"/>
              </w:rPr>
              <w:t>0</w:t>
            </w:r>
          </w:p>
        </w:tc>
        <w:tc>
          <w:tcPr>
            <w:tcW w:w="263" w:type="pct"/>
          </w:tcPr>
          <w:p w14:paraId="2CBAFF66" w14:textId="77777777" w:rsidR="00247AD2" w:rsidRPr="00672714" w:rsidRDefault="00247AD2" w:rsidP="00672714">
            <w:pPr>
              <w:pStyle w:val="BodyText"/>
              <w:rPr>
                <w:sz w:val="20"/>
                <w:szCs w:val="20"/>
              </w:rPr>
            </w:pPr>
            <w:r w:rsidRPr="00672714">
              <w:rPr>
                <w:sz w:val="20"/>
                <w:szCs w:val="20"/>
              </w:rPr>
              <w:t>0</w:t>
            </w:r>
          </w:p>
        </w:tc>
        <w:tc>
          <w:tcPr>
            <w:tcW w:w="263" w:type="pct"/>
          </w:tcPr>
          <w:p w14:paraId="1CE4B2A4" w14:textId="77777777" w:rsidR="00247AD2" w:rsidRPr="00672714" w:rsidRDefault="00247AD2" w:rsidP="00672714">
            <w:pPr>
              <w:pStyle w:val="BodyText"/>
              <w:rPr>
                <w:sz w:val="20"/>
                <w:szCs w:val="20"/>
              </w:rPr>
            </w:pPr>
            <w:r w:rsidRPr="00672714">
              <w:rPr>
                <w:sz w:val="20"/>
                <w:szCs w:val="20"/>
              </w:rPr>
              <w:t>0</w:t>
            </w:r>
          </w:p>
        </w:tc>
        <w:tc>
          <w:tcPr>
            <w:tcW w:w="263" w:type="pct"/>
          </w:tcPr>
          <w:p w14:paraId="0CA5F51A" w14:textId="77777777" w:rsidR="00247AD2" w:rsidRPr="00672714" w:rsidRDefault="00247AD2" w:rsidP="00672714">
            <w:pPr>
              <w:pStyle w:val="BodyText"/>
              <w:rPr>
                <w:sz w:val="20"/>
                <w:szCs w:val="20"/>
              </w:rPr>
            </w:pPr>
            <w:r w:rsidRPr="00672714">
              <w:rPr>
                <w:sz w:val="20"/>
                <w:szCs w:val="20"/>
              </w:rPr>
              <w:t>0</w:t>
            </w:r>
          </w:p>
        </w:tc>
        <w:tc>
          <w:tcPr>
            <w:tcW w:w="263" w:type="pct"/>
          </w:tcPr>
          <w:p w14:paraId="55B8B0C6" w14:textId="77777777" w:rsidR="00247AD2" w:rsidRPr="00672714" w:rsidRDefault="00247AD2" w:rsidP="00672714">
            <w:pPr>
              <w:pStyle w:val="BodyText"/>
              <w:rPr>
                <w:sz w:val="20"/>
                <w:szCs w:val="20"/>
              </w:rPr>
            </w:pPr>
            <w:r w:rsidRPr="00672714">
              <w:rPr>
                <w:sz w:val="20"/>
                <w:szCs w:val="20"/>
              </w:rPr>
              <w:t>0</w:t>
            </w:r>
          </w:p>
        </w:tc>
        <w:tc>
          <w:tcPr>
            <w:tcW w:w="313" w:type="pct"/>
          </w:tcPr>
          <w:p w14:paraId="29627CF7" w14:textId="77777777" w:rsidR="00247AD2" w:rsidRPr="00672714" w:rsidRDefault="00247AD2" w:rsidP="00672714">
            <w:pPr>
              <w:pStyle w:val="BodyText"/>
              <w:rPr>
                <w:sz w:val="20"/>
                <w:szCs w:val="20"/>
              </w:rPr>
            </w:pPr>
            <w:r w:rsidRPr="00672714">
              <w:rPr>
                <w:rStyle w:val="01bodybold"/>
                <w:sz w:val="20"/>
                <w:szCs w:val="20"/>
              </w:rPr>
              <w:t xml:space="preserve">3,291 </w:t>
            </w:r>
          </w:p>
        </w:tc>
      </w:tr>
      <w:tr w:rsidR="006A0585" w:rsidRPr="00672714" w14:paraId="7879CECF" w14:textId="77777777" w:rsidTr="006A0585">
        <w:trPr>
          <w:trHeight w:val="396"/>
        </w:trPr>
        <w:tc>
          <w:tcPr>
            <w:tcW w:w="550" w:type="pct"/>
          </w:tcPr>
          <w:p w14:paraId="16782B0E" w14:textId="77777777" w:rsidR="00247AD2" w:rsidRPr="00672714" w:rsidRDefault="00247AD2" w:rsidP="00672714">
            <w:pPr>
              <w:pStyle w:val="BodyText"/>
              <w:rPr>
                <w:sz w:val="20"/>
                <w:szCs w:val="20"/>
              </w:rPr>
            </w:pPr>
            <w:r w:rsidRPr="00672714">
              <w:rPr>
                <w:sz w:val="20"/>
                <w:szCs w:val="20"/>
              </w:rPr>
              <w:t>APS4</w:t>
            </w:r>
          </w:p>
        </w:tc>
        <w:tc>
          <w:tcPr>
            <w:tcW w:w="288" w:type="pct"/>
          </w:tcPr>
          <w:p w14:paraId="1B1883EA" w14:textId="77777777" w:rsidR="00247AD2" w:rsidRPr="00672714" w:rsidRDefault="00247AD2" w:rsidP="00672714">
            <w:pPr>
              <w:pStyle w:val="BodyText"/>
              <w:rPr>
                <w:sz w:val="20"/>
                <w:szCs w:val="20"/>
              </w:rPr>
            </w:pPr>
            <w:r w:rsidRPr="00672714">
              <w:rPr>
                <w:sz w:val="20"/>
                <w:szCs w:val="20"/>
              </w:rPr>
              <w:t>3,946</w:t>
            </w:r>
          </w:p>
        </w:tc>
        <w:tc>
          <w:tcPr>
            <w:tcW w:w="275" w:type="pct"/>
          </w:tcPr>
          <w:p w14:paraId="16897AF5" w14:textId="77777777" w:rsidR="00247AD2" w:rsidRPr="00672714" w:rsidRDefault="00247AD2" w:rsidP="00672714">
            <w:pPr>
              <w:pStyle w:val="BodyText"/>
              <w:rPr>
                <w:sz w:val="20"/>
                <w:szCs w:val="20"/>
              </w:rPr>
            </w:pPr>
            <w:r w:rsidRPr="00672714">
              <w:rPr>
                <w:sz w:val="20"/>
                <w:szCs w:val="20"/>
              </w:rPr>
              <w:t>475</w:t>
            </w:r>
          </w:p>
        </w:tc>
        <w:tc>
          <w:tcPr>
            <w:tcW w:w="288" w:type="pct"/>
          </w:tcPr>
          <w:p w14:paraId="333EBF67" w14:textId="77777777" w:rsidR="00247AD2" w:rsidRPr="00672714" w:rsidRDefault="00247AD2" w:rsidP="00672714">
            <w:pPr>
              <w:pStyle w:val="BodyText"/>
              <w:rPr>
                <w:sz w:val="20"/>
                <w:szCs w:val="20"/>
              </w:rPr>
            </w:pPr>
            <w:r w:rsidRPr="00672714">
              <w:rPr>
                <w:sz w:val="20"/>
                <w:szCs w:val="20"/>
              </w:rPr>
              <w:t>4,421</w:t>
            </w:r>
          </w:p>
        </w:tc>
        <w:tc>
          <w:tcPr>
            <w:tcW w:w="313" w:type="pct"/>
          </w:tcPr>
          <w:p w14:paraId="0941A751" w14:textId="77777777" w:rsidR="00247AD2" w:rsidRPr="00672714" w:rsidRDefault="00247AD2" w:rsidP="00672714">
            <w:pPr>
              <w:pStyle w:val="BodyText"/>
              <w:rPr>
                <w:sz w:val="20"/>
                <w:szCs w:val="20"/>
              </w:rPr>
            </w:pPr>
            <w:r w:rsidRPr="00672714">
              <w:rPr>
                <w:sz w:val="20"/>
                <w:szCs w:val="20"/>
              </w:rPr>
              <w:t>8,080</w:t>
            </w:r>
          </w:p>
        </w:tc>
        <w:tc>
          <w:tcPr>
            <w:tcW w:w="288" w:type="pct"/>
          </w:tcPr>
          <w:p w14:paraId="36BC7A2F" w14:textId="77777777" w:rsidR="00247AD2" w:rsidRPr="00672714" w:rsidRDefault="00247AD2" w:rsidP="00672714">
            <w:pPr>
              <w:pStyle w:val="BodyText"/>
              <w:rPr>
                <w:sz w:val="20"/>
                <w:szCs w:val="20"/>
              </w:rPr>
            </w:pPr>
            <w:r w:rsidRPr="00672714">
              <w:rPr>
                <w:sz w:val="20"/>
                <w:szCs w:val="20"/>
              </w:rPr>
              <w:t>3,563</w:t>
            </w:r>
          </w:p>
        </w:tc>
        <w:tc>
          <w:tcPr>
            <w:tcW w:w="313" w:type="pct"/>
          </w:tcPr>
          <w:p w14:paraId="77A839E8" w14:textId="77777777" w:rsidR="00247AD2" w:rsidRPr="00672714" w:rsidRDefault="00247AD2" w:rsidP="00672714">
            <w:pPr>
              <w:pStyle w:val="BodyText"/>
              <w:rPr>
                <w:sz w:val="20"/>
                <w:szCs w:val="20"/>
              </w:rPr>
            </w:pPr>
            <w:r w:rsidRPr="00672714">
              <w:rPr>
                <w:sz w:val="20"/>
                <w:szCs w:val="20"/>
              </w:rPr>
              <w:t>11,643</w:t>
            </w:r>
          </w:p>
        </w:tc>
        <w:tc>
          <w:tcPr>
            <w:tcW w:w="265" w:type="pct"/>
          </w:tcPr>
          <w:p w14:paraId="0BC27B83" w14:textId="77777777" w:rsidR="00247AD2" w:rsidRPr="00672714" w:rsidRDefault="00247AD2" w:rsidP="00672714">
            <w:pPr>
              <w:pStyle w:val="BodyText"/>
              <w:rPr>
                <w:sz w:val="20"/>
                <w:szCs w:val="20"/>
              </w:rPr>
            </w:pPr>
            <w:r w:rsidRPr="00672714">
              <w:rPr>
                <w:sz w:val="20"/>
                <w:szCs w:val="20"/>
              </w:rPr>
              <w:t>164</w:t>
            </w:r>
          </w:p>
        </w:tc>
        <w:tc>
          <w:tcPr>
            <w:tcW w:w="265" w:type="pct"/>
          </w:tcPr>
          <w:p w14:paraId="3F08F861" w14:textId="77777777" w:rsidR="00247AD2" w:rsidRPr="00672714" w:rsidRDefault="00247AD2" w:rsidP="00672714">
            <w:pPr>
              <w:pStyle w:val="BodyText"/>
              <w:rPr>
                <w:sz w:val="20"/>
                <w:szCs w:val="20"/>
              </w:rPr>
            </w:pPr>
            <w:r w:rsidRPr="00672714">
              <w:rPr>
                <w:sz w:val="20"/>
                <w:szCs w:val="20"/>
              </w:rPr>
              <w:t>32</w:t>
            </w:r>
          </w:p>
        </w:tc>
        <w:tc>
          <w:tcPr>
            <w:tcW w:w="265" w:type="pct"/>
          </w:tcPr>
          <w:p w14:paraId="562D6605" w14:textId="77777777" w:rsidR="00247AD2" w:rsidRPr="00672714" w:rsidRDefault="00247AD2" w:rsidP="00672714">
            <w:pPr>
              <w:pStyle w:val="BodyText"/>
              <w:rPr>
                <w:sz w:val="20"/>
                <w:szCs w:val="20"/>
              </w:rPr>
            </w:pPr>
            <w:r w:rsidRPr="00672714">
              <w:rPr>
                <w:sz w:val="20"/>
                <w:szCs w:val="20"/>
              </w:rPr>
              <w:t>196</w:t>
            </w:r>
          </w:p>
        </w:tc>
        <w:tc>
          <w:tcPr>
            <w:tcW w:w="263" w:type="pct"/>
          </w:tcPr>
          <w:p w14:paraId="26AFC448" w14:textId="77777777" w:rsidR="00247AD2" w:rsidRPr="00672714" w:rsidRDefault="00247AD2" w:rsidP="00672714">
            <w:pPr>
              <w:pStyle w:val="BodyText"/>
              <w:rPr>
                <w:sz w:val="20"/>
                <w:szCs w:val="20"/>
              </w:rPr>
            </w:pPr>
            <w:r w:rsidRPr="00672714">
              <w:rPr>
                <w:sz w:val="20"/>
                <w:szCs w:val="20"/>
              </w:rPr>
              <w:t>0</w:t>
            </w:r>
          </w:p>
        </w:tc>
        <w:tc>
          <w:tcPr>
            <w:tcW w:w="263" w:type="pct"/>
          </w:tcPr>
          <w:p w14:paraId="4009B84D" w14:textId="77777777" w:rsidR="00247AD2" w:rsidRPr="00672714" w:rsidRDefault="00247AD2" w:rsidP="00672714">
            <w:pPr>
              <w:pStyle w:val="BodyText"/>
              <w:rPr>
                <w:sz w:val="20"/>
                <w:szCs w:val="20"/>
              </w:rPr>
            </w:pPr>
            <w:r w:rsidRPr="00672714">
              <w:rPr>
                <w:sz w:val="20"/>
                <w:szCs w:val="20"/>
              </w:rPr>
              <w:t>0</w:t>
            </w:r>
          </w:p>
        </w:tc>
        <w:tc>
          <w:tcPr>
            <w:tcW w:w="263" w:type="pct"/>
          </w:tcPr>
          <w:p w14:paraId="4FF03A03" w14:textId="77777777" w:rsidR="00247AD2" w:rsidRPr="00672714" w:rsidRDefault="00247AD2" w:rsidP="00672714">
            <w:pPr>
              <w:pStyle w:val="BodyText"/>
              <w:rPr>
                <w:sz w:val="20"/>
                <w:szCs w:val="20"/>
              </w:rPr>
            </w:pPr>
            <w:r w:rsidRPr="00672714">
              <w:rPr>
                <w:sz w:val="20"/>
                <w:szCs w:val="20"/>
              </w:rPr>
              <w:t>0</w:t>
            </w:r>
          </w:p>
        </w:tc>
        <w:tc>
          <w:tcPr>
            <w:tcW w:w="263" w:type="pct"/>
          </w:tcPr>
          <w:p w14:paraId="4DEE6F56" w14:textId="77777777" w:rsidR="00247AD2" w:rsidRPr="00672714" w:rsidRDefault="00247AD2" w:rsidP="00672714">
            <w:pPr>
              <w:pStyle w:val="BodyText"/>
              <w:rPr>
                <w:sz w:val="20"/>
                <w:szCs w:val="20"/>
              </w:rPr>
            </w:pPr>
            <w:r w:rsidRPr="00672714">
              <w:rPr>
                <w:sz w:val="20"/>
                <w:szCs w:val="20"/>
              </w:rPr>
              <w:t>0</w:t>
            </w:r>
          </w:p>
        </w:tc>
        <w:tc>
          <w:tcPr>
            <w:tcW w:w="263" w:type="pct"/>
          </w:tcPr>
          <w:p w14:paraId="4F3225CF" w14:textId="77777777" w:rsidR="00247AD2" w:rsidRPr="00672714" w:rsidRDefault="00247AD2" w:rsidP="00672714">
            <w:pPr>
              <w:pStyle w:val="BodyText"/>
              <w:rPr>
                <w:sz w:val="20"/>
                <w:szCs w:val="20"/>
              </w:rPr>
            </w:pPr>
            <w:r w:rsidRPr="00672714">
              <w:rPr>
                <w:sz w:val="20"/>
                <w:szCs w:val="20"/>
              </w:rPr>
              <w:t>0</w:t>
            </w:r>
          </w:p>
        </w:tc>
        <w:tc>
          <w:tcPr>
            <w:tcW w:w="263" w:type="pct"/>
          </w:tcPr>
          <w:p w14:paraId="51E161CC" w14:textId="77777777" w:rsidR="00247AD2" w:rsidRPr="00672714" w:rsidRDefault="00247AD2" w:rsidP="00672714">
            <w:pPr>
              <w:pStyle w:val="BodyText"/>
              <w:rPr>
                <w:sz w:val="20"/>
                <w:szCs w:val="20"/>
              </w:rPr>
            </w:pPr>
            <w:r w:rsidRPr="00672714">
              <w:rPr>
                <w:sz w:val="20"/>
                <w:szCs w:val="20"/>
              </w:rPr>
              <w:t>0</w:t>
            </w:r>
          </w:p>
        </w:tc>
        <w:tc>
          <w:tcPr>
            <w:tcW w:w="313" w:type="pct"/>
          </w:tcPr>
          <w:p w14:paraId="4E71A2A7" w14:textId="77777777" w:rsidR="00247AD2" w:rsidRPr="00672714" w:rsidRDefault="00247AD2" w:rsidP="00672714">
            <w:pPr>
              <w:pStyle w:val="BodyText"/>
              <w:rPr>
                <w:sz w:val="20"/>
                <w:szCs w:val="20"/>
              </w:rPr>
            </w:pPr>
            <w:r w:rsidRPr="00672714">
              <w:rPr>
                <w:rStyle w:val="01bodybold"/>
                <w:spacing w:val="-2"/>
                <w:sz w:val="20"/>
                <w:szCs w:val="20"/>
              </w:rPr>
              <w:t xml:space="preserve">16,260 </w:t>
            </w:r>
          </w:p>
        </w:tc>
      </w:tr>
      <w:tr w:rsidR="006A0585" w:rsidRPr="00672714" w14:paraId="6DDFAF81" w14:textId="77777777" w:rsidTr="006A0585">
        <w:trPr>
          <w:trHeight w:val="396"/>
        </w:trPr>
        <w:tc>
          <w:tcPr>
            <w:tcW w:w="550" w:type="pct"/>
          </w:tcPr>
          <w:p w14:paraId="73FFDBD9" w14:textId="77777777" w:rsidR="00247AD2" w:rsidRPr="00672714" w:rsidRDefault="00247AD2" w:rsidP="00672714">
            <w:pPr>
              <w:pStyle w:val="BodyText"/>
              <w:rPr>
                <w:sz w:val="20"/>
                <w:szCs w:val="20"/>
              </w:rPr>
            </w:pPr>
            <w:r w:rsidRPr="00672714">
              <w:rPr>
                <w:sz w:val="20"/>
                <w:szCs w:val="20"/>
              </w:rPr>
              <w:t>APS3</w:t>
            </w:r>
          </w:p>
        </w:tc>
        <w:tc>
          <w:tcPr>
            <w:tcW w:w="288" w:type="pct"/>
          </w:tcPr>
          <w:p w14:paraId="39A20F64" w14:textId="77777777" w:rsidR="00247AD2" w:rsidRPr="00672714" w:rsidRDefault="00247AD2" w:rsidP="00672714">
            <w:pPr>
              <w:pStyle w:val="BodyText"/>
              <w:rPr>
                <w:sz w:val="20"/>
                <w:szCs w:val="20"/>
              </w:rPr>
            </w:pPr>
            <w:r w:rsidRPr="00672714">
              <w:rPr>
                <w:sz w:val="20"/>
                <w:szCs w:val="20"/>
              </w:rPr>
              <w:t>1,275</w:t>
            </w:r>
          </w:p>
        </w:tc>
        <w:tc>
          <w:tcPr>
            <w:tcW w:w="275" w:type="pct"/>
          </w:tcPr>
          <w:p w14:paraId="1935370A" w14:textId="77777777" w:rsidR="00247AD2" w:rsidRPr="00672714" w:rsidRDefault="00247AD2" w:rsidP="00672714">
            <w:pPr>
              <w:pStyle w:val="BodyText"/>
              <w:rPr>
                <w:sz w:val="20"/>
                <w:szCs w:val="20"/>
              </w:rPr>
            </w:pPr>
            <w:r w:rsidRPr="00672714">
              <w:rPr>
                <w:sz w:val="20"/>
                <w:szCs w:val="20"/>
              </w:rPr>
              <w:t>132</w:t>
            </w:r>
          </w:p>
        </w:tc>
        <w:tc>
          <w:tcPr>
            <w:tcW w:w="288" w:type="pct"/>
          </w:tcPr>
          <w:p w14:paraId="298D2797" w14:textId="77777777" w:rsidR="00247AD2" w:rsidRPr="00672714" w:rsidRDefault="00247AD2" w:rsidP="00672714">
            <w:pPr>
              <w:pStyle w:val="BodyText"/>
              <w:rPr>
                <w:sz w:val="20"/>
                <w:szCs w:val="20"/>
              </w:rPr>
            </w:pPr>
            <w:r w:rsidRPr="00672714">
              <w:rPr>
                <w:sz w:val="20"/>
                <w:szCs w:val="20"/>
              </w:rPr>
              <w:t>1,407</w:t>
            </w:r>
          </w:p>
        </w:tc>
        <w:tc>
          <w:tcPr>
            <w:tcW w:w="313" w:type="pct"/>
          </w:tcPr>
          <w:p w14:paraId="2734A519" w14:textId="77777777" w:rsidR="00247AD2" w:rsidRPr="00672714" w:rsidRDefault="00247AD2" w:rsidP="00672714">
            <w:pPr>
              <w:pStyle w:val="BodyText"/>
              <w:rPr>
                <w:sz w:val="20"/>
                <w:szCs w:val="20"/>
              </w:rPr>
            </w:pPr>
            <w:r w:rsidRPr="00672714">
              <w:rPr>
                <w:sz w:val="20"/>
                <w:szCs w:val="20"/>
              </w:rPr>
              <w:t>2,629</w:t>
            </w:r>
          </w:p>
        </w:tc>
        <w:tc>
          <w:tcPr>
            <w:tcW w:w="288" w:type="pct"/>
          </w:tcPr>
          <w:p w14:paraId="29AE705F" w14:textId="77777777" w:rsidR="00247AD2" w:rsidRPr="00672714" w:rsidRDefault="00247AD2" w:rsidP="00672714">
            <w:pPr>
              <w:pStyle w:val="BodyText"/>
              <w:rPr>
                <w:sz w:val="20"/>
                <w:szCs w:val="20"/>
              </w:rPr>
            </w:pPr>
            <w:r w:rsidRPr="00672714">
              <w:rPr>
                <w:sz w:val="20"/>
                <w:szCs w:val="20"/>
              </w:rPr>
              <w:t>698</w:t>
            </w:r>
          </w:p>
        </w:tc>
        <w:tc>
          <w:tcPr>
            <w:tcW w:w="313" w:type="pct"/>
          </w:tcPr>
          <w:p w14:paraId="2419C082" w14:textId="77777777" w:rsidR="00247AD2" w:rsidRPr="00672714" w:rsidRDefault="00247AD2" w:rsidP="00672714">
            <w:pPr>
              <w:pStyle w:val="BodyText"/>
              <w:rPr>
                <w:sz w:val="20"/>
                <w:szCs w:val="20"/>
              </w:rPr>
            </w:pPr>
            <w:r w:rsidRPr="00672714">
              <w:rPr>
                <w:sz w:val="20"/>
                <w:szCs w:val="20"/>
              </w:rPr>
              <w:t>3,327</w:t>
            </w:r>
          </w:p>
        </w:tc>
        <w:tc>
          <w:tcPr>
            <w:tcW w:w="265" w:type="pct"/>
          </w:tcPr>
          <w:p w14:paraId="0AFB0675" w14:textId="77777777" w:rsidR="00247AD2" w:rsidRPr="00672714" w:rsidRDefault="00247AD2" w:rsidP="00672714">
            <w:pPr>
              <w:pStyle w:val="BodyText"/>
              <w:rPr>
                <w:sz w:val="20"/>
                <w:szCs w:val="20"/>
              </w:rPr>
            </w:pPr>
            <w:r w:rsidRPr="00672714">
              <w:rPr>
                <w:sz w:val="20"/>
                <w:szCs w:val="20"/>
              </w:rPr>
              <w:t>60</w:t>
            </w:r>
          </w:p>
        </w:tc>
        <w:tc>
          <w:tcPr>
            <w:tcW w:w="265" w:type="pct"/>
          </w:tcPr>
          <w:p w14:paraId="5B337811" w14:textId="77777777" w:rsidR="00247AD2" w:rsidRPr="00672714" w:rsidRDefault="00247AD2" w:rsidP="00672714">
            <w:pPr>
              <w:pStyle w:val="BodyText"/>
              <w:rPr>
                <w:sz w:val="20"/>
                <w:szCs w:val="20"/>
              </w:rPr>
            </w:pPr>
            <w:r w:rsidRPr="00672714">
              <w:rPr>
                <w:sz w:val="20"/>
                <w:szCs w:val="20"/>
              </w:rPr>
              <w:t>18</w:t>
            </w:r>
          </w:p>
        </w:tc>
        <w:tc>
          <w:tcPr>
            <w:tcW w:w="265" w:type="pct"/>
          </w:tcPr>
          <w:p w14:paraId="6091FB8A" w14:textId="77777777" w:rsidR="00247AD2" w:rsidRPr="00672714" w:rsidRDefault="00247AD2" w:rsidP="00672714">
            <w:pPr>
              <w:pStyle w:val="BodyText"/>
              <w:rPr>
                <w:sz w:val="20"/>
                <w:szCs w:val="20"/>
              </w:rPr>
            </w:pPr>
            <w:r w:rsidRPr="00672714">
              <w:rPr>
                <w:sz w:val="20"/>
                <w:szCs w:val="20"/>
              </w:rPr>
              <w:t>78</w:t>
            </w:r>
          </w:p>
        </w:tc>
        <w:tc>
          <w:tcPr>
            <w:tcW w:w="263" w:type="pct"/>
          </w:tcPr>
          <w:p w14:paraId="5B6BD564" w14:textId="77777777" w:rsidR="00247AD2" w:rsidRPr="00672714" w:rsidRDefault="00247AD2" w:rsidP="00672714">
            <w:pPr>
              <w:pStyle w:val="BodyText"/>
              <w:rPr>
                <w:sz w:val="20"/>
                <w:szCs w:val="20"/>
              </w:rPr>
            </w:pPr>
            <w:r w:rsidRPr="00672714">
              <w:rPr>
                <w:sz w:val="20"/>
                <w:szCs w:val="20"/>
              </w:rPr>
              <w:t>0</w:t>
            </w:r>
          </w:p>
        </w:tc>
        <w:tc>
          <w:tcPr>
            <w:tcW w:w="263" w:type="pct"/>
          </w:tcPr>
          <w:p w14:paraId="52E64B9F" w14:textId="77777777" w:rsidR="00247AD2" w:rsidRPr="00672714" w:rsidRDefault="00247AD2" w:rsidP="00672714">
            <w:pPr>
              <w:pStyle w:val="BodyText"/>
              <w:rPr>
                <w:sz w:val="20"/>
                <w:szCs w:val="20"/>
              </w:rPr>
            </w:pPr>
            <w:r w:rsidRPr="00672714">
              <w:rPr>
                <w:sz w:val="20"/>
                <w:szCs w:val="20"/>
              </w:rPr>
              <w:t>0</w:t>
            </w:r>
          </w:p>
        </w:tc>
        <w:tc>
          <w:tcPr>
            <w:tcW w:w="263" w:type="pct"/>
          </w:tcPr>
          <w:p w14:paraId="67EFFAFC" w14:textId="77777777" w:rsidR="00247AD2" w:rsidRPr="00672714" w:rsidRDefault="00247AD2" w:rsidP="00672714">
            <w:pPr>
              <w:pStyle w:val="BodyText"/>
              <w:rPr>
                <w:sz w:val="20"/>
                <w:szCs w:val="20"/>
              </w:rPr>
            </w:pPr>
            <w:r w:rsidRPr="00672714">
              <w:rPr>
                <w:sz w:val="20"/>
                <w:szCs w:val="20"/>
              </w:rPr>
              <w:t>0</w:t>
            </w:r>
          </w:p>
        </w:tc>
        <w:tc>
          <w:tcPr>
            <w:tcW w:w="263" w:type="pct"/>
          </w:tcPr>
          <w:p w14:paraId="7C7C88C9" w14:textId="77777777" w:rsidR="00247AD2" w:rsidRPr="00672714" w:rsidRDefault="00247AD2" w:rsidP="00672714">
            <w:pPr>
              <w:pStyle w:val="BodyText"/>
              <w:rPr>
                <w:sz w:val="20"/>
                <w:szCs w:val="20"/>
              </w:rPr>
            </w:pPr>
            <w:r w:rsidRPr="00672714">
              <w:rPr>
                <w:sz w:val="20"/>
                <w:szCs w:val="20"/>
              </w:rPr>
              <w:t>0</w:t>
            </w:r>
          </w:p>
        </w:tc>
        <w:tc>
          <w:tcPr>
            <w:tcW w:w="263" w:type="pct"/>
          </w:tcPr>
          <w:p w14:paraId="50986ECB" w14:textId="77777777" w:rsidR="00247AD2" w:rsidRPr="00672714" w:rsidRDefault="00247AD2" w:rsidP="00672714">
            <w:pPr>
              <w:pStyle w:val="BodyText"/>
              <w:rPr>
                <w:sz w:val="20"/>
                <w:szCs w:val="20"/>
              </w:rPr>
            </w:pPr>
            <w:r w:rsidRPr="00672714">
              <w:rPr>
                <w:sz w:val="20"/>
                <w:szCs w:val="20"/>
              </w:rPr>
              <w:t>0</w:t>
            </w:r>
          </w:p>
        </w:tc>
        <w:tc>
          <w:tcPr>
            <w:tcW w:w="263" w:type="pct"/>
          </w:tcPr>
          <w:p w14:paraId="02DF519E" w14:textId="77777777" w:rsidR="00247AD2" w:rsidRPr="00672714" w:rsidRDefault="00247AD2" w:rsidP="00672714">
            <w:pPr>
              <w:pStyle w:val="BodyText"/>
              <w:rPr>
                <w:sz w:val="20"/>
                <w:szCs w:val="20"/>
              </w:rPr>
            </w:pPr>
            <w:r w:rsidRPr="00672714">
              <w:rPr>
                <w:sz w:val="20"/>
                <w:szCs w:val="20"/>
              </w:rPr>
              <w:t>0</w:t>
            </w:r>
          </w:p>
        </w:tc>
        <w:tc>
          <w:tcPr>
            <w:tcW w:w="313" w:type="pct"/>
          </w:tcPr>
          <w:p w14:paraId="4C4AD524" w14:textId="77777777" w:rsidR="00247AD2" w:rsidRPr="00672714" w:rsidRDefault="00247AD2" w:rsidP="00672714">
            <w:pPr>
              <w:pStyle w:val="BodyText"/>
              <w:rPr>
                <w:sz w:val="20"/>
                <w:szCs w:val="20"/>
              </w:rPr>
            </w:pPr>
            <w:r w:rsidRPr="00672714">
              <w:rPr>
                <w:rStyle w:val="01bodybold"/>
                <w:sz w:val="20"/>
                <w:szCs w:val="20"/>
              </w:rPr>
              <w:t xml:space="preserve">4,812 </w:t>
            </w:r>
          </w:p>
        </w:tc>
      </w:tr>
      <w:tr w:rsidR="006A0585" w:rsidRPr="00672714" w14:paraId="262449A2" w14:textId="77777777" w:rsidTr="006A0585">
        <w:trPr>
          <w:trHeight w:val="396"/>
        </w:trPr>
        <w:tc>
          <w:tcPr>
            <w:tcW w:w="550" w:type="pct"/>
          </w:tcPr>
          <w:p w14:paraId="395CC826" w14:textId="77777777" w:rsidR="00247AD2" w:rsidRPr="00672714" w:rsidRDefault="00247AD2" w:rsidP="00672714">
            <w:pPr>
              <w:pStyle w:val="BodyText"/>
              <w:rPr>
                <w:sz w:val="20"/>
                <w:szCs w:val="20"/>
              </w:rPr>
            </w:pPr>
            <w:r w:rsidRPr="00672714">
              <w:rPr>
                <w:sz w:val="20"/>
                <w:szCs w:val="20"/>
              </w:rPr>
              <w:t>APS2</w:t>
            </w:r>
          </w:p>
        </w:tc>
        <w:tc>
          <w:tcPr>
            <w:tcW w:w="288" w:type="pct"/>
          </w:tcPr>
          <w:p w14:paraId="37771D04" w14:textId="77777777" w:rsidR="00247AD2" w:rsidRPr="00672714" w:rsidRDefault="00247AD2" w:rsidP="00672714">
            <w:pPr>
              <w:pStyle w:val="BodyText"/>
              <w:rPr>
                <w:sz w:val="20"/>
                <w:szCs w:val="20"/>
              </w:rPr>
            </w:pPr>
            <w:r w:rsidRPr="00672714">
              <w:rPr>
                <w:sz w:val="20"/>
                <w:szCs w:val="20"/>
              </w:rPr>
              <w:t>13</w:t>
            </w:r>
          </w:p>
        </w:tc>
        <w:tc>
          <w:tcPr>
            <w:tcW w:w="275" w:type="pct"/>
          </w:tcPr>
          <w:p w14:paraId="6FA0F9AB" w14:textId="77777777" w:rsidR="00247AD2" w:rsidRPr="00672714" w:rsidRDefault="00247AD2" w:rsidP="00672714">
            <w:pPr>
              <w:pStyle w:val="BodyText"/>
              <w:rPr>
                <w:sz w:val="20"/>
                <w:szCs w:val="20"/>
              </w:rPr>
            </w:pPr>
            <w:r w:rsidRPr="00672714">
              <w:rPr>
                <w:sz w:val="20"/>
                <w:szCs w:val="20"/>
              </w:rPr>
              <w:t>1</w:t>
            </w:r>
          </w:p>
        </w:tc>
        <w:tc>
          <w:tcPr>
            <w:tcW w:w="288" w:type="pct"/>
          </w:tcPr>
          <w:p w14:paraId="0D96FF73" w14:textId="77777777" w:rsidR="00247AD2" w:rsidRPr="00672714" w:rsidRDefault="00247AD2" w:rsidP="00672714">
            <w:pPr>
              <w:pStyle w:val="BodyText"/>
              <w:rPr>
                <w:sz w:val="20"/>
                <w:szCs w:val="20"/>
              </w:rPr>
            </w:pPr>
            <w:r w:rsidRPr="00672714">
              <w:rPr>
                <w:sz w:val="20"/>
                <w:szCs w:val="20"/>
              </w:rPr>
              <w:t>14</w:t>
            </w:r>
          </w:p>
        </w:tc>
        <w:tc>
          <w:tcPr>
            <w:tcW w:w="313" w:type="pct"/>
          </w:tcPr>
          <w:p w14:paraId="74D288A9" w14:textId="77777777" w:rsidR="00247AD2" w:rsidRPr="00672714" w:rsidRDefault="00247AD2" w:rsidP="00672714">
            <w:pPr>
              <w:pStyle w:val="BodyText"/>
              <w:rPr>
                <w:sz w:val="20"/>
                <w:szCs w:val="20"/>
              </w:rPr>
            </w:pPr>
            <w:r w:rsidRPr="00672714">
              <w:rPr>
                <w:sz w:val="20"/>
                <w:szCs w:val="20"/>
              </w:rPr>
              <w:t>14</w:t>
            </w:r>
          </w:p>
        </w:tc>
        <w:tc>
          <w:tcPr>
            <w:tcW w:w="288" w:type="pct"/>
          </w:tcPr>
          <w:p w14:paraId="4BD1A9D7" w14:textId="77777777" w:rsidR="00247AD2" w:rsidRPr="00672714" w:rsidRDefault="00247AD2" w:rsidP="00672714">
            <w:pPr>
              <w:pStyle w:val="BodyText"/>
              <w:rPr>
                <w:sz w:val="20"/>
                <w:szCs w:val="20"/>
              </w:rPr>
            </w:pPr>
            <w:r w:rsidRPr="00672714">
              <w:rPr>
                <w:sz w:val="20"/>
                <w:szCs w:val="20"/>
              </w:rPr>
              <w:t>8</w:t>
            </w:r>
          </w:p>
        </w:tc>
        <w:tc>
          <w:tcPr>
            <w:tcW w:w="313" w:type="pct"/>
          </w:tcPr>
          <w:p w14:paraId="456D6D0E" w14:textId="77777777" w:rsidR="00247AD2" w:rsidRPr="00672714" w:rsidRDefault="00247AD2" w:rsidP="00672714">
            <w:pPr>
              <w:pStyle w:val="BodyText"/>
              <w:rPr>
                <w:sz w:val="20"/>
                <w:szCs w:val="20"/>
              </w:rPr>
            </w:pPr>
            <w:r w:rsidRPr="00672714">
              <w:rPr>
                <w:sz w:val="20"/>
                <w:szCs w:val="20"/>
              </w:rPr>
              <w:t>22</w:t>
            </w:r>
          </w:p>
        </w:tc>
        <w:tc>
          <w:tcPr>
            <w:tcW w:w="265" w:type="pct"/>
          </w:tcPr>
          <w:p w14:paraId="11FD84A9" w14:textId="77777777" w:rsidR="00247AD2" w:rsidRPr="00672714" w:rsidRDefault="00247AD2" w:rsidP="00672714">
            <w:pPr>
              <w:pStyle w:val="BodyText"/>
              <w:rPr>
                <w:sz w:val="20"/>
                <w:szCs w:val="20"/>
              </w:rPr>
            </w:pPr>
            <w:r w:rsidRPr="00672714">
              <w:rPr>
                <w:sz w:val="20"/>
                <w:szCs w:val="20"/>
              </w:rPr>
              <w:t>0</w:t>
            </w:r>
          </w:p>
        </w:tc>
        <w:tc>
          <w:tcPr>
            <w:tcW w:w="265" w:type="pct"/>
          </w:tcPr>
          <w:p w14:paraId="45D70150" w14:textId="77777777" w:rsidR="00247AD2" w:rsidRPr="00672714" w:rsidRDefault="00247AD2" w:rsidP="00672714">
            <w:pPr>
              <w:pStyle w:val="BodyText"/>
              <w:rPr>
                <w:sz w:val="20"/>
                <w:szCs w:val="20"/>
              </w:rPr>
            </w:pPr>
            <w:r w:rsidRPr="00672714">
              <w:rPr>
                <w:sz w:val="20"/>
                <w:szCs w:val="20"/>
              </w:rPr>
              <w:t>1</w:t>
            </w:r>
          </w:p>
        </w:tc>
        <w:tc>
          <w:tcPr>
            <w:tcW w:w="265" w:type="pct"/>
          </w:tcPr>
          <w:p w14:paraId="645A438F" w14:textId="77777777" w:rsidR="00247AD2" w:rsidRPr="00672714" w:rsidRDefault="00247AD2" w:rsidP="00672714">
            <w:pPr>
              <w:pStyle w:val="BodyText"/>
              <w:rPr>
                <w:sz w:val="20"/>
                <w:szCs w:val="20"/>
              </w:rPr>
            </w:pPr>
            <w:r w:rsidRPr="00672714">
              <w:rPr>
                <w:sz w:val="20"/>
                <w:szCs w:val="20"/>
              </w:rPr>
              <w:t>1</w:t>
            </w:r>
          </w:p>
        </w:tc>
        <w:tc>
          <w:tcPr>
            <w:tcW w:w="263" w:type="pct"/>
          </w:tcPr>
          <w:p w14:paraId="75DEBB8F" w14:textId="77777777" w:rsidR="00247AD2" w:rsidRPr="00672714" w:rsidRDefault="00247AD2" w:rsidP="00672714">
            <w:pPr>
              <w:pStyle w:val="BodyText"/>
              <w:rPr>
                <w:sz w:val="20"/>
                <w:szCs w:val="20"/>
              </w:rPr>
            </w:pPr>
            <w:r w:rsidRPr="00672714">
              <w:rPr>
                <w:sz w:val="20"/>
                <w:szCs w:val="20"/>
              </w:rPr>
              <w:t>0</w:t>
            </w:r>
          </w:p>
        </w:tc>
        <w:tc>
          <w:tcPr>
            <w:tcW w:w="263" w:type="pct"/>
          </w:tcPr>
          <w:p w14:paraId="7CCE4B64" w14:textId="77777777" w:rsidR="00247AD2" w:rsidRPr="00672714" w:rsidRDefault="00247AD2" w:rsidP="00672714">
            <w:pPr>
              <w:pStyle w:val="BodyText"/>
              <w:rPr>
                <w:sz w:val="20"/>
                <w:szCs w:val="20"/>
              </w:rPr>
            </w:pPr>
            <w:r w:rsidRPr="00672714">
              <w:rPr>
                <w:sz w:val="20"/>
                <w:szCs w:val="20"/>
              </w:rPr>
              <w:t>0</w:t>
            </w:r>
          </w:p>
        </w:tc>
        <w:tc>
          <w:tcPr>
            <w:tcW w:w="263" w:type="pct"/>
          </w:tcPr>
          <w:p w14:paraId="112F31A5" w14:textId="77777777" w:rsidR="00247AD2" w:rsidRPr="00672714" w:rsidRDefault="00247AD2" w:rsidP="00672714">
            <w:pPr>
              <w:pStyle w:val="BodyText"/>
              <w:rPr>
                <w:sz w:val="20"/>
                <w:szCs w:val="20"/>
              </w:rPr>
            </w:pPr>
            <w:r w:rsidRPr="00672714">
              <w:rPr>
                <w:sz w:val="20"/>
                <w:szCs w:val="20"/>
              </w:rPr>
              <w:t>0</w:t>
            </w:r>
          </w:p>
        </w:tc>
        <w:tc>
          <w:tcPr>
            <w:tcW w:w="263" w:type="pct"/>
          </w:tcPr>
          <w:p w14:paraId="5A903339" w14:textId="77777777" w:rsidR="00247AD2" w:rsidRPr="00672714" w:rsidRDefault="00247AD2" w:rsidP="00672714">
            <w:pPr>
              <w:pStyle w:val="BodyText"/>
              <w:rPr>
                <w:sz w:val="20"/>
                <w:szCs w:val="20"/>
              </w:rPr>
            </w:pPr>
            <w:r w:rsidRPr="00672714">
              <w:rPr>
                <w:sz w:val="20"/>
                <w:szCs w:val="20"/>
              </w:rPr>
              <w:t>0</w:t>
            </w:r>
          </w:p>
        </w:tc>
        <w:tc>
          <w:tcPr>
            <w:tcW w:w="263" w:type="pct"/>
          </w:tcPr>
          <w:p w14:paraId="6909F8F5" w14:textId="77777777" w:rsidR="00247AD2" w:rsidRPr="00672714" w:rsidRDefault="00247AD2" w:rsidP="00672714">
            <w:pPr>
              <w:pStyle w:val="BodyText"/>
              <w:rPr>
                <w:sz w:val="20"/>
                <w:szCs w:val="20"/>
              </w:rPr>
            </w:pPr>
            <w:r w:rsidRPr="00672714">
              <w:rPr>
                <w:sz w:val="20"/>
                <w:szCs w:val="20"/>
              </w:rPr>
              <w:t>0</w:t>
            </w:r>
          </w:p>
        </w:tc>
        <w:tc>
          <w:tcPr>
            <w:tcW w:w="263" w:type="pct"/>
          </w:tcPr>
          <w:p w14:paraId="3EA0B462" w14:textId="77777777" w:rsidR="00247AD2" w:rsidRPr="00672714" w:rsidRDefault="00247AD2" w:rsidP="00672714">
            <w:pPr>
              <w:pStyle w:val="BodyText"/>
              <w:rPr>
                <w:sz w:val="20"/>
                <w:szCs w:val="20"/>
              </w:rPr>
            </w:pPr>
            <w:r w:rsidRPr="00672714">
              <w:rPr>
                <w:sz w:val="20"/>
                <w:szCs w:val="20"/>
              </w:rPr>
              <w:t>0</w:t>
            </w:r>
          </w:p>
        </w:tc>
        <w:tc>
          <w:tcPr>
            <w:tcW w:w="313" w:type="pct"/>
          </w:tcPr>
          <w:p w14:paraId="3634E43A" w14:textId="77777777" w:rsidR="00247AD2" w:rsidRPr="00672714" w:rsidRDefault="00247AD2" w:rsidP="00672714">
            <w:pPr>
              <w:pStyle w:val="BodyText"/>
              <w:rPr>
                <w:sz w:val="20"/>
                <w:szCs w:val="20"/>
              </w:rPr>
            </w:pPr>
            <w:r w:rsidRPr="00672714">
              <w:rPr>
                <w:rStyle w:val="01bodybold"/>
                <w:sz w:val="20"/>
                <w:szCs w:val="20"/>
              </w:rPr>
              <w:t xml:space="preserve">37 </w:t>
            </w:r>
          </w:p>
        </w:tc>
      </w:tr>
      <w:tr w:rsidR="006A0585" w:rsidRPr="00672714" w14:paraId="73F548E3" w14:textId="77777777" w:rsidTr="006A0585">
        <w:trPr>
          <w:trHeight w:val="396"/>
        </w:trPr>
        <w:tc>
          <w:tcPr>
            <w:tcW w:w="550" w:type="pct"/>
          </w:tcPr>
          <w:p w14:paraId="5929870B" w14:textId="77777777" w:rsidR="00247AD2" w:rsidRPr="00672714" w:rsidRDefault="00247AD2" w:rsidP="00672714">
            <w:pPr>
              <w:pStyle w:val="BodyText"/>
              <w:rPr>
                <w:sz w:val="20"/>
                <w:szCs w:val="20"/>
              </w:rPr>
            </w:pPr>
            <w:r w:rsidRPr="00672714">
              <w:rPr>
                <w:sz w:val="20"/>
                <w:szCs w:val="20"/>
              </w:rPr>
              <w:t>APS1</w:t>
            </w:r>
          </w:p>
        </w:tc>
        <w:tc>
          <w:tcPr>
            <w:tcW w:w="288" w:type="pct"/>
          </w:tcPr>
          <w:p w14:paraId="292E9DDE" w14:textId="77777777" w:rsidR="00247AD2" w:rsidRPr="00672714" w:rsidRDefault="00247AD2" w:rsidP="00672714">
            <w:pPr>
              <w:pStyle w:val="BodyText"/>
              <w:rPr>
                <w:sz w:val="20"/>
                <w:szCs w:val="20"/>
              </w:rPr>
            </w:pPr>
            <w:r w:rsidRPr="00672714">
              <w:rPr>
                <w:sz w:val="20"/>
                <w:szCs w:val="20"/>
              </w:rPr>
              <w:t>13</w:t>
            </w:r>
          </w:p>
        </w:tc>
        <w:tc>
          <w:tcPr>
            <w:tcW w:w="275" w:type="pct"/>
          </w:tcPr>
          <w:p w14:paraId="7C6B2490" w14:textId="77777777" w:rsidR="00247AD2" w:rsidRPr="00672714" w:rsidRDefault="00247AD2" w:rsidP="00672714">
            <w:pPr>
              <w:pStyle w:val="BodyText"/>
              <w:rPr>
                <w:sz w:val="20"/>
                <w:szCs w:val="20"/>
              </w:rPr>
            </w:pPr>
            <w:r w:rsidRPr="00672714">
              <w:rPr>
                <w:sz w:val="20"/>
                <w:szCs w:val="20"/>
              </w:rPr>
              <w:t>5</w:t>
            </w:r>
          </w:p>
        </w:tc>
        <w:tc>
          <w:tcPr>
            <w:tcW w:w="288" w:type="pct"/>
          </w:tcPr>
          <w:p w14:paraId="35669D20" w14:textId="77777777" w:rsidR="00247AD2" w:rsidRPr="00672714" w:rsidRDefault="00247AD2" w:rsidP="00672714">
            <w:pPr>
              <w:pStyle w:val="BodyText"/>
              <w:rPr>
                <w:sz w:val="20"/>
                <w:szCs w:val="20"/>
              </w:rPr>
            </w:pPr>
            <w:r w:rsidRPr="00672714">
              <w:rPr>
                <w:sz w:val="20"/>
                <w:szCs w:val="20"/>
              </w:rPr>
              <w:t>18</w:t>
            </w:r>
          </w:p>
        </w:tc>
        <w:tc>
          <w:tcPr>
            <w:tcW w:w="313" w:type="pct"/>
          </w:tcPr>
          <w:p w14:paraId="3CA6B55C" w14:textId="77777777" w:rsidR="00247AD2" w:rsidRPr="00672714" w:rsidRDefault="00247AD2" w:rsidP="00672714">
            <w:pPr>
              <w:pStyle w:val="BodyText"/>
              <w:rPr>
                <w:sz w:val="20"/>
                <w:szCs w:val="20"/>
              </w:rPr>
            </w:pPr>
            <w:r w:rsidRPr="00672714">
              <w:rPr>
                <w:sz w:val="20"/>
                <w:szCs w:val="20"/>
              </w:rPr>
              <w:t>10</w:t>
            </w:r>
          </w:p>
        </w:tc>
        <w:tc>
          <w:tcPr>
            <w:tcW w:w="288" w:type="pct"/>
          </w:tcPr>
          <w:p w14:paraId="62885101" w14:textId="77777777" w:rsidR="00247AD2" w:rsidRPr="00672714" w:rsidRDefault="00247AD2" w:rsidP="00672714">
            <w:pPr>
              <w:pStyle w:val="BodyText"/>
              <w:rPr>
                <w:sz w:val="20"/>
                <w:szCs w:val="20"/>
              </w:rPr>
            </w:pPr>
            <w:r w:rsidRPr="00672714">
              <w:rPr>
                <w:sz w:val="20"/>
                <w:szCs w:val="20"/>
              </w:rPr>
              <w:t>7</w:t>
            </w:r>
          </w:p>
        </w:tc>
        <w:tc>
          <w:tcPr>
            <w:tcW w:w="313" w:type="pct"/>
          </w:tcPr>
          <w:p w14:paraId="22987140" w14:textId="77777777" w:rsidR="00247AD2" w:rsidRPr="00672714" w:rsidRDefault="00247AD2" w:rsidP="00672714">
            <w:pPr>
              <w:pStyle w:val="BodyText"/>
              <w:rPr>
                <w:sz w:val="20"/>
                <w:szCs w:val="20"/>
              </w:rPr>
            </w:pPr>
            <w:r w:rsidRPr="00672714">
              <w:rPr>
                <w:sz w:val="20"/>
                <w:szCs w:val="20"/>
              </w:rPr>
              <w:t>17</w:t>
            </w:r>
          </w:p>
        </w:tc>
        <w:tc>
          <w:tcPr>
            <w:tcW w:w="265" w:type="pct"/>
          </w:tcPr>
          <w:p w14:paraId="4D3D6E94" w14:textId="77777777" w:rsidR="00247AD2" w:rsidRPr="00672714" w:rsidRDefault="00247AD2" w:rsidP="00672714">
            <w:pPr>
              <w:pStyle w:val="BodyText"/>
              <w:rPr>
                <w:sz w:val="20"/>
                <w:szCs w:val="20"/>
              </w:rPr>
            </w:pPr>
            <w:r w:rsidRPr="00672714">
              <w:rPr>
                <w:sz w:val="20"/>
                <w:szCs w:val="20"/>
              </w:rPr>
              <w:t>0</w:t>
            </w:r>
          </w:p>
        </w:tc>
        <w:tc>
          <w:tcPr>
            <w:tcW w:w="265" w:type="pct"/>
          </w:tcPr>
          <w:p w14:paraId="48C804CC" w14:textId="77777777" w:rsidR="00247AD2" w:rsidRPr="00672714" w:rsidRDefault="00247AD2" w:rsidP="00672714">
            <w:pPr>
              <w:pStyle w:val="BodyText"/>
              <w:rPr>
                <w:sz w:val="20"/>
                <w:szCs w:val="20"/>
              </w:rPr>
            </w:pPr>
            <w:r w:rsidRPr="00672714">
              <w:rPr>
                <w:sz w:val="20"/>
                <w:szCs w:val="20"/>
              </w:rPr>
              <w:t>0</w:t>
            </w:r>
          </w:p>
        </w:tc>
        <w:tc>
          <w:tcPr>
            <w:tcW w:w="265" w:type="pct"/>
          </w:tcPr>
          <w:p w14:paraId="3C6CE891" w14:textId="77777777" w:rsidR="00247AD2" w:rsidRPr="00672714" w:rsidRDefault="00247AD2" w:rsidP="00672714">
            <w:pPr>
              <w:pStyle w:val="BodyText"/>
              <w:rPr>
                <w:sz w:val="20"/>
                <w:szCs w:val="20"/>
              </w:rPr>
            </w:pPr>
            <w:r w:rsidRPr="00672714">
              <w:rPr>
                <w:sz w:val="20"/>
                <w:szCs w:val="20"/>
              </w:rPr>
              <w:t>0</w:t>
            </w:r>
          </w:p>
        </w:tc>
        <w:tc>
          <w:tcPr>
            <w:tcW w:w="263" w:type="pct"/>
          </w:tcPr>
          <w:p w14:paraId="3922D014" w14:textId="77777777" w:rsidR="00247AD2" w:rsidRPr="00672714" w:rsidRDefault="00247AD2" w:rsidP="00672714">
            <w:pPr>
              <w:pStyle w:val="BodyText"/>
              <w:rPr>
                <w:sz w:val="20"/>
                <w:szCs w:val="20"/>
              </w:rPr>
            </w:pPr>
            <w:r w:rsidRPr="00672714">
              <w:rPr>
                <w:sz w:val="20"/>
                <w:szCs w:val="20"/>
              </w:rPr>
              <w:t>0</w:t>
            </w:r>
          </w:p>
        </w:tc>
        <w:tc>
          <w:tcPr>
            <w:tcW w:w="263" w:type="pct"/>
          </w:tcPr>
          <w:p w14:paraId="07955B19" w14:textId="77777777" w:rsidR="00247AD2" w:rsidRPr="00672714" w:rsidRDefault="00247AD2" w:rsidP="00672714">
            <w:pPr>
              <w:pStyle w:val="BodyText"/>
              <w:rPr>
                <w:sz w:val="20"/>
                <w:szCs w:val="20"/>
              </w:rPr>
            </w:pPr>
            <w:r w:rsidRPr="00672714">
              <w:rPr>
                <w:sz w:val="20"/>
                <w:szCs w:val="20"/>
              </w:rPr>
              <w:t>0</w:t>
            </w:r>
          </w:p>
        </w:tc>
        <w:tc>
          <w:tcPr>
            <w:tcW w:w="263" w:type="pct"/>
          </w:tcPr>
          <w:p w14:paraId="07D47AAB" w14:textId="77777777" w:rsidR="00247AD2" w:rsidRPr="00672714" w:rsidRDefault="00247AD2" w:rsidP="00672714">
            <w:pPr>
              <w:pStyle w:val="BodyText"/>
              <w:rPr>
                <w:sz w:val="20"/>
                <w:szCs w:val="20"/>
              </w:rPr>
            </w:pPr>
            <w:r w:rsidRPr="00672714">
              <w:rPr>
                <w:sz w:val="20"/>
                <w:szCs w:val="20"/>
              </w:rPr>
              <w:t>0</w:t>
            </w:r>
          </w:p>
        </w:tc>
        <w:tc>
          <w:tcPr>
            <w:tcW w:w="263" w:type="pct"/>
          </w:tcPr>
          <w:p w14:paraId="7D72A884" w14:textId="77777777" w:rsidR="00247AD2" w:rsidRPr="00672714" w:rsidRDefault="00247AD2" w:rsidP="00672714">
            <w:pPr>
              <w:pStyle w:val="BodyText"/>
              <w:rPr>
                <w:sz w:val="20"/>
                <w:szCs w:val="20"/>
              </w:rPr>
            </w:pPr>
            <w:r w:rsidRPr="00672714">
              <w:rPr>
                <w:sz w:val="20"/>
                <w:szCs w:val="20"/>
              </w:rPr>
              <w:t>0</w:t>
            </w:r>
          </w:p>
        </w:tc>
        <w:tc>
          <w:tcPr>
            <w:tcW w:w="263" w:type="pct"/>
          </w:tcPr>
          <w:p w14:paraId="32B7CB36" w14:textId="77777777" w:rsidR="00247AD2" w:rsidRPr="00672714" w:rsidRDefault="00247AD2" w:rsidP="00672714">
            <w:pPr>
              <w:pStyle w:val="BodyText"/>
              <w:rPr>
                <w:sz w:val="20"/>
                <w:szCs w:val="20"/>
              </w:rPr>
            </w:pPr>
            <w:r w:rsidRPr="00672714">
              <w:rPr>
                <w:sz w:val="20"/>
                <w:szCs w:val="20"/>
              </w:rPr>
              <w:t>0</w:t>
            </w:r>
          </w:p>
        </w:tc>
        <w:tc>
          <w:tcPr>
            <w:tcW w:w="263" w:type="pct"/>
          </w:tcPr>
          <w:p w14:paraId="4FFBA8D0" w14:textId="77777777" w:rsidR="00247AD2" w:rsidRPr="00672714" w:rsidRDefault="00247AD2" w:rsidP="00672714">
            <w:pPr>
              <w:pStyle w:val="BodyText"/>
              <w:rPr>
                <w:sz w:val="20"/>
                <w:szCs w:val="20"/>
              </w:rPr>
            </w:pPr>
            <w:r w:rsidRPr="00672714">
              <w:rPr>
                <w:sz w:val="20"/>
                <w:szCs w:val="20"/>
              </w:rPr>
              <w:t>0</w:t>
            </w:r>
          </w:p>
        </w:tc>
        <w:tc>
          <w:tcPr>
            <w:tcW w:w="313" w:type="pct"/>
          </w:tcPr>
          <w:p w14:paraId="0488175F" w14:textId="77777777" w:rsidR="00247AD2" w:rsidRPr="00672714" w:rsidRDefault="00247AD2" w:rsidP="00672714">
            <w:pPr>
              <w:pStyle w:val="BodyText"/>
              <w:rPr>
                <w:sz w:val="20"/>
                <w:szCs w:val="20"/>
              </w:rPr>
            </w:pPr>
            <w:r w:rsidRPr="00672714">
              <w:rPr>
                <w:rStyle w:val="01bodybold"/>
                <w:sz w:val="20"/>
                <w:szCs w:val="20"/>
              </w:rPr>
              <w:t xml:space="preserve">35 </w:t>
            </w:r>
          </w:p>
        </w:tc>
      </w:tr>
      <w:tr w:rsidR="006A0585" w:rsidRPr="00672714" w14:paraId="1B12239A" w14:textId="77777777" w:rsidTr="006A0585">
        <w:trPr>
          <w:trHeight w:val="396"/>
        </w:trPr>
        <w:tc>
          <w:tcPr>
            <w:tcW w:w="550" w:type="pct"/>
          </w:tcPr>
          <w:p w14:paraId="23FA2135" w14:textId="77777777" w:rsidR="00247AD2" w:rsidRPr="00672714" w:rsidRDefault="00247AD2" w:rsidP="00672714">
            <w:pPr>
              <w:pStyle w:val="BodyText"/>
              <w:rPr>
                <w:sz w:val="20"/>
                <w:szCs w:val="20"/>
              </w:rPr>
            </w:pPr>
            <w:r w:rsidRPr="00672714">
              <w:rPr>
                <w:sz w:val="20"/>
                <w:szCs w:val="20"/>
              </w:rPr>
              <w:t>Other</w:t>
            </w:r>
          </w:p>
        </w:tc>
        <w:tc>
          <w:tcPr>
            <w:tcW w:w="288" w:type="pct"/>
          </w:tcPr>
          <w:p w14:paraId="4DD8A1BB" w14:textId="77777777" w:rsidR="00247AD2" w:rsidRPr="00672714" w:rsidRDefault="00247AD2" w:rsidP="00672714">
            <w:pPr>
              <w:pStyle w:val="BodyText"/>
              <w:rPr>
                <w:sz w:val="20"/>
                <w:szCs w:val="20"/>
              </w:rPr>
            </w:pPr>
            <w:r w:rsidRPr="00672714">
              <w:rPr>
                <w:sz w:val="20"/>
                <w:szCs w:val="20"/>
              </w:rPr>
              <w:t>95</w:t>
            </w:r>
          </w:p>
        </w:tc>
        <w:tc>
          <w:tcPr>
            <w:tcW w:w="275" w:type="pct"/>
          </w:tcPr>
          <w:p w14:paraId="0AC1549C" w14:textId="77777777" w:rsidR="00247AD2" w:rsidRPr="00672714" w:rsidRDefault="00247AD2" w:rsidP="00672714">
            <w:pPr>
              <w:pStyle w:val="BodyText"/>
              <w:rPr>
                <w:sz w:val="20"/>
                <w:szCs w:val="20"/>
              </w:rPr>
            </w:pPr>
            <w:r w:rsidRPr="00672714">
              <w:rPr>
                <w:sz w:val="20"/>
                <w:szCs w:val="20"/>
              </w:rPr>
              <w:t>13</w:t>
            </w:r>
          </w:p>
        </w:tc>
        <w:tc>
          <w:tcPr>
            <w:tcW w:w="288" w:type="pct"/>
          </w:tcPr>
          <w:p w14:paraId="35D797B3" w14:textId="77777777" w:rsidR="00247AD2" w:rsidRPr="00672714" w:rsidRDefault="00247AD2" w:rsidP="00672714">
            <w:pPr>
              <w:pStyle w:val="BodyText"/>
              <w:rPr>
                <w:sz w:val="20"/>
                <w:szCs w:val="20"/>
              </w:rPr>
            </w:pPr>
            <w:r w:rsidRPr="00672714">
              <w:rPr>
                <w:sz w:val="20"/>
                <w:szCs w:val="20"/>
              </w:rPr>
              <w:t>108</w:t>
            </w:r>
          </w:p>
        </w:tc>
        <w:tc>
          <w:tcPr>
            <w:tcW w:w="313" w:type="pct"/>
          </w:tcPr>
          <w:p w14:paraId="2AE37C41" w14:textId="77777777" w:rsidR="00247AD2" w:rsidRPr="00672714" w:rsidRDefault="00247AD2" w:rsidP="00672714">
            <w:pPr>
              <w:pStyle w:val="BodyText"/>
              <w:rPr>
                <w:sz w:val="20"/>
                <w:szCs w:val="20"/>
              </w:rPr>
            </w:pPr>
            <w:r w:rsidRPr="00672714">
              <w:rPr>
                <w:sz w:val="20"/>
                <w:szCs w:val="20"/>
              </w:rPr>
              <w:t>115</w:t>
            </w:r>
          </w:p>
        </w:tc>
        <w:tc>
          <w:tcPr>
            <w:tcW w:w="288" w:type="pct"/>
          </w:tcPr>
          <w:p w14:paraId="7422955D" w14:textId="77777777" w:rsidR="00247AD2" w:rsidRPr="00672714" w:rsidRDefault="00247AD2" w:rsidP="00672714">
            <w:pPr>
              <w:pStyle w:val="BodyText"/>
              <w:rPr>
                <w:sz w:val="20"/>
                <w:szCs w:val="20"/>
              </w:rPr>
            </w:pPr>
            <w:r w:rsidRPr="00672714">
              <w:rPr>
                <w:sz w:val="20"/>
                <w:szCs w:val="20"/>
              </w:rPr>
              <w:t>16</w:t>
            </w:r>
          </w:p>
        </w:tc>
        <w:tc>
          <w:tcPr>
            <w:tcW w:w="313" w:type="pct"/>
          </w:tcPr>
          <w:p w14:paraId="6DC90320" w14:textId="77777777" w:rsidR="00247AD2" w:rsidRPr="00672714" w:rsidRDefault="00247AD2" w:rsidP="00672714">
            <w:pPr>
              <w:pStyle w:val="BodyText"/>
              <w:rPr>
                <w:sz w:val="20"/>
                <w:szCs w:val="20"/>
              </w:rPr>
            </w:pPr>
            <w:r w:rsidRPr="00672714">
              <w:rPr>
                <w:sz w:val="20"/>
                <w:szCs w:val="20"/>
              </w:rPr>
              <w:t>131</w:t>
            </w:r>
          </w:p>
        </w:tc>
        <w:tc>
          <w:tcPr>
            <w:tcW w:w="265" w:type="pct"/>
          </w:tcPr>
          <w:p w14:paraId="5389C3A8" w14:textId="77777777" w:rsidR="00247AD2" w:rsidRPr="00672714" w:rsidRDefault="00247AD2" w:rsidP="00672714">
            <w:pPr>
              <w:pStyle w:val="BodyText"/>
              <w:rPr>
                <w:sz w:val="20"/>
                <w:szCs w:val="20"/>
              </w:rPr>
            </w:pPr>
            <w:r w:rsidRPr="00672714">
              <w:rPr>
                <w:sz w:val="20"/>
                <w:szCs w:val="20"/>
              </w:rPr>
              <w:t>5</w:t>
            </w:r>
          </w:p>
        </w:tc>
        <w:tc>
          <w:tcPr>
            <w:tcW w:w="265" w:type="pct"/>
          </w:tcPr>
          <w:p w14:paraId="6723E68F" w14:textId="77777777" w:rsidR="00247AD2" w:rsidRPr="00672714" w:rsidRDefault="00247AD2" w:rsidP="00672714">
            <w:pPr>
              <w:pStyle w:val="BodyText"/>
              <w:rPr>
                <w:sz w:val="20"/>
                <w:szCs w:val="20"/>
              </w:rPr>
            </w:pPr>
            <w:r w:rsidRPr="00672714">
              <w:rPr>
                <w:sz w:val="20"/>
                <w:szCs w:val="20"/>
              </w:rPr>
              <w:t>0</w:t>
            </w:r>
          </w:p>
        </w:tc>
        <w:tc>
          <w:tcPr>
            <w:tcW w:w="265" w:type="pct"/>
          </w:tcPr>
          <w:p w14:paraId="6750F6AE" w14:textId="77777777" w:rsidR="00247AD2" w:rsidRPr="00672714" w:rsidRDefault="00247AD2" w:rsidP="00672714">
            <w:pPr>
              <w:pStyle w:val="BodyText"/>
              <w:rPr>
                <w:sz w:val="20"/>
                <w:szCs w:val="20"/>
              </w:rPr>
            </w:pPr>
            <w:r w:rsidRPr="00672714">
              <w:rPr>
                <w:sz w:val="20"/>
                <w:szCs w:val="20"/>
              </w:rPr>
              <w:t>5</w:t>
            </w:r>
          </w:p>
        </w:tc>
        <w:tc>
          <w:tcPr>
            <w:tcW w:w="263" w:type="pct"/>
          </w:tcPr>
          <w:p w14:paraId="28145F48" w14:textId="77777777" w:rsidR="00247AD2" w:rsidRPr="00672714" w:rsidRDefault="00247AD2" w:rsidP="00672714">
            <w:pPr>
              <w:pStyle w:val="BodyText"/>
              <w:rPr>
                <w:sz w:val="20"/>
                <w:szCs w:val="20"/>
              </w:rPr>
            </w:pPr>
            <w:r w:rsidRPr="00672714">
              <w:rPr>
                <w:sz w:val="20"/>
                <w:szCs w:val="20"/>
              </w:rPr>
              <w:t>0</w:t>
            </w:r>
          </w:p>
        </w:tc>
        <w:tc>
          <w:tcPr>
            <w:tcW w:w="263" w:type="pct"/>
          </w:tcPr>
          <w:p w14:paraId="3098207A" w14:textId="77777777" w:rsidR="00247AD2" w:rsidRPr="00672714" w:rsidRDefault="00247AD2" w:rsidP="00672714">
            <w:pPr>
              <w:pStyle w:val="BodyText"/>
              <w:rPr>
                <w:sz w:val="20"/>
                <w:szCs w:val="20"/>
              </w:rPr>
            </w:pPr>
            <w:r w:rsidRPr="00672714">
              <w:rPr>
                <w:sz w:val="20"/>
                <w:szCs w:val="20"/>
              </w:rPr>
              <w:t>0</w:t>
            </w:r>
          </w:p>
        </w:tc>
        <w:tc>
          <w:tcPr>
            <w:tcW w:w="263" w:type="pct"/>
          </w:tcPr>
          <w:p w14:paraId="5722C18F" w14:textId="77777777" w:rsidR="00247AD2" w:rsidRPr="00672714" w:rsidRDefault="00247AD2" w:rsidP="00672714">
            <w:pPr>
              <w:pStyle w:val="BodyText"/>
              <w:rPr>
                <w:sz w:val="20"/>
                <w:szCs w:val="20"/>
              </w:rPr>
            </w:pPr>
            <w:r w:rsidRPr="00672714">
              <w:rPr>
                <w:sz w:val="20"/>
                <w:szCs w:val="20"/>
              </w:rPr>
              <w:t>0</w:t>
            </w:r>
          </w:p>
        </w:tc>
        <w:tc>
          <w:tcPr>
            <w:tcW w:w="263" w:type="pct"/>
          </w:tcPr>
          <w:p w14:paraId="6B687199" w14:textId="77777777" w:rsidR="00247AD2" w:rsidRPr="00672714" w:rsidRDefault="00247AD2" w:rsidP="00672714">
            <w:pPr>
              <w:pStyle w:val="BodyText"/>
              <w:rPr>
                <w:sz w:val="20"/>
                <w:szCs w:val="20"/>
              </w:rPr>
            </w:pPr>
            <w:r w:rsidRPr="00672714">
              <w:rPr>
                <w:sz w:val="20"/>
                <w:szCs w:val="20"/>
              </w:rPr>
              <w:t>0</w:t>
            </w:r>
          </w:p>
        </w:tc>
        <w:tc>
          <w:tcPr>
            <w:tcW w:w="263" w:type="pct"/>
          </w:tcPr>
          <w:p w14:paraId="20DAF4F1" w14:textId="77777777" w:rsidR="00247AD2" w:rsidRPr="00672714" w:rsidRDefault="00247AD2" w:rsidP="00672714">
            <w:pPr>
              <w:pStyle w:val="BodyText"/>
              <w:rPr>
                <w:sz w:val="20"/>
                <w:szCs w:val="20"/>
              </w:rPr>
            </w:pPr>
            <w:r w:rsidRPr="00672714">
              <w:rPr>
                <w:sz w:val="20"/>
                <w:szCs w:val="20"/>
              </w:rPr>
              <w:t>0</w:t>
            </w:r>
          </w:p>
        </w:tc>
        <w:tc>
          <w:tcPr>
            <w:tcW w:w="263" w:type="pct"/>
          </w:tcPr>
          <w:p w14:paraId="0AF38CDB" w14:textId="77777777" w:rsidR="00247AD2" w:rsidRPr="00672714" w:rsidRDefault="00247AD2" w:rsidP="00672714">
            <w:pPr>
              <w:pStyle w:val="BodyText"/>
              <w:rPr>
                <w:sz w:val="20"/>
                <w:szCs w:val="20"/>
              </w:rPr>
            </w:pPr>
            <w:r w:rsidRPr="00672714">
              <w:rPr>
                <w:sz w:val="20"/>
                <w:szCs w:val="20"/>
              </w:rPr>
              <w:t>0</w:t>
            </w:r>
          </w:p>
        </w:tc>
        <w:tc>
          <w:tcPr>
            <w:tcW w:w="313" w:type="pct"/>
          </w:tcPr>
          <w:p w14:paraId="3C6F7617" w14:textId="77777777" w:rsidR="00247AD2" w:rsidRPr="00672714" w:rsidRDefault="00247AD2" w:rsidP="00672714">
            <w:pPr>
              <w:pStyle w:val="BodyText"/>
              <w:rPr>
                <w:sz w:val="20"/>
                <w:szCs w:val="20"/>
              </w:rPr>
            </w:pPr>
            <w:r w:rsidRPr="00672714">
              <w:rPr>
                <w:rStyle w:val="01bodybold"/>
                <w:sz w:val="20"/>
                <w:szCs w:val="20"/>
              </w:rPr>
              <w:t>244</w:t>
            </w:r>
          </w:p>
        </w:tc>
      </w:tr>
      <w:tr w:rsidR="006A0585" w:rsidRPr="00672714" w14:paraId="5D98CC25" w14:textId="77777777" w:rsidTr="006A0585">
        <w:trPr>
          <w:trHeight w:val="396"/>
        </w:trPr>
        <w:tc>
          <w:tcPr>
            <w:tcW w:w="550" w:type="pct"/>
          </w:tcPr>
          <w:p w14:paraId="21EC9D38" w14:textId="77777777" w:rsidR="00247AD2" w:rsidRPr="00672714" w:rsidRDefault="00247AD2" w:rsidP="00672714">
            <w:pPr>
              <w:pStyle w:val="BodyText"/>
              <w:rPr>
                <w:sz w:val="20"/>
                <w:szCs w:val="20"/>
              </w:rPr>
            </w:pPr>
            <w:r w:rsidRPr="00672714">
              <w:rPr>
                <w:rStyle w:val="01bodybold"/>
                <w:sz w:val="20"/>
                <w:szCs w:val="20"/>
              </w:rPr>
              <w:t>Total</w:t>
            </w:r>
          </w:p>
        </w:tc>
        <w:tc>
          <w:tcPr>
            <w:tcW w:w="288" w:type="pct"/>
          </w:tcPr>
          <w:p w14:paraId="0D5831C2" w14:textId="77777777" w:rsidR="00247AD2" w:rsidRPr="00672714" w:rsidRDefault="00247AD2" w:rsidP="00672714">
            <w:pPr>
              <w:pStyle w:val="BodyText"/>
              <w:rPr>
                <w:sz w:val="20"/>
                <w:szCs w:val="20"/>
              </w:rPr>
            </w:pPr>
            <w:r w:rsidRPr="00672714">
              <w:rPr>
                <w:rStyle w:val="01bodybold"/>
                <w:sz w:val="20"/>
                <w:szCs w:val="20"/>
              </w:rPr>
              <w:t>9,903</w:t>
            </w:r>
          </w:p>
        </w:tc>
        <w:tc>
          <w:tcPr>
            <w:tcW w:w="275" w:type="pct"/>
          </w:tcPr>
          <w:p w14:paraId="0B798CBD" w14:textId="77777777" w:rsidR="00247AD2" w:rsidRPr="00672714" w:rsidRDefault="00247AD2" w:rsidP="00672714">
            <w:pPr>
              <w:pStyle w:val="BodyText"/>
              <w:rPr>
                <w:sz w:val="20"/>
                <w:szCs w:val="20"/>
              </w:rPr>
            </w:pPr>
            <w:r w:rsidRPr="00672714">
              <w:rPr>
                <w:rStyle w:val="01bodybold"/>
                <w:sz w:val="20"/>
                <w:szCs w:val="20"/>
              </w:rPr>
              <w:t>855</w:t>
            </w:r>
          </w:p>
        </w:tc>
        <w:tc>
          <w:tcPr>
            <w:tcW w:w="288" w:type="pct"/>
          </w:tcPr>
          <w:p w14:paraId="5118D70C" w14:textId="77777777" w:rsidR="00247AD2" w:rsidRPr="00672714" w:rsidRDefault="00247AD2" w:rsidP="00672714">
            <w:pPr>
              <w:pStyle w:val="BodyText"/>
              <w:rPr>
                <w:sz w:val="20"/>
                <w:szCs w:val="20"/>
              </w:rPr>
            </w:pPr>
            <w:r w:rsidRPr="00672714">
              <w:rPr>
                <w:rStyle w:val="01bodybold"/>
                <w:spacing w:val="-11"/>
                <w:sz w:val="20"/>
                <w:szCs w:val="20"/>
              </w:rPr>
              <w:t>10,758</w:t>
            </w:r>
          </w:p>
        </w:tc>
        <w:tc>
          <w:tcPr>
            <w:tcW w:w="313" w:type="pct"/>
          </w:tcPr>
          <w:p w14:paraId="40FEBD87" w14:textId="77777777" w:rsidR="00247AD2" w:rsidRPr="00672714" w:rsidRDefault="00247AD2" w:rsidP="00672714">
            <w:pPr>
              <w:pStyle w:val="BodyText"/>
              <w:rPr>
                <w:sz w:val="20"/>
                <w:szCs w:val="20"/>
              </w:rPr>
            </w:pPr>
            <w:r w:rsidRPr="00672714">
              <w:rPr>
                <w:rStyle w:val="01bodybold"/>
                <w:spacing w:val="-2"/>
                <w:sz w:val="20"/>
                <w:szCs w:val="20"/>
              </w:rPr>
              <w:t>17,475</w:t>
            </w:r>
          </w:p>
        </w:tc>
        <w:tc>
          <w:tcPr>
            <w:tcW w:w="288" w:type="pct"/>
          </w:tcPr>
          <w:p w14:paraId="07B9B98A" w14:textId="77777777" w:rsidR="00247AD2" w:rsidRPr="00672714" w:rsidRDefault="00247AD2" w:rsidP="00672714">
            <w:pPr>
              <w:pStyle w:val="BodyText"/>
              <w:rPr>
                <w:sz w:val="20"/>
                <w:szCs w:val="20"/>
              </w:rPr>
            </w:pPr>
            <w:r w:rsidRPr="00672714">
              <w:rPr>
                <w:rStyle w:val="01bodybold"/>
                <w:sz w:val="20"/>
                <w:szCs w:val="20"/>
              </w:rPr>
              <w:t>6,193</w:t>
            </w:r>
          </w:p>
        </w:tc>
        <w:tc>
          <w:tcPr>
            <w:tcW w:w="313" w:type="pct"/>
          </w:tcPr>
          <w:p w14:paraId="7B0FA045" w14:textId="77777777" w:rsidR="00247AD2" w:rsidRPr="00672714" w:rsidRDefault="00247AD2" w:rsidP="00672714">
            <w:pPr>
              <w:pStyle w:val="BodyText"/>
              <w:rPr>
                <w:sz w:val="20"/>
                <w:szCs w:val="20"/>
              </w:rPr>
            </w:pPr>
            <w:r w:rsidRPr="00672714">
              <w:rPr>
                <w:rStyle w:val="01bodybold"/>
                <w:spacing w:val="-2"/>
                <w:sz w:val="20"/>
                <w:szCs w:val="20"/>
              </w:rPr>
              <w:t>23,668</w:t>
            </w:r>
          </w:p>
        </w:tc>
        <w:tc>
          <w:tcPr>
            <w:tcW w:w="265" w:type="pct"/>
          </w:tcPr>
          <w:p w14:paraId="21847FAA" w14:textId="77777777" w:rsidR="00247AD2" w:rsidRPr="00672714" w:rsidRDefault="00247AD2" w:rsidP="00672714">
            <w:pPr>
              <w:pStyle w:val="BodyText"/>
              <w:rPr>
                <w:sz w:val="20"/>
                <w:szCs w:val="20"/>
              </w:rPr>
            </w:pPr>
            <w:r w:rsidRPr="00672714">
              <w:rPr>
                <w:rStyle w:val="01bodybold"/>
                <w:sz w:val="20"/>
                <w:szCs w:val="20"/>
              </w:rPr>
              <w:t>276</w:t>
            </w:r>
          </w:p>
        </w:tc>
        <w:tc>
          <w:tcPr>
            <w:tcW w:w="265" w:type="pct"/>
          </w:tcPr>
          <w:p w14:paraId="73225553" w14:textId="77777777" w:rsidR="00247AD2" w:rsidRPr="00672714" w:rsidRDefault="00247AD2" w:rsidP="00672714">
            <w:pPr>
              <w:pStyle w:val="BodyText"/>
              <w:rPr>
                <w:sz w:val="20"/>
                <w:szCs w:val="20"/>
              </w:rPr>
            </w:pPr>
            <w:r w:rsidRPr="00672714">
              <w:rPr>
                <w:rStyle w:val="01bodybold"/>
                <w:sz w:val="20"/>
                <w:szCs w:val="20"/>
              </w:rPr>
              <w:t>64</w:t>
            </w:r>
          </w:p>
        </w:tc>
        <w:tc>
          <w:tcPr>
            <w:tcW w:w="265" w:type="pct"/>
          </w:tcPr>
          <w:p w14:paraId="073056AE" w14:textId="77777777" w:rsidR="00247AD2" w:rsidRPr="00672714" w:rsidRDefault="00247AD2" w:rsidP="00672714">
            <w:pPr>
              <w:pStyle w:val="BodyText"/>
              <w:rPr>
                <w:sz w:val="20"/>
                <w:szCs w:val="20"/>
              </w:rPr>
            </w:pPr>
            <w:r w:rsidRPr="00672714">
              <w:rPr>
                <w:rStyle w:val="01bodybold"/>
                <w:sz w:val="20"/>
                <w:szCs w:val="20"/>
              </w:rPr>
              <w:t>340</w:t>
            </w:r>
          </w:p>
        </w:tc>
        <w:tc>
          <w:tcPr>
            <w:tcW w:w="263" w:type="pct"/>
          </w:tcPr>
          <w:p w14:paraId="6479F8B2" w14:textId="77777777" w:rsidR="00247AD2" w:rsidRPr="00672714" w:rsidRDefault="00247AD2" w:rsidP="00672714">
            <w:pPr>
              <w:pStyle w:val="BodyText"/>
              <w:rPr>
                <w:sz w:val="20"/>
                <w:szCs w:val="20"/>
              </w:rPr>
            </w:pPr>
            <w:r w:rsidRPr="00672714">
              <w:rPr>
                <w:rStyle w:val="01bodybold"/>
                <w:sz w:val="20"/>
                <w:szCs w:val="20"/>
              </w:rPr>
              <w:t>0</w:t>
            </w:r>
          </w:p>
        </w:tc>
        <w:tc>
          <w:tcPr>
            <w:tcW w:w="263" w:type="pct"/>
          </w:tcPr>
          <w:p w14:paraId="3646BA4D" w14:textId="77777777" w:rsidR="00247AD2" w:rsidRPr="00672714" w:rsidRDefault="00247AD2" w:rsidP="00672714">
            <w:pPr>
              <w:pStyle w:val="BodyText"/>
              <w:rPr>
                <w:sz w:val="20"/>
                <w:szCs w:val="20"/>
              </w:rPr>
            </w:pPr>
            <w:r w:rsidRPr="00672714">
              <w:rPr>
                <w:rStyle w:val="01bodybold"/>
                <w:sz w:val="20"/>
                <w:szCs w:val="20"/>
              </w:rPr>
              <w:t>0</w:t>
            </w:r>
          </w:p>
        </w:tc>
        <w:tc>
          <w:tcPr>
            <w:tcW w:w="263" w:type="pct"/>
          </w:tcPr>
          <w:p w14:paraId="5265FC8E" w14:textId="77777777" w:rsidR="00247AD2" w:rsidRPr="00672714" w:rsidRDefault="00247AD2" w:rsidP="00672714">
            <w:pPr>
              <w:pStyle w:val="BodyText"/>
              <w:rPr>
                <w:sz w:val="20"/>
                <w:szCs w:val="20"/>
              </w:rPr>
            </w:pPr>
            <w:r w:rsidRPr="00672714">
              <w:rPr>
                <w:rStyle w:val="01bodybold"/>
                <w:sz w:val="20"/>
                <w:szCs w:val="20"/>
              </w:rPr>
              <w:t>0</w:t>
            </w:r>
          </w:p>
        </w:tc>
        <w:tc>
          <w:tcPr>
            <w:tcW w:w="263" w:type="pct"/>
          </w:tcPr>
          <w:p w14:paraId="2D96B299" w14:textId="77777777" w:rsidR="00247AD2" w:rsidRPr="00672714" w:rsidRDefault="00247AD2" w:rsidP="00672714">
            <w:pPr>
              <w:pStyle w:val="BodyText"/>
              <w:rPr>
                <w:sz w:val="20"/>
                <w:szCs w:val="20"/>
              </w:rPr>
            </w:pPr>
            <w:r w:rsidRPr="00672714">
              <w:rPr>
                <w:rStyle w:val="01bodybold"/>
                <w:sz w:val="20"/>
                <w:szCs w:val="20"/>
              </w:rPr>
              <w:t>0</w:t>
            </w:r>
          </w:p>
        </w:tc>
        <w:tc>
          <w:tcPr>
            <w:tcW w:w="263" w:type="pct"/>
          </w:tcPr>
          <w:p w14:paraId="094E575A" w14:textId="77777777" w:rsidR="00247AD2" w:rsidRPr="00672714" w:rsidRDefault="00247AD2" w:rsidP="00672714">
            <w:pPr>
              <w:pStyle w:val="BodyText"/>
              <w:rPr>
                <w:sz w:val="20"/>
                <w:szCs w:val="20"/>
              </w:rPr>
            </w:pPr>
            <w:r w:rsidRPr="00672714">
              <w:rPr>
                <w:rStyle w:val="01bodybold"/>
                <w:sz w:val="20"/>
                <w:szCs w:val="20"/>
              </w:rPr>
              <w:t>0</w:t>
            </w:r>
          </w:p>
        </w:tc>
        <w:tc>
          <w:tcPr>
            <w:tcW w:w="263" w:type="pct"/>
          </w:tcPr>
          <w:p w14:paraId="1D79BAEA" w14:textId="77777777" w:rsidR="00247AD2" w:rsidRPr="00672714" w:rsidRDefault="00247AD2" w:rsidP="00672714">
            <w:pPr>
              <w:pStyle w:val="BodyText"/>
              <w:rPr>
                <w:sz w:val="20"/>
                <w:szCs w:val="20"/>
              </w:rPr>
            </w:pPr>
            <w:r w:rsidRPr="00672714">
              <w:rPr>
                <w:rStyle w:val="01bodybold"/>
                <w:sz w:val="20"/>
                <w:szCs w:val="20"/>
              </w:rPr>
              <w:t>0</w:t>
            </w:r>
          </w:p>
        </w:tc>
        <w:tc>
          <w:tcPr>
            <w:tcW w:w="313" w:type="pct"/>
          </w:tcPr>
          <w:p w14:paraId="620464B8" w14:textId="77777777" w:rsidR="00247AD2" w:rsidRPr="00672714" w:rsidRDefault="00247AD2" w:rsidP="00672714">
            <w:pPr>
              <w:pStyle w:val="BodyText"/>
              <w:rPr>
                <w:sz w:val="20"/>
                <w:szCs w:val="20"/>
              </w:rPr>
            </w:pPr>
            <w:r w:rsidRPr="00672714">
              <w:rPr>
                <w:rStyle w:val="01bodybold"/>
                <w:spacing w:val="-2"/>
                <w:sz w:val="20"/>
                <w:szCs w:val="20"/>
              </w:rPr>
              <w:t xml:space="preserve">34,766 </w:t>
            </w:r>
          </w:p>
        </w:tc>
      </w:tr>
    </w:tbl>
    <w:p w14:paraId="2EAB528D" w14:textId="34DC5820" w:rsidR="00247AD2" w:rsidRPr="001D2CCD" w:rsidRDefault="001D2CCD" w:rsidP="001D2CCD">
      <w:pPr>
        <w:pStyle w:val="BodyText"/>
        <w:rPr>
          <w:b/>
          <w:bCs/>
        </w:rPr>
      </w:pPr>
      <w:r w:rsidRPr="001D2CCD">
        <w:rPr>
          <w:b/>
          <w:bCs/>
        </w:rPr>
        <w:t xml:space="preserve">Table 67: </w:t>
      </w:r>
      <w:r w:rsidR="00247AD2" w:rsidRPr="001D2CCD">
        <w:rPr>
          <w:b/>
          <w:bCs/>
        </w:rPr>
        <w:t>Australian Public Service Act ongoing employees 2023–24 (as at 30 June 2024)</w:t>
      </w:r>
    </w:p>
    <w:tbl>
      <w:tblPr>
        <w:tblStyle w:val="TableGrid"/>
        <w:tblW w:w="5000" w:type="pct"/>
        <w:tblLook w:val="04A0" w:firstRow="1" w:lastRow="0" w:firstColumn="1" w:lastColumn="0" w:noHBand="0" w:noVBand="1"/>
        <w:tblCaption w:val="Australian Public Service Act ongoing employees 2023–24 (as at 30 June 2024)"/>
      </w:tblPr>
      <w:tblGrid>
        <w:gridCol w:w="1224"/>
        <w:gridCol w:w="623"/>
        <w:gridCol w:w="587"/>
        <w:gridCol w:w="660"/>
        <w:gridCol w:w="704"/>
        <w:gridCol w:w="624"/>
        <w:gridCol w:w="714"/>
        <w:gridCol w:w="560"/>
        <w:gridCol w:w="587"/>
        <w:gridCol w:w="605"/>
        <w:gridCol w:w="560"/>
        <w:gridCol w:w="587"/>
        <w:gridCol w:w="605"/>
        <w:gridCol w:w="560"/>
        <w:gridCol w:w="587"/>
        <w:gridCol w:w="605"/>
        <w:gridCol w:w="704"/>
      </w:tblGrid>
      <w:tr w:rsidR="00247AD2" w:rsidRPr="001045FA" w14:paraId="2DC8A1A1" w14:textId="77777777" w:rsidTr="001045FA">
        <w:trPr>
          <w:trHeight w:val="369"/>
          <w:tblHeader/>
        </w:trPr>
        <w:tc>
          <w:tcPr>
            <w:tcW w:w="550" w:type="pct"/>
          </w:tcPr>
          <w:p w14:paraId="7D8AA60A" w14:textId="77777777" w:rsidR="00247AD2" w:rsidRPr="001045FA" w:rsidRDefault="00247AD2" w:rsidP="001045FA">
            <w:pPr>
              <w:pStyle w:val="BodyText"/>
              <w:rPr>
                <w:sz w:val="20"/>
                <w:szCs w:val="20"/>
              </w:rPr>
            </w:pPr>
          </w:p>
        </w:tc>
        <w:tc>
          <w:tcPr>
            <w:tcW w:w="851" w:type="pct"/>
            <w:gridSpan w:val="3"/>
          </w:tcPr>
          <w:p w14:paraId="4B10BE06" w14:textId="77777777" w:rsidR="00247AD2" w:rsidRPr="001045FA" w:rsidRDefault="00247AD2" w:rsidP="001045FA">
            <w:pPr>
              <w:pStyle w:val="BodyText"/>
              <w:rPr>
                <w:b/>
                <w:bCs/>
                <w:sz w:val="20"/>
                <w:szCs w:val="20"/>
              </w:rPr>
            </w:pPr>
            <w:r w:rsidRPr="001045FA">
              <w:rPr>
                <w:b/>
                <w:bCs/>
                <w:sz w:val="20"/>
                <w:szCs w:val="20"/>
              </w:rPr>
              <w:t>Man/male</w:t>
            </w:r>
          </w:p>
        </w:tc>
        <w:tc>
          <w:tcPr>
            <w:tcW w:w="913" w:type="pct"/>
            <w:gridSpan w:val="3"/>
          </w:tcPr>
          <w:p w14:paraId="5C56D7B3" w14:textId="77777777" w:rsidR="00247AD2" w:rsidRPr="001045FA" w:rsidRDefault="00247AD2" w:rsidP="001045FA">
            <w:pPr>
              <w:pStyle w:val="BodyText"/>
              <w:rPr>
                <w:b/>
                <w:bCs/>
                <w:sz w:val="20"/>
                <w:szCs w:val="20"/>
              </w:rPr>
            </w:pPr>
            <w:r w:rsidRPr="001045FA">
              <w:rPr>
                <w:b/>
                <w:bCs/>
                <w:sz w:val="20"/>
                <w:szCs w:val="20"/>
              </w:rPr>
              <w:t>Woman/female</w:t>
            </w:r>
          </w:p>
        </w:tc>
        <w:tc>
          <w:tcPr>
            <w:tcW w:w="796" w:type="pct"/>
            <w:gridSpan w:val="3"/>
          </w:tcPr>
          <w:p w14:paraId="0A9DE0F9" w14:textId="77777777" w:rsidR="00247AD2" w:rsidRPr="001045FA" w:rsidRDefault="00247AD2" w:rsidP="001045FA">
            <w:pPr>
              <w:pStyle w:val="BodyText"/>
              <w:rPr>
                <w:b/>
                <w:bCs/>
                <w:sz w:val="20"/>
                <w:szCs w:val="20"/>
              </w:rPr>
            </w:pPr>
            <w:r w:rsidRPr="001045FA">
              <w:rPr>
                <w:b/>
                <w:bCs/>
                <w:sz w:val="20"/>
                <w:szCs w:val="20"/>
              </w:rPr>
              <w:t>Non-binary</w:t>
            </w:r>
          </w:p>
        </w:tc>
        <w:tc>
          <w:tcPr>
            <w:tcW w:w="788" w:type="pct"/>
            <w:gridSpan w:val="3"/>
          </w:tcPr>
          <w:p w14:paraId="65CC55FE" w14:textId="77777777" w:rsidR="00247AD2" w:rsidRPr="001045FA" w:rsidRDefault="00247AD2" w:rsidP="001045FA">
            <w:pPr>
              <w:pStyle w:val="BodyText"/>
              <w:rPr>
                <w:b/>
                <w:bCs/>
                <w:sz w:val="20"/>
                <w:szCs w:val="20"/>
              </w:rPr>
            </w:pPr>
            <w:r w:rsidRPr="001045FA">
              <w:rPr>
                <w:b/>
                <w:bCs/>
                <w:sz w:val="20"/>
                <w:szCs w:val="20"/>
              </w:rPr>
              <w:t>Prefers not to answer</w:t>
            </w:r>
          </w:p>
        </w:tc>
        <w:tc>
          <w:tcPr>
            <w:tcW w:w="788" w:type="pct"/>
            <w:gridSpan w:val="3"/>
          </w:tcPr>
          <w:p w14:paraId="6B0BF18C" w14:textId="77777777" w:rsidR="00247AD2" w:rsidRPr="001045FA" w:rsidRDefault="00247AD2" w:rsidP="001045FA">
            <w:pPr>
              <w:pStyle w:val="BodyText"/>
              <w:rPr>
                <w:b/>
                <w:bCs/>
                <w:sz w:val="20"/>
                <w:szCs w:val="20"/>
              </w:rPr>
            </w:pPr>
            <w:r w:rsidRPr="001045FA">
              <w:rPr>
                <w:b/>
                <w:bCs/>
                <w:sz w:val="20"/>
                <w:szCs w:val="20"/>
              </w:rPr>
              <w:t>Uses a different term</w:t>
            </w:r>
          </w:p>
        </w:tc>
        <w:tc>
          <w:tcPr>
            <w:tcW w:w="313" w:type="pct"/>
          </w:tcPr>
          <w:p w14:paraId="443E86DD" w14:textId="77777777" w:rsidR="00247AD2" w:rsidRPr="001045FA" w:rsidRDefault="00247AD2" w:rsidP="001045FA">
            <w:pPr>
              <w:pStyle w:val="BodyText"/>
              <w:rPr>
                <w:sz w:val="20"/>
                <w:szCs w:val="20"/>
              </w:rPr>
            </w:pPr>
            <w:r w:rsidRPr="001045FA">
              <w:rPr>
                <w:rStyle w:val="Bold"/>
                <w:sz w:val="20"/>
                <w:szCs w:val="20"/>
              </w:rPr>
              <w:t>Total</w:t>
            </w:r>
          </w:p>
        </w:tc>
      </w:tr>
      <w:tr w:rsidR="006A0585" w:rsidRPr="001045FA" w14:paraId="6E612C47" w14:textId="77777777" w:rsidTr="001045FA">
        <w:trPr>
          <w:trHeight w:val="597"/>
          <w:tblHeader/>
        </w:trPr>
        <w:tc>
          <w:tcPr>
            <w:tcW w:w="550" w:type="pct"/>
          </w:tcPr>
          <w:p w14:paraId="04ED730F" w14:textId="77777777" w:rsidR="00247AD2" w:rsidRPr="001045FA" w:rsidRDefault="00247AD2" w:rsidP="001045FA">
            <w:pPr>
              <w:pStyle w:val="BodyText"/>
              <w:rPr>
                <w:sz w:val="20"/>
                <w:szCs w:val="20"/>
              </w:rPr>
            </w:pPr>
            <w:r w:rsidRPr="001045FA">
              <w:rPr>
                <w:rStyle w:val="Bold"/>
                <w:spacing w:val="-2"/>
                <w:sz w:val="20"/>
                <w:szCs w:val="20"/>
              </w:rPr>
              <w:t>Substantive classification</w:t>
            </w:r>
          </w:p>
        </w:tc>
        <w:tc>
          <w:tcPr>
            <w:tcW w:w="288" w:type="pct"/>
          </w:tcPr>
          <w:p w14:paraId="2463CA90" w14:textId="77777777" w:rsidR="00247AD2" w:rsidRPr="001045FA" w:rsidRDefault="00247AD2" w:rsidP="001045FA">
            <w:pPr>
              <w:pStyle w:val="BodyText"/>
              <w:rPr>
                <w:sz w:val="20"/>
                <w:szCs w:val="20"/>
              </w:rPr>
            </w:pPr>
            <w:r w:rsidRPr="001045FA">
              <w:rPr>
                <w:rStyle w:val="Bold"/>
                <w:sz w:val="20"/>
                <w:szCs w:val="20"/>
              </w:rPr>
              <w:t>Full-time</w:t>
            </w:r>
          </w:p>
        </w:tc>
        <w:tc>
          <w:tcPr>
            <w:tcW w:w="275" w:type="pct"/>
          </w:tcPr>
          <w:p w14:paraId="235EAE10" w14:textId="77777777" w:rsidR="00247AD2" w:rsidRPr="001045FA" w:rsidRDefault="00247AD2" w:rsidP="001045FA">
            <w:pPr>
              <w:pStyle w:val="BodyText"/>
              <w:rPr>
                <w:sz w:val="20"/>
                <w:szCs w:val="20"/>
              </w:rPr>
            </w:pPr>
            <w:r w:rsidRPr="001045FA">
              <w:rPr>
                <w:rStyle w:val="Bold"/>
                <w:sz w:val="20"/>
                <w:szCs w:val="20"/>
              </w:rPr>
              <w:t>Part-time</w:t>
            </w:r>
          </w:p>
        </w:tc>
        <w:tc>
          <w:tcPr>
            <w:tcW w:w="288" w:type="pct"/>
          </w:tcPr>
          <w:p w14:paraId="024854B0" w14:textId="77777777" w:rsidR="00247AD2" w:rsidRPr="001045FA" w:rsidRDefault="00247AD2" w:rsidP="001045FA">
            <w:pPr>
              <w:pStyle w:val="BodyText"/>
              <w:rPr>
                <w:sz w:val="20"/>
                <w:szCs w:val="20"/>
              </w:rPr>
            </w:pPr>
            <w:r w:rsidRPr="001045FA">
              <w:rPr>
                <w:rStyle w:val="Bold"/>
                <w:sz w:val="20"/>
                <w:szCs w:val="20"/>
              </w:rPr>
              <w:t>Total</w:t>
            </w:r>
          </w:p>
        </w:tc>
        <w:tc>
          <w:tcPr>
            <w:tcW w:w="313" w:type="pct"/>
          </w:tcPr>
          <w:p w14:paraId="2BE5923F" w14:textId="77777777" w:rsidR="00247AD2" w:rsidRPr="001045FA" w:rsidRDefault="00247AD2" w:rsidP="001045FA">
            <w:pPr>
              <w:pStyle w:val="BodyText"/>
              <w:rPr>
                <w:sz w:val="20"/>
                <w:szCs w:val="20"/>
              </w:rPr>
            </w:pPr>
            <w:r w:rsidRPr="001045FA">
              <w:rPr>
                <w:rStyle w:val="Bold"/>
                <w:sz w:val="20"/>
                <w:szCs w:val="20"/>
              </w:rPr>
              <w:t>Full-time</w:t>
            </w:r>
          </w:p>
        </w:tc>
        <w:tc>
          <w:tcPr>
            <w:tcW w:w="288" w:type="pct"/>
          </w:tcPr>
          <w:p w14:paraId="2128381C" w14:textId="77777777" w:rsidR="00247AD2" w:rsidRPr="001045FA" w:rsidRDefault="00247AD2" w:rsidP="001045FA">
            <w:pPr>
              <w:pStyle w:val="BodyText"/>
              <w:rPr>
                <w:sz w:val="20"/>
                <w:szCs w:val="20"/>
              </w:rPr>
            </w:pPr>
            <w:r w:rsidRPr="001045FA">
              <w:rPr>
                <w:rStyle w:val="Bold"/>
                <w:sz w:val="20"/>
                <w:szCs w:val="20"/>
              </w:rPr>
              <w:t>Part-time</w:t>
            </w:r>
          </w:p>
        </w:tc>
        <w:tc>
          <w:tcPr>
            <w:tcW w:w="313" w:type="pct"/>
          </w:tcPr>
          <w:p w14:paraId="1EFD3DA6" w14:textId="77777777" w:rsidR="00247AD2" w:rsidRPr="001045FA" w:rsidRDefault="00247AD2" w:rsidP="001045FA">
            <w:pPr>
              <w:pStyle w:val="BodyText"/>
              <w:rPr>
                <w:sz w:val="20"/>
                <w:szCs w:val="20"/>
              </w:rPr>
            </w:pPr>
            <w:r w:rsidRPr="001045FA">
              <w:rPr>
                <w:rStyle w:val="Bold"/>
                <w:sz w:val="20"/>
                <w:szCs w:val="20"/>
              </w:rPr>
              <w:t>Total</w:t>
            </w:r>
          </w:p>
        </w:tc>
        <w:tc>
          <w:tcPr>
            <w:tcW w:w="265" w:type="pct"/>
          </w:tcPr>
          <w:p w14:paraId="7432DAF9" w14:textId="77777777" w:rsidR="00247AD2" w:rsidRPr="001045FA" w:rsidRDefault="00247AD2" w:rsidP="001045FA">
            <w:pPr>
              <w:pStyle w:val="BodyText"/>
              <w:rPr>
                <w:sz w:val="20"/>
                <w:szCs w:val="20"/>
              </w:rPr>
            </w:pPr>
            <w:r w:rsidRPr="001045FA">
              <w:rPr>
                <w:rStyle w:val="Bold"/>
                <w:sz w:val="20"/>
                <w:szCs w:val="20"/>
              </w:rPr>
              <w:t>Full-time</w:t>
            </w:r>
          </w:p>
        </w:tc>
        <w:tc>
          <w:tcPr>
            <w:tcW w:w="265" w:type="pct"/>
          </w:tcPr>
          <w:p w14:paraId="5E078235" w14:textId="77777777" w:rsidR="00247AD2" w:rsidRPr="001045FA" w:rsidRDefault="00247AD2" w:rsidP="001045FA">
            <w:pPr>
              <w:pStyle w:val="BodyText"/>
              <w:rPr>
                <w:sz w:val="20"/>
                <w:szCs w:val="20"/>
              </w:rPr>
            </w:pPr>
            <w:r w:rsidRPr="001045FA">
              <w:rPr>
                <w:rStyle w:val="Bold"/>
                <w:sz w:val="20"/>
                <w:szCs w:val="20"/>
              </w:rPr>
              <w:t>Part-time</w:t>
            </w:r>
          </w:p>
        </w:tc>
        <w:tc>
          <w:tcPr>
            <w:tcW w:w="265" w:type="pct"/>
          </w:tcPr>
          <w:p w14:paraId="611B1FEA" w14:textId="77777777" w:rsidR="00247AD2" w:rsidRPr="001045FA" w:rsidRDefault="00247AD2" w:rsidP="001045FA">
            <w:pPr>
              <w:pStyle w:val="BodyText"/>
              <w:rPr>
                <w:sz w:val="20"/>
                <w:szCs w:val="20"/>
              </w:rPr>
            </w:pPr>
            <w:r w:rsidRPr="001045FA">
              <w:rPr>
                <w:rStyle w:val="Bold"/>
                <w:sz w:val="20"/>
                <w:szCs w:val="20"/>
              </w:rPr>
              <w:t>Total</w:t>
            </w:r>
          </w:p>
        </w:tc>
        <w:tc>
          <w:tcPr>
            <w:tcW w:w="263" w:type="pct"/>
          </w:tcPr>
          <w:p w14:paraId="68A44D17" w14:textId="77777777" w:rsidR="00247AD2" w:rsidRPr="001045FA" w:rsidRDefault="00247AD2" w:rsidP="001045FA">
            <w:pPr>
              <w:pStyle w:val="BodyText"/>
              <w:rPr>
                <w:sz w:val="20"/>
                <w:szCs w:val="20"/>
              </w:rPr>
            </w:pPr>
            <w:r w:rsidRPr="001045FA">
              <w:rPr>
                <w:rStyle w:val="Bold"/>
                <w:sz w:val="20"/>
                <w:szCs w:val="20"/>
              </w:rPr>
              <w:t>Full-time</w:t>
            </w:r>
          </w:p>
        </w:tc>
        <w:tc>
          <w:tcPr>
            <w:tcW w:w="263" w:type="pct"/>
          </w:tcPr>
          <w:p w14:paraId="022E5994" w14:textId="77777777" w:rsidR="00247AD2" w:rsidRPr="001045FA" w:rsidRDefault="00247AD2" w:rsidP="001045FA">
            <w:pPr>
              <w:pStyle w:val="BodyText"/>
              <w:rPr>
                <w:sz w:val="20"/>
                <w:szCs w:val="20"/>
              </w:rPr>
            </w:pPr>
            <w:r w:rsidRPr="001045FA">
              <w:rPr>
                <w:rStyle w:val="Bold"/>
                <w:sz w:val="20"/>
                <w:szCs w:val="20"/>
              </w:rPr>
              <w:t>Part-time</w:t>
            </w:r>
          </w:p>
        </w:tc>
        <w:tc>
          <w:tcPr>
            <w:tcW w:w="263" w:type="pct"/>
          </w:tcPr>
          <w:p w14:paraId="472F3DA9" w14:textId="77777777" w:rsidR="00247AD2" w:rsidRPr="001045FA" w:rsidRDefault="00247AD2" w:rsidP="001045FA">
            <w:pPr>
              <w:pStyle w:val="BodyText"/>
              <w:rPr>
                <w:sz w:val="20"/>
                <w:szCs w:val="20"/>
              </w:rPr>
            </w:pPr>
            <w:r w:rsidRPr="001045FA">
              <w:rPr>
                <w:rStyle w:val="Bold"/>
                <w:sz w:val="20"/>
                <w:szCs w:val="20"/>
              </w:rPr>
              <w:t>Total</w:t>
            </w:r>
          </w:p>
        </w:tc>
        <w:tc>
          <w:tcPr>
            <w:tcW w:w="263" w:type="pct"/>
          </w:tcPr>
          <w:p w14:paraId="7A5D4D64" w14:textId="77777777" w:rsidR="00247AD2" w:rsidRPr="001045FA" w:rsidRDefault="00247AD2" w:rsidP="001045FA">
            <w:pPr>
              <w:pStyle w:val="BodyText"/>
              <w:rPr>
                <w:sz w:val="20"/>
                <w:szCs w:val="20"/>
              </w:rPr>
            </w:pPr>
            <w:r w:rsidRPr="001045FA">
              <w:rPr>
                <w:rStyle w:val="Bold"/>
                <w:sz w:val="20"/>
                <w:szCs w:val="20"/>
              </w:rPr>
              <w:t>Full-time</w:t>
            </w:r>
          </w:p>
        </w:tc>
        <w:tc>
          <w:tcPr>
            <w:tcW w:w="263" w:type="pct"/>
          </w:tcPr>
          <w:p w14:paraId="686EF3BB" w14:textId="77777777" w:rsidR="00247AD2" w:rsidRPr="001045FA" w:rsidRDefault="00247AD2" w:rsidP="001045FA">
            <w:pPr>
              <w:pStyle w:val="BodyText"/>
              <w:rPr>
                <w:sz w:val="20"/>
                <w:szCs w:val="20"/>
              </w:rPr>
            </w:pPr>
            <w:r w:rsidRPr="001045FA">
              <w:rPr>
                <w:rStyle w:val="Bold"/>
                <w:sz w:val="20"/>
                <w:szCs w:val="20"/>
              </w:rPr>
              <w:t>Part-time</w:t>
            </w:r>
          </w:p>
        </w:tc>
        <w:tc>
          <w:tcPr>
            <w:tcW w:w="263" w:type="pct"/>
          </w:tcPr>
          <w:p w14:paraId="03893743" w14:textId="77777777" w:rsidR="00247AD2" w:rsidRPr="001045FA" w:rsidRDefault="00247AD2" w:rsidP="001045FA">
            <w:pPr>
              <w:pStyle w:val="BodyText"/>
              <w:rPr>
                <w:sz w:val="20"/>
                <w:szCs w:val="20"/>
              </w:rPr>
            </w:pPr>
            <w:r w:rsidRPr="001045FA">
              <w:rPr>
                <w:rStyle w:val="Bold"/>
                <w:sz w:val="20"/>
                <w:szCs w:val="20"/>
              </w:rPr>
              <w:t>Total</w:t>
            </w:r>
          </w:p>
        </w:tc>
        <w:tc>
          <w:tcPr>
            <w:tcW w:w="313" w:type="pct"/>
          </w:tcPr>
          <w:p w14:paraId="4219AF26" w14:textId="77777777" w:rsidR="00247AD2" w:rsidRPr="001045FA" w:rsidRDefault="00247AD2" w:rsidP="001045FA">
            <w:pPr>
              <w:pStyle w:val="BodyText"/>
              <w:rPr>
                <w:sz w:val="20"/>
                <w:szCs w:val="20"/>
              </w:rPr>
            </w:pPr>
          </w:p>
        </w:tc>
      </w:tr>
      <w:tr w:rsidR="006A0585" w:rsidRPr="001045FA" w14:paraId="22C9E399" w14:textId="77777777" w:rsidTr="006A0585">
        <w:trPr>
          <w:trHeight w:val="396"/>
        </w:trPr>
        <w:tc>
          <w:tcPr>
            <w:tcW w:w="550" w:type="pct"/>
          </w:tcPr>
          <w:p w14:paraId="20EC9A14" w14:textId="77777777" w:rsidR="00247AD2" w:rsidRPr="001045FA" w:rsidRDefault="00247AD2" w:rsidP="001045FA">
            <w:pPr>
              <w:pStyle w:val="BodyText"/>
              <w:rPr>
                <w:sz w:val="20"/>
                <w:szCs w:val="20"/>
              </w:rPr>
            </w:pPr>
            <w:r w:rsidRPr="001045FA">
              <w:rPr>
                <w:sz w:val="20"/>
                <w:szCs w:val="20"/>
              </w:rPr>
              <w:t>SES3</w:t>
            </w:r>
          </w:p>
        </w:tc>
        <w:tc>
          <w:tcPr>
            <w:tcW w:w="288" w:type="pct"/>
          </w:tcPr>
          <w:p w14:paraId="2FDFB587" w14:textId="77777777" w:rsidR="00247AD2" w:rsidRPr="001045FA" w:rsidRDefault="00247AD2" w:rsidP="001045FA">
            <w:pPr>
              <w:pStyle w:val="BodyText"/>
              <w:rPr>
                <w:sz w:val="20"/>
                <w:szCs w:val="20"/>
              </w:rPr>
            </w:pPr>
            <w:r w:rsidRPr="001045FA">
              <w:rPr>
                <w:sz w:val="20"/>
                <w:szCs w:val="20"/>
              </w:rPr>
              <w:t>4</w:t>
            </w:r>
          </w:p>
        </w:tc>
        <w:tc>
          <w:tcPr>
            <w:tcW w:w="275" w:type="pct"/>
          </w:tcPr>
          <w:p w14:paraId="3443C1BA" w14:textId="77777777" w:rsidR="00247AD2" w:rsidRPr="001045FA" w:rsidRDefault="00247AD2" w:rsidP="001045FA">
            <w:pPr>
              <w:pStyle w:val="BodyText"/>
              <w:rPr>
                <w:sz w:val="20"/>
                <w:szCs w:val="20"/>
              </w:rPr>
            </w:pPr>
            <w:r w:rsidRPr="001045FA">
              <w:rPr>
                <w:sz w:val="20"/>
                <w:szCs w:val="20"/>
              </w:rPr>
              <w:t>0</w:t>
            </w:r>
          </w:p>
        </w:tc>
        <w:tc>
          <w:tcPr>
            <w:tcW w:w="288" w:type="pct"/>
          </w:tcPr>
          <w:p w14:paraId="266BD390" w14:textId="77777777" w:rsidR="00247AD2" w:rsidRPr="001045FA" w:rsidRDefault="00247AD2" w:rsidP="001045FA">
            <w:pPr>
              <w:pStyle w:val="BodyText"/>
              <w:rPr>
                <w:sz w:val="20"/>
                <w:szCs w:val="20"/>
              </w:rPr>
            </w:pPr>
            <w:r w:rsidRPr="001045FA">
              <w:rPr>
                <w:sz w:val="20"/>
                <w:szCs w:val="20"/>
              </w:rPr>
              <w:t>4</w:t>
            </w:r>
          </w:p>
        </w:tc>
        <w:tc>
          <w:tcPr>
            <w:tcW w:w="313" w:type="pct"/>
          </w:tcPr>
          <w:p w14:paraId="11A010BC" w14:textId="77777777" w:rsidR="00247AD2" w:rsidRPr="001045FA" w:rsidRDefault="00247AD2" w:rsidP="001045FA">
            <w:pPr>
              <w:pStyle w:val="BodyText"/>
              <w:rPr>
                <w:sz w:val="20"/>
                <w:szCs w:val="20"/>
              </w:rPr>
            </w:pPr>
            <w:r w:rsidRPr="001045FA">
              <w:rPr>
                <w:sz w:val="20"/>
                <w:szCs w:val="20"/>
              </w:rPr>
              <w:t>2</w:t>
            </w:r>
          </w:p>
        </w:tc>
        <w:tc>
          <w:tcPr>
            <w:tcW w:w="288" w:type="pct"/>
          </w:tcPr>
          <w:p w14:paraId="44AEB278" w14:textId="77777777" w:rsidR="00247AD2" w:rsidRPr="001045FA" w:rsidRDefault="00247AD2" w:rsidP="001045FA">
            <w:pPr>
              <w:pStyle w:val="BodyText"/>
              <w:rPr>
                <w:sz w:val="20"/>
                <w:szCs w:val="20"/>
              </w:rPr>
            </w:pPr>
            <w:r w:rsidRPr="001045FA">
              <w:rPr>
                <w:sz w:val="20"/>
                <w:szCs w:val="20"/>
              </w:rPr>
              <w:t>0</w:t>
            </w:r>
          </w:p>
        </w:tc>
        <w:tc>
          <w:tcPr>
            <w:tcW w:w="313" w:type="pct"/>
          </w:tcPr>
          <w:p w14:paraId="7D018BF1" w14:textId="77777777" w:rsidR="00247AD2" w:rsidRPr="001045FA" w:rsidRDefault="00247AD2" w:rsidP="001045FA">
            <w:pPr>
              <w:pStyle w:val="BodyText"/>
              <w:rPr>
                <w:sz w:val="20"/>
                <w:szCs w:val="20"/>
              </w:rPr>
            </w:pPr>
            <w:r w:rsidRPr="001045FA">
              <w:rPr>
                <w:sz w:val="20"/>
                <w:szCs w:val="20"/>
              </w:rPr>
              <w:t>2</w:t>
            </w:r>
          </w:p>
        </w:tc>
        <w:tc>
          <w:tcPr>
            <w:tcW w:w="265" w:type="pct"/>
          </w:tcPr>
          <w:p w14:paraId="3F62A166" w14:textId="77777777" w:rsidR="00247AD2" w:rsidRPr="001045FA" w:rsidRDefault="00247AD2" w:rsidP="001045FA">
            <w:pPr>
              <w:pStyle w:val="BodyText"/>
              <w:rPr>
                <w:sz w:val="20"/>
                <w:szCs w:val="20"/>
              </w:rPr>
            </w:pPr>
            <w:r w:rsidRPr="001045FA">
              <w:rPr>
                <w:sz w:val="20"/>
                <w:szCs w:val="20"/>
              </w:rPr>
              <w:t>0</w:t>
            </w:r>
          </w:p>
        </w:tc>
        <w:tc>
          <w:tcPr>
            <w:tcW w:w="265" w:type="pct"/>
          </w:tcPr>
          <w:p w14:paraId="45D6A1D8" w14:textId="77777777" w:rsidR="00247AD2" w:rsidRPr="001045FA" w:rsidRDefault="00247AD2" w:rsidP="001045FA">
            <w:pPr>
              <w:pStyle w:val="BodyText"/>
              <w:rPr>
                <w:sz w:val="20"/>
                <w:szCs w:val="20"/>
              </w:rPr>
            </w:pPr>
            <w:r w:rsidRPr="001045FA">
              <w:rPr>
                <w:sz w:val="20"/>
                <w:szCs w:val="20"/>
              </w:rPr>
              <w:t>0</w:t>
            </w:r>
          </w:p>
        </w:tc>
        <w:tc>
          <w:tcPr>
            <w:tcW w:w="265" w:type="pct"/>
          </w:tcPr>
          <w:p w14:paraId="560BA280" w14:textId="77777777" w:rsidR="00247AD2" w:rsidRPr="001045FA" w:rsidRDefault="00247AD2" w:rsidP="001045FA">
            <w:pPr>
              <w:pStyle w:val="BodyText"/>
              <w:rPr>
                <w:sz w:val="20"/>
                <w:szCs w:val="20"/>
              </w:rPr>
            </w:pPr>
            <w:r w:rsidRPr="001045FA">
              <w:rPr>
                <w:sz w:val="20"/>
                <w:szCs w:val="20"/>
              </w:rPr>
              <w:t>0</w:t>
            </w:r>
          </w:p>
        </w:tc>
        <w:tc>
          <w:tcPr>
            <w:tcW w:w="263" w:type="pct"/>
          </w:tcPr>
          <w:p w14:paraId="1765E9D6" w14:textId="77777777" w:rsidR="00247AD2" w:rsidRPr="001045FA" w:rsidRDefault="00247AD2" w:rsidP="001045FA">
            <w:pPr>
              <w:pStyle w:val="BodyText"/>
              <w:rPr>
                <w:sz w:val="20"/>
                <w:szCs w:val="20"/>
              </w:rPr>
            </w:pPr>
            <w:r w:rsidRPr="001045FA">
              <w:rPr>
                <w:sz w:val="20"/>
                <w:szCs w:val="20"/>
              </w:rPr>
              <w:t>0</w:t>
            </w:r>
          </w:p>
        </w:tc>
        <w:tc>
          <w:tcPr>
            <w:tcW w:w="263" w:type="pct"/>
          </w:tcPr>
          <w:p w14:paraId="3BC86858" w14:textId="77777777" w:rsidR="00247AD2" w:rsidRPr="001045FA" w:rsidRDefault="00247AD2" w:rsidP="001045FA">
            <w:pPr>
              <w:pStyle w:val="BodyText"/>
              <w:rPr>
                <w:sz w:val="20"/>
                <w:szCs w:val="20"/>
              </w:rPr>
            </w:pPr>
            <w:r w:rsidRPr="001045FA">
              <w:rPr>
                <w:sz w:val="20"/>
                <w:szCs w:val="20"/>
              </w:rPr>
              <w:t>0</w:t>
            </w:r>
          </w:p>
        </w:tc>
        <w:tc>
          <w:tcPr>
            <w:tcW w:w="263" w:type="pct"/>
          </w:tcPr>
          <w:p w14:paraId="1257DB40" w14:textId="77777777" w:rsidR="00247AD2" w:rsidRPr="001045FA" w:rsidRDefault="00247AD2" w:rsidP="001045FA">
            <w:pPr>
              <w:pStyle w:val="BodyText"/>
              <w:rPr>
                <w:sz w:val="20"/>
                <w:szCs w:val="20"/>
              </w:rPr>
            </w:pPr>
            <w:r w:rsidRPr="001045FA">
              <w:rPr>
                <w:sz w:val="20"/>
                <w:szCs w:val="20"/>
              </w:rPr>
              <w:t>0</w:t>
            </w:r>
          </w:p>
        </w:tc>
        <w:tc>
          <w:tcPr>
            <w:tcW w:w="263" w:type="pct"/>
          </w:tcPr>
          <w:p w14:paraId="4F82F393" w14:textId="77777777" w:rsidR="00247AD2" w:rsidRPr="001045FA" w:rsidRDefault="00247AD2" w:rsidP="001045FA">
            <w:pPr>
              <w:pStyle w:val="BodyText"/>
              <w:rPr>
                <w:sz w:val="20"/>
                <w:szCs w:val="20"/>
              </w:rPr>
            </w:pPr>
            <w:r w:rsidRPr="001045FA">
              <w:rPr>
                <w:sz w:val="20"/>
                <w:szCs w:val="20"/>
              </w:rPr>
              <w:t>0</w:t>
            </w:r>
          </w:p>
        </w:tc>
        <w:tc>
          <w:tcPr>
            <w:tcW w:w="263" w:type="pct"/>
          </w:tcPr>
          <w:p w14:paraId="6DC7399F" w14:textId="77777777" w:rsidR="00247AD2" w:rsidRPr="001045FA" w:rsidRDefault="00247AD2" w:rsidP="001045FA">
            <w:pPr>
              <w:pStyle w:val="BodyText"/>
              <w:rPr>
                <w:sz w:val="20"/>
                <w:szCs w:val="20"/>
              </w:rPr>
            </w:pPr>
            <w:r w:rsidRPr="001045FA">
              <w:rPr>
                <w:sz w:val="20"/>
                <w:szCs w:val="20"/>
              </w:rPr>
              <w:t>0</w:t>
            </w:r>
          </w:p>
        </w:tc>
        <w:tc>
          <w:tcPr>
            <w:tcW w:w="263" w:type="pct"/>
          </w:tcPr>
          <w:p w14:paraId="0EFA8632" w14:textId="77777777" w:rsidR="00247AD2" w:rsidRPr="001045FA" w:rsidRDefault="00247AD2" w:rsidP="001045FA">
            <w:pPr>
              <w:pStyle w:val="BodyText"/>
              <w:rPr>
                <w:sz w:val="20"/>
                <w:szCs w:val="20"/>
              </w:rPr>
            </w:pPr>
            <w:r w:rsidRPr="001045FA">
              <w:rPr>
                <w:sz w:val="20"/>
                <w:szCs w:val="20"/>
              </w:rPr>
              <w:t>0</w:t>
            </w:r>
          </w:p>
        </w:tc>
        <w:tc>
          <w:tcPr>
            <w:tcW w:w="313" w:type="pct"/>
          </w:tcPr>
          <w:p w14:paraId="3BFAE256" w14:textId="77777777" w:rsidR="00247AD2" w:rsidRPr="001045FA" w:rsidRDefault="00247AD2" w:rsidP="001045FA">
            <w:pPr>
              <w:pStyle w:val="BodyText"/>
              <w:rPr>
                <w:sz w:val="20"/>
                <w:szCs w:val="20"/>
              </w:rPr>
            </w:pPr>
            <w:r w:rsidRPr="001045FA">
              <w:rPr>
                <w:rStyle w:val="01bodybold"/>
                <w:sz w:val="20"/>
                <w:szCs w:val="20"/>
              </w:rPr>
              <w:t>6</w:t>
            </w:r>
          </w:p>
        </w:tc>
      </w:tr>
      <w:tr w:rsidR="006A0585" w:rsidRPr="001045FA" w14:paraId="5187F4F6" w14:textId="77777777" w:rsidTr="006A0585">
        <w:trPr>
          <w:trHeight w:val="396"/>
        </w:trPr>
        <w:tc>
          <w:tcPr>
            <w:tcW w:w="550" w:type="pct"/>
          </w:tcPr>
          <w:p w14:paraId="362D1CB4" w14:textId="77777777" w:rsidR="00247AD2" w:rsidRPr="001045FA" w:rsidRDefault="00247AD2" w:rsidP="001045FA">
            <w:pPr>
              <w:pStyle w:val="BodyText"/>
              <w:rPr>
                <w:sz w:val="20"/>
                <w:szCs w:val="20"/>
              </w:rPr>
            </w:pPr>
            <w:r w:rsidRPr="001045FA">
              <w:rPr>
                <w:sz w:val="20"/>
                <w:szCs w:val="20"/>
              </w:rPr>
              <w:t>SES2</w:t>
            </w:r>
          </w:p>
        </w:tc>
        <w:tc>
          <w:tcPr>
            <w:tcW w:w="288" w:type="pct"/>
          </w:tcPr>
          <w:p w14:paraId="7BB30119" w14:textId="77777777" w:rsidR="00247AD2" w:rsidRPr="001045FA" w:rsidRDefault="00247AD2" w:rsidP="001045FA">
            <w:pPr>
              <w:pStyle w:val="BodyText"/>
              <w:rPr>
                <w:sz w:val="20"/>
                <w:szCs w:val="20"/>
              </w:rPr>
            </w:pPr>
            <w:r w:rsidRPr="001045FA">
              <w:rPr>
                <w:sz w:val="20"/>
                <w:szCs w:val="20"/>
              </w:rPr>
              <w:t>13</w:t>
            </w:r>
          </w:p>
        </w:tc>
        <w:tc>
          <w:tcPr>
            <w:tcW w:w="275" w:type="pct"/>
          </w:tcPr>
          <w:p w14:paraId="1D3E28E0" w14:textId="77777777" w:rsidR="00247AD2" w:rsidRPr="001045FA" w:rsidRDefault="00247AD2" w:rsidP="001045FA">
            <w:pPr>
              <w:pStyle w:val="BodyText"/>
              <w:rPr>
                <w:sz w:val="20"/>
                <w:szCs w:val="20"/>
              </w:rPr>
            </w:pPr>
            <w:r w:rsidRPr="001045FA">
              <w:rPr>
                <w:sz w:val="20"/>
                <w:szCs w:val="20"/>
              </w:rPr>
              <w:t>1</w:t>
            </w:r>
          </w:p>
        </w:tc>
        <w:tc>
          <w:tcPr>
            <w:tcW w:w="288" w:type="pct"/>
          </w:tcPr>
          <w:p w14:paraId="74B2D889" w14:textId="77777777" w:rsidR="00247AD2" w:rsidRPr="001045FA" w:rsidRDefault="00247AD2" w:rsidP="001045FA">
            <w:pPr>
              <w:pStyle w:val="BodyText"/>
              <w:rPr>
                <w:sz w:val="20"/>
                <w:szCs w:val="20"/>
              </w:rPr>
            </w:pPr>
            <w:r w:rsidRPr="001045FA">
              <w:rPr>
                <w:sz w:val="20"/>
                <w:szCs w:val="20"/>
              </w:rPr>
              <w:t>14</w:t>
            </w:r>
          </w:p>
        </w:tc>
        <w:tc>
          <w:tcPr>
            <w:tcW w:w="313" w:type="pct"/>
          </w:tcPr>
          <w:p w14:paraId="0C2A04B2" w14:textId="77777777" w:rsidR="00247AD2" w:rsidRPr="001045FA" w:rsidRDefault="00247AD2" w:rsidP="001045FA">
            <w:pPr>
              <w:pStyle w:val="BodyText"/>
              <w:rPr>
                <w:sz w:val="20"/>
                <w:szCs w:val="20"/>
              </w:rPr>
            </w:pPr>
            <w:r w:rsidRPr="001045FA">
              <w:rPr>
                <w:sz w:val="20"/>
                <w:szCs w:val="20"/>
              </w:rPr>
              <w:t>20</w:t>
            </w:r>
          </w:p>
        </w:tc>
        <w:tc>
          <w:tcPr>
            <w:tcW w:w="288" w:type="pct"/>
          </w:tcPr>
          <w:p w14:paraId="4302DD22" w14:textId="77777777" w:rsidR="00247AD2" w:rsidRPr="001045FA" w:rsidRDefault="00247AD2" w:rsidP="001045FA">
            <w:pPr>
              <w:pStyle w:val="BodyText"/>
              <w:rPr>
                <w:sz w:val="20"/>
                <w:szCs w:val="20"/>
              </w:rPr>
            </w:pPr>
            <w:r w:rsidRPr="001045FA">
              <w:rPr>
                <w:sz w:val="20"/>
                <w:szCs w:val="20"/>
              </w:rPr>
              <w:t>0</w:t>
            </w:r>
          </w:p>
        </w:tc>
        <w:tc>
          <w:tcPr>
            <w:tcW w:w="313" w:type="pct"/>
          </w:tcPr>
          <w:p w14:paraId="5FEA2B3B" w14:textId="77777777" w:rsidR="00247AD2" w:rsidRPr="001045FA" w:rsidRDefault="00247AD2" w:rsidP="001045FA">
            <w:pPr>
              <w:pStyle w:val="BodyText"/>
              <w:rPr>
                <w:sz w:val="20"/>
                <w:szCs w:val="20"/>
              </w:rPr>
            </w:pPr>
            <w:r w:rsidRPr="001045FA">
              <w:rPr>
                <w:sz w:val="20"/>
                <w:szCs w:val="20"/>
              </w:rPr>
              <w:t>20</w:t>
            </w:r>
          </w:p>
        </w:tc>
        <w:tc>
          <w:tcPr>
            <w:tcW w:w="265" w:type="pct"/>
          </w:tcPr>
          <w:p w14:paraId="35895405" w14:textId="77777777" w:rsidR="00247AD2" w:rsidRPr="001045FA" w:rsidRDefault="00247AD2" w:rsidP="001045FA">
            <w:pPr>
              <w:pStyle w:val="BodyText"/>
              <w:rPr>
                <w:sz w:val="20"/>
                <w:szCs w:val="20"/>
              </w:rPr>
            </w:pPr>
            <w:r w:rsidRPr="001045FA">
              <w:rPr>
                <w:sz w:val="20"/>
                <w:szCs w:val="20"/>
              </w:rPr>
              <w:t>0</w:t>
            </w:r>
          </w:p>
        </w:tc>
        <w:tc>
          <w:tcPr>
            <w:tcW w:w="265" w:type="pct"/>
          </w:tcPr>
          <w:p w14:paraId="706918A2" w14:textId="77777777" w:rsidR="00247AD2" w:rsidRPr="001045FA" w:rsidRDefault="00247AD2" w:rsidP="001045FA">
            <w:pPr>
              <w:pStyle w:val="BodyText"/>
              <w:rPr>
                <w:sz w:val="20"/>
                <w:szCs w:val="20"/>
              </w:rPr>
            </w:pPr>
            <w:r w:rsidRPr="001045FA">
              <w:rPr>
                <w:sz w:val="20"/>
                <w:szCs w:val="20"/>
              </w:rPr>
              <w:t>0</w:t>
            </w:r>
          </w:p>
        </w:tc>
        <w:tc>
          <w:tcPr>
            <w:tcW w:w="265" w:type="pct"/>
          </w:tcPr>
          <w:p w14:paraId="0AE2F05F" w14:textId="77777777" w:rsidR="00247AD2" w:rsidRPr="001045FA" w:rsidRDefault="00247AD2" w:rsidP="001045FA">
            <w:pPr>
              <w:pStyle w:val="BodyText"/>
              <w:rPr>
                <w:sz w:val="20"/>
                <w:szCs w:val="20"/>
              </w:rPr>
            </w:pPr>
            <w:r w:rsidRPr="001045FA">
              <w:rPr>
                <w:sz w:val="20"/>
                <w:szCs w:val="20"/>
              </w:rPr>
              <w:t>0</w:t>
            </w:r>
          </w:p>
        </w:tc>
        <w:tc>
          <w:tcPr>
            <w:tcW w:w="263" w:type="pct"/>
          </w:tcPr>
          <w:p w14:paraId="3F2C272E" w14:textId="77777777" w:rsidR="00247AD2" w:rsidRPr="001045FA" w:rsidRDefault="00247AD2" w:rsidP="001045FA">
            <w:pPr>
              <w:pStyle w:val="BodyText"/>
              <w:rPr>
                <w:sz w:val="20"/>
                <w:szCs w:val="20"/>
              </w:rPr>
            </w:pPr>
            <w:r w:rsidRPr="001045FA">
              <w:rPr>
                <w:sz w:val="20"/>
                <w:szCs w:val="20"/>
              </w:rPr>
              <w:t>0</w:t>
            </w:r>
          </w:p>
        </w:tc>
        <w:tc>
          <w:tcPr>
            <w:tcW w:w="263" w:type="pct"/>
          </w:tcPr>
          <w:p w14:paraId="1BE7F22B" w14:textId="77777777" w:rsidR="00247AD2" w:rsidRPr="001045FA" w:rsidRDefault="00247AD2" w:rsidP="001045FA">
            <w:pPr>
              <w:pStyle w:val="BodyText"/>
              <w:rPr>
                <w:sz w:val="20"/>
                <w:szCs w:val="20"/>
              </w:rPr>
            </w:pPr>
            <w:r w:rsidRPr="001045FA">
              <w:rPr>
                <w:sz w:val="20"/>
                <w:szCs w:val="20"/>
              </w:rPr>
              <w:t>0</w:t>
            </w:r>
          </w:p>
        </w:tc>
        <w:tc>
          <w:tcPr>
            <w:tcW w:w="263" w:type="pct"/>
          </w:tcPr>
          <w:p w14:paraId="2C422906" w14:textId="77777777" w:rsidR="00247AD2" w:rsidRPr="001045FA" w:rsidRDefault="00247AD2" w:rsidP="001045FA">
            <w:pPr>
              <w:pStyle w:val="BodyText"/>
              <w:rPr>
                <w:sz w:val="20"/>
                <w:szCs w:val="20"/>
              </w:rPr>
            </w:pPr>
            <w:r w:rsidRPr="001045FA">
              <w:rPr>
                <w:sz w:val="20"/>
                <w:szCs w:val="20"/>
              </w:rPr>
              <w:t>0</w:t>
            </w:r>
          </w:p>
        </w:tc>
        <w:tc>
          <w:tcPr>
            <w:tcW w:w="263" w:type="pct"/>
          </w:tcPr>
          <w:p w14:paraId="012C9703" w14:textId="77777777" w:rsidR="00247AD2" w:rsidRPr="001045FA" w:rsidRDefault="00247AD2" w:rsidP="001045FA">
            <w:pPr>
              <w:pStyle w:val="BodyText"/>
              <w:rPr>
                <w:sz w:val="20"/>
                <w:szCs w:val="20"/>
              </w:rPr>
            </w:pPr>
            <w:r w:rsidRPr="001045FA">
              <w:rPr>
                <w:sz w:val="20"/>
                <w:szCs w:val="20"/>
              </w:rPr>
              <w:t>0</w:t>
            </w:r>
          </w:p>
        </w:tc>
        <w:tc>
          <w:tcPr>
            <w:tcW w:w="263" w:type="pct"/>
          </w:tcPr>
          <w:p w14:paraId="26A9FAAD" w14:textId="77777777" w:rsidR="00247AD2" w:rsidRPr="001045FA" w:rsidRDefault="00247AD2" w:rsidP="001045FA">
            <w:pPr>
              <w:pStyle w:val="BodyText"/>
              <w:rPr>
                <w:sz w:val="20"/>
                <w:szCs w:val="20"/>
              </w:rPr>
            </w:pPr>
            <w:r w:rsidRPr="001045FA">
              <w:rPr>
                <w:sz w:val="20"/>
                <w:szCs w:val="20"/>
              </w:rPr>
              <w:t>0</w:t>
            </w:r>
          </w:p>
        </w:tc>
        <w:tc>
          <w:tcPr>
            <w:tcW w:w="263" w:type="pct"/>
          </w:tcPr>
          <w:p w14:paraId="6202753F" w14:textId="77777777" w:rsidR="00247AD2" w:rsidRPr="001045FA" w:rsidRDefault="00247AD2" w:rsidP="001045FA">
            <w:pPr>
              <w:pStyle w:val="BodyText"/>
              <w:rPr>
                <w:sz w:val="20"/>
                <w:szCs w:val="20"/>
              </w:rPr>
            </w:pPr>
            <w:r w:rsidRPr="001045FA">
              <w:rPr>
                <w:sz w:val="20"/>
                <w:szCs w:val="20"/>
              </w:rPr>
              <w:t>0</w:t>
            </w:r>
          </w:p>
        </w:tc>
        <w:tc>
          <w:tcPr>
            <w:tcW w:w="313" w:type="pct"/>
          </w:tcPr>
          <w:p w14:paraId="1358D249" w14:textId="77777777" w:rsidR="00247AD2" w:rsidRPr="001045FA" w:rsidRDefault="00247AD2" w:rsidP="001045FA">
            <w:pPr>
              <w:pStyle w:val="BodyText"/>
              <w:rPr>
                <w:sz w:val="20"/>
                <w:szCs w:val="20"/>
              </w:rPr>
            </w:pPr>
            <w:r w:rsidRPr="001045FA">
              <w:rPr>
                <w:rStyle w:val="01bodybold"/>
                <w:sz w:val="20"/>
                <w:szCs w:val="20"/>
              </w:rPr>
              <w:t>34</w:t>
            </w:r>
          </w:p>
        </w:tc>
      </w:tr>
      <w:tr w:rsidR="006A0585" w:rsidRPr="001045FA" w14:paraId="10A2DF36" w14:textId="77777777" w:rsidTr="006A0585">
        <w:trPr>
          <w:trHeight w:val="396"/>
        </w:trPr>
        <w:tc>
          <w:tcPr>
            <w:tcW w:w="550" w:type="pct"/>
          </w:tcPr>
          <w:p w14:paraId="67CD7547" w14:textId="77777777" w:rsidR="00247AD2" w:rsidRPr="001045FA" w:rsidRDefault="00247AD2" w:rsidP="001045FA">
            <w:pPr>
              <w:pStyle w:val="BodyText"/>
              <w:rPr>
                <w:sz w:val="20"/>
                <w:szCs w:val="20"/>
              </w:rPr>
            </w:pPr>
            <w:r w:rsidRPr="001045FA">
              <w:rPr>
                <w:sz w:val="20"/>
                <w:szCs w:val="20"/>
              </w:rPr>
              <w:t>SES1</w:t>
            </w:r>
          </w:p>
        </w:tc>
        <w:tc>
          <w:tcPr>
            <w:tcW w:w="288" w:type="pct"/>
          </w:tcPr>
          <w:p w14:paraId="501924EB" w14:textId="77777777" w:rsidR="00247AD2" w:rsidRPr="001045FA" w:rsidRDefault="00247AD2" w:rsidP="001045FA">
            <w:pPr>
              <w:pStyle w:val="BodyText"/>
              <w:rPr>
                <w:sz w:val="20"/>
                <w:szCs w:val="20"/>
              </w:rPr>
            </w:pPr>
            <w:r w:rsidRPr="001045FA">
              <w:rPr>
                <w:sz w:val="20"/>
                <w:szCs w:val="20"/>
              </w:rPr>
              <w:t>48</w:t>
            </w:r>
          </w:p>
        </w:tc>
        <w:tc>
          <w:tcPr>
            <w:tcW w:w="275" w:type="pct"/>
          </w:tcPr>
          <w:p w14:paraId="6FAA3C6F" w14:textId="77777777" w:rsidR="00247AD2" w:rsidRPr="001045FA" w:rsidRDefault="00247AD2" w:rsidP="001045FA">
            <w:pPr>
              <w:pStyle w:val="BodyText"/>
              <w:rPr>
                <w:sz w:val="20"/>
                <w:szCs w:val="20"/>
              </w:rPr>
            </w:pPr>
            <w:r w:rsidRPr="001045FA">
              <w:rPr>
                <w:sz w:val="20"/>
                <w:szCs w:val="20"/>
              </w:rPr>
              <w:t>0</w:t>
            </w:r>
          </w:p>
        </w:tc>
        <w:tc>
          <w:tcPr>
            <w:tcW w:w="288" w:type="pct"/>
          </w:tcPr>
          <w:p w14:paraId="70DD7232" w14:textId="77777777" w:rsidR="00247AD2" w:rsidRPr="001045FA" w:rsidRDefault="00247AD2" w:rsidP="001045FA">
            <w:pPr>
              <w:pStyle w:val="BodyText"/>
              <w:rPr>
                <w:sz w:val="20"/>
                <w:szCs w:val="20"/>
              </w:rPr>
            </w:pPr>
            <w:r w:rsidRPr="001045FA">
              <w:rPr>
                <w:sz w:val="20"/>
                <w:szCs w:val="20"/>
              </w:rPr>
              <w:t>48</w:t>
            </w:r>
          </w:p>
        </w:tc>
        <w:tc>
          <w:tcPr>
            <w:tcW w:w="313" w:type="pct"/>
          </w:tcPr>
          <w:p w14:paraId="7A72DC60" w14:textId="77777777" w:rsidR="00247AD2" w:rsidRPr="001045FA" w:rsidRDefault="00247AD2" w:rsidP="001045FA">
            <w:pPr>
              <w:pStyle w:val="BodyText"/>
              <w:rPr>
                <w:sz w:val="20"/>
                <w:szCs w:val="20"/>
              </w:rPr>
            </w:pPr>
            <w:r w:rsidRPr="001045FA">
              <w:rPr>
                <w:sz w:val="20"/>
                <w:szCs w:val="20"/>
              </w:rPr>
              <w:t>73</w:t>
            </w:r>
          </w:p>
        </w:tc>
        <w:tc>
          <w:tcPr>
            <w:tcW w:w="288" w:type="pct"/>
          </w:tcPr>
          <w:p w14:paraId="237D4497" w14:textId="77777777" w:rsidR="00247AD2" w:rsidRPr="001045FA" w:rsidRDefault="00247AD2" w:rsidP="001045FA">
            <w:pPr>
              <w:pStyle w:val="BodyText"/>
              <w:rPr>
                <w:sz w:val="20"/>
                <w:szCs w:val="20"/>
              </w:rPr>
            </w:pPr>
            <w:r w:rsidRPr="001045FA">
              <w:rPr>
                <w:sz w:val="20"/>
                <w:szCs w:val="20"/>
              </w:rPr>
              <w:t>1</w:t>
            </w:r>
          </w:p>
        </w:tc>
        <w:tc>
          <w:tcPr>
            <w:tcW w:w="313" w:type="pct"/>
          </w:tcPr>
          <w:p w14:paraId="17BD161F" w14:textId="77777777" w:rsidR="00247AD2" w:rsidRPr="001045FA" w:rsidRDefault="00247AD2" w:rsidP="001045FA">
            <w:pPr>
              <w:pStyle w:val="BodyText"/>
              <w:rPr>
                <w:sz w:val="20"/>
                <w:szCs w:val="20"/>
              </w:rPr>
            </w:pPr>
            <w:r w:rsidRPr="001045FA">
              <w:rPr>
                <w:sz w:val="20"/>
                <w:szCs w:val="20"/>
              </w:rPr>
              <w:t>74</w:t>
            </w:r>
          </w:p>
        </w:tc>
        <w:tc>
          <w:tcPr>
            <w:tcW w:w="265" w:type="pct"/>
          </w:tcPr>
          <w:p w14:paraId="4C065EC1" w14:textId="77777777" w:rsidR="00247AD2" w:rsidRPr="001045FA" w:rsidRDefault="00247AD2" w:rsidP="001045FA">
            <w:pPr>
              <w:pStyle w:val="BodyText"/>
              <w:rPr>
                <w:sz w:val="20"/>
                <w:szCs w:val="20"/>
              </w:rPr>
            </w:pPr>
            <w:r w:rsidRPr="001045FA">
              <w:rPr>
                <w:sz w:val="20"/>
                <w:szCs w:val="20"/>
              </w:rPr>
              <w:t>1</w:t>
            </w:r>
          </w:p>
        </w:tc>
        <w:tc>
          <w:tcPr>
            <w:tcW w:w="265" w:type="pct"/>
          </w:tcPr>
          <w:p w14:paraId="2B6DF47F" w14:textId="77777777" w:rsidR="00247AD2" w:rsidRPr="001045FA" w:rsidRDefault="00247AD2" w:rsidP="001045FA">
            <w:pPr>
              <w:pStyle w:val="BodyText"/>
              <w:rPr>
                <w:sz w:val="20"/>
                <w:szCs w:val="20"/>
              </w:rPr>
            </w:pPr>
            <w:r w:rsidRPr="001045FA">
              <w:rPr>
                <w:sz w:val="20"/>
                <w:szCs w:val="20"/>
              </w:rPr>
              <w:t>0</w:t>
            </w:r>
          </w:p>
        </w:tc>
        <w:tc>
          <w:tcPr>
            <w:tcW w:w="265" w:type="pct"/>
          </w:tcPr>
          <w:p w14:paraId="34497292" w14:textId="77777777" w:rsidR="00247AD2" w:rsidRPr="001045FA" w:rsidRDefault="00247AD2" w:rsidP="001045FA">
            <w:pPr>
              <w:pStyle w:val="BodyText"/>
              <w:rPr>
                <w:sz w:val="20"/>
                <w:szCs w:val="20"/>
              </w:rPr>
            </w:pPr>
            <w:r w:rsidRPr="001045FA">
              <w:rPr>
                <w:sz w:val="20"/>
                <w:szCs w:val="20"/>
              </w:rPr>
              <w:t>1</w:t>
            </w:r>
          </w:p>
        </w:tc>
        <w:tc>
          <w:tcPr>
            <w:tcW w:w="263" w:type="pct"/>
          </w:tcPr>
          <w:p w14:paraId="00BD1AFE" w14:textId="77777777" w:rsidR="00247AD2" w:rsidRPr="001045FA" w:rsidRDefault="00247AD2" w:rsidP="001045FA">
            <w:pPr>
              <w:pStyle w:val="BodyText"/>
              <w:rPr>
                <w:sz w:val="20"/>
                <w:szCs w:val="20"/>
              </w:rPr>
            </w:pPr>
            <w:r w:rsidRPr="001045FA">
              <w:rPr>
                <w:sz w:val="20"/>
                <w:szCs w:val="20"/>
              </w:rPr>
              <w:t>0</w:t>
            </w:r>
          </w:p>
        </w:tc>
        <w:tc>
          <w:tcPr>
            <w:tcW w:w="263" w:type="pct"/>
          </w:tcPr>
          <w:p w14:paraId="71C12E7A" w14:textId="77777777" w:rsidR="00247AD2" w:rsidRPr="001045FA" w:rsidRDefault="00247AD2" w:rsidP="001045FA">
            <w:pPr>
              <w:pStyle w:val="BodyText"/>
              <w:rPr>
                <w:sz w:val="20"/>
                <w:szCs w:val="20"/>
              </w:rPr>
            </w:pPr>
            <w:r w:rsidRPr="001045FA">
              <w:rPr>
                <w:sz w:val="20"/>
                <w:szCs w:val="20"/>
              </w:rPr>
              <w:t>0</w:t>
            </w:r>
          </w:p>
        </w:tc>
        <w:tc>
          <w:tcPr>
            <w:tcW w:w="263" w:type="pct"/>
          </w:tcPr>
          <w:p w14:paraId="1B2104F8" w14:textId="77777777" w:rsidR="00247AD2" w:rsidRPr="001045FA" w:rsidRDefault="00247AD2" w:rsidP="001045FA">
            <w:pPr>
              <w:pStyle w:val="BodyText"/>
              <w:rPr>
                <w:sz w:val="20"/>
                <w:szCs w:val="20"/>
              </w:rPr>
            </w:pPr>
            <w:r w:rsidRPr="001045FA">
              <w:rPr>
                <w:sz w:val="20"/>
                <w:szCs w:val="20"/>
              </w:rPr>
              <w:t>0</w:t>
            </w:r>
          </w:p>
        </w:tc>
        <w:tc>
          <w:tcPr>
            <w:tcW w:w="263" w:type="pct"/>
          </w:tcPr>
          <w:p w14:paraId="5CC86CD8" w14:textId="77777777" w:rsidR="00247AD2" w:rsidRPr="001045FA" w:rsidRDefault="00247AD2" w:rsidP="001045FA">
            <w:pPr>
              <w:pStyle w:val="BodyText"/>
              <w:rPr>
                <w:sz w:val="20"/>
                <w:szCs w:val="20"/>
              </w:rPr>
            </w:pPr>
            <w:r w:rsidRPr="001045FA">
              <w:rPr>
                <w:sz w:val="20"/>
                <w:szCs w:val="20"/>
              </w:rPr>
              <w:t>0</w:t>
            </w:r>
          </w:p>
        </w:tc>
        <w:tc>
          <w:tcPr>
            <w:tcW w:w="263" w:type="pct"/>
          </w:tcPr>
          <w:p w14:paraId="100470A4" w14:textId="77777777" w:rsidR="00247AD2" w:rsidRPr="001045FA" w:rsidRDefault="00247AD2" w:rsidP="001045FA">
            <w:pPr>
              <w:pStyle w:val="BodyText"/>
              <w:rPr>
                <w:sz w:val="20"/>
                <w:szCs w:val="20"/>
              </w:rPr>
            </w:pPr>
            <w:r w:rsidRPr="001045FA">
              <w:rPr>
                <w:sz w:val="20"/>
                <w:szCs w:val="20"/>
              </w:rPr>
              <w:t>0</w:t>
            </w:r>
          </w:p>
        </w:tc>
        <w:tc>
          <w:tcPr>
            <w:tcW w:w="263" w:type="pct"/>
          </w:tcPr>
          <w:p w14:paraId="1561F2B6" w14:textId="77777777" w:rsidR="00247AD2" w:rsidRPr="001045FA" w:rsidRDefault="00247AD2" w:rsidP="001045FA">
            <w:pPr>
              <w:pStyle w:val="BodyText"/>
              <w:rPr>
                <w:sz w:val="20"/>
                <w:szCs w:val="20"/>
              </w:rPr>
            </w:pPr>
            <w:r w:rsidRPr="001045FA">
              <w:rPr>
                <w:sz w:val="20"/>
                <w:szCs w:val="20"/>
              </w:rPr>
              <w:t>0</w:t>
            </w:r>
          </w:p>
        </w:tc>
        <w:tc>
          <w:tcPr>
            <w:tcW w:w="313" w:type="pct"/>
          </w:tcPr>
          <w:p w14:paraId="69A8ED42" w14:textId="77777777" w:rsidR="00247AD2" w:rsidRPr="001045FA" w:rsidRDefault="00247AD2" w:rsidP="001045FA">
            <w:pPr>
              <w:pStyle w:val="BodyText"/>
              <w:rPr>
                <w:sz w:val="20"/>
                <w:szCs w:val="20"/>
              </w:rPr>
            </w:pPr>
            <w:r w:rsidRPr="001045FA">
              <w:rPr>
                <w:rStyle w:val="01bodybold"/>
                <w:sz w:val="20"/>
                <w:szCs w:val="20"/>
              </w:rPr>
              <w:t>123</w:t>
            </w:r>
          </w:p>
        </w:tc>
      </w:tr>
      <w:tr w:rsidR="006A0585" w:rsidRPr="001045FA" w14:paraId="5263CFD6" w14:textId="77777777" w:rsidTr="006A0585">
        <w:trPr>
          <w:trHeight w:val="396"/>
        </w:trPr>
        <w:tc>
          <w:tcPr>
            <w:tcW w:w="550" w:type="pct"/>
          </w:tcPr>
          <w:p w14:paraId="5359D31D" w14:textId="77777777" w:rsidR="00247AD2" w:rsidRPr="001045FA" w:rsidRDefault="00247AD2" w:rsidP="001045FA">
            <w:pPr>
              <w:pStyle w:val="BodyText"/>
              <w:rPr>
                <w:sz w:val="20"/>
                <w:szCs w:val="20"/>
              </w:rPr>
            </w:pPr>
            <w:r w:rsidRPr="001045FA">
              <w:rPr>
                <w:sz w:val="20"/>
                <w:szCs w:val="20"/>
              </w:rPr>
              <w:t>EL2</w:t>
            </w:r>
          </w:p>
        </w:tc>
        <w:tc>
          <w:tcPr>
            <w:tcW w:w="288" w:type="pct"/>
          </w:tcPr>
          <w:p w14:paraId="3804D7BA" w14:textId="77777777" w:rsidR="00247AD2" w:rsidRPr="001045FA" w:rsidRDefault="00247AD2" w:rsidP="001045FA">
            <w:pPr>
              <w:pStyle w:val="BodyText"/>
              <w:rPr>
                <w:sz w:val="20"/>
                <w:szCs w:val="20"/>
              </w:rPr>
            </w:pPr>
            <w:r w:rsidRPr="001045FA">
              <w:rPr>
                <w:sz w:val="20"/>
                <w:szCs w:val="20"/>
              </w:rPr>
              <w:t>449</w:t>
            </w:r>
          </w:p>
        </w:tc>
        <w:tc>
          <w:tcPr>
            <w:tcW w:w="275" w:type="pct"/>
          </w:tcPr>
          <w:p w14:paraId="2CD4CC65" w14:textId="77777777" w:rsidR="00247AD2" w:rsidRPr="001045FA" w:rsidRDefault="00247AD2" w:rsidP="001045FA">
            <w:pPr>
              <w:pStyle w:val="BodyText"/>
              <w:rPr>
                <w:sz w:val="20"/>
                <w:szCs w:val="20"/>
              </w:rPr>
            </w:pPr>
            <w:r w:rsidRPr="001045FA">
              <w:rPr>
                <w:sz w:val="20"/>
                <w:szCs w:val="20"/>
              </w:rPr>
              <w:t>9</w:t>
            </w:r>
          </w:p>
        </w:tc>
        <w:tc>
          <w:tcPr>
            <w:tcW w:w="288" w:type="pct"/>
          </w:tcPr>
          <w:p w14:paraId="7AB1FFA7" w14:textId="77777777" w:rsidR="00247AD2" w:rsidRPr="001045FA" w:rsidRDefault="00247AD2" w:rsidP="001045FA">
            <w:pPr>
              <w:pStyle w:val="BodyText"/>
              <w:rPr>
                <w:sz w:val="20"/>
                <w:szCs w:val="20"/>
              </w:rPr>
            </w:pPr>
            <w:r w:rsidRPr="001045FA">
              <w:rPr>
                <w:sz w:val="20"/>
                <w:szCs w:val="20"/>
              </w:rPr>
              <w:t>458</w:t>
            </w:r>
          </w:p>
        </w:tc>
        <w:tc>
          <w:tcPr>
            <w:tcW w:w="313" w:type="pct"/>
          </w:tcPr>
          <w:p w14:paraId="19A99604" w14:textId="77777777" w:rsidR="00247AD2" w:rsidRPr="001045FA" w:rsidRDefault="00247AD2" w:rsidP="001045FA">
            <w:pPr>
              <w:pStyle w:val="BodyText"/>
              <w:rPr>
                <w:sz w:val="20"/>
                <w:szCs w:val="20"/>
              </w:rPr>
            </w:pPr>
            <w:r w:rsidRPr="001045FA">
              <w:rPr>
                <w:sz w:val="20"/>
                <w:szCs w:val="20"/>
              </w:rPr>
              <w:t>417</w:t>
            </w:r>
          </w:p>
        </w:tc>
        <w:tc>
          <w:tcPr>
            <w:tcW w:w="288" w:type="pct"/>
          </w:tcPr>
          <w:p w14:paraId="19ECE41B" w14:textId="77777777" w:rsidR="00247AD2" w:rsidRPr="001045FA" w:rsidRDefault="00247AD2" w:rsidP="001045FA">
            <w:pPr>
              <w:pStyle w:val="BodyText"/>
              <w:rPr>
                <w:sz w:val="20"/>
                <w:szCs w:val="20"/>
              </w:rPr>
            </w:pPr>
            <w:r w:rsidRPr="001045FA">
              <w:rPr>
                <w:sz w:val="20"/>
                <w:szCs w:val="20"/>
              </w:rPr>
              <w:t>36</w:t>
            </w:r>
          </w:p>
        </w:tc>
        <w:tc>
          <w:tcPr>
            <w:tcW w:w="313" w:type="pct"/>
          </w:tcPr>
          <w:p w14:paraId="2FF7B2AE" w14:textId="77777777" w:rsidR="00247AD2" w:rsidRPr="001045FA" w:rsidRDefault="00247AD2" w:rsidP="001045FA">
            <w:pPr>
              <w:pStyle w:val="BodyText"/>
              <w:rPr>
                <w:sz w:val="20"/>
                <w:szCs w:val="20"/>
              </w:rPr>
            </w:pPr>
            <w:r w:rsidRPr="001045FA">
              <w:rPr>
                <w:sz w:val="20"/>
                <w:szCs w:val="20"/>
              </w:rPr>
              <w:t>453</w:t>
            </w:r>
          </w:p>
        </w:tc>
        <w:tc>
          <w:tcPr>
            <w:tcW w:w="265" w:type="pct"/>
          </w:tcPr>
          <w:p w14:paraId="4C8E9301" w14:textId="77777777" w:rsidR="00247AD2" w:rsidRPr="001045FA" w:rsidRDefault="00247AD2" w:rsidP="001045FA">
            <w:pPr>
              <w:pStyle w:val="BodyText"/>
              <w:rPr>
                <w:sz w:val="20"/>
                <w:szCs w:val="20"/>
              </w:rPr>
            </w:pPr>
            <w:r w:rsidRPr="001045FA">
              <w:rPr>
                <w:sz w:val="20"/>
                <w:szCs w:val="20"/>
              </w:rPr>
              <w:t>0</w:t>
            </w:r>
          </w:p>
        </w:tc>
        <w:tc>
          <w:tcPr>
            <w:tcW w:w="265" w:type="pct"/>
          </w:tcPr>
          <w:p w14:paraId="14AA6662" w14:textId="77777777" w:rsidR="00247AD2" w:rsidRPr="001045FA" w:rsidRDefault="00247AD2" w:rsidP="001045FA">
            <w:pPr>
              <w:pStyle w:val="BodyText"/>
              <w:rPr>
                <w:sz w:val="20"/>
                <w:szCs w:val="20"/>
              </w:rPr>
            </w:pPr>
            <w:r w:rsidRPr="001045FA">
              <w:rPr>
                <w:sz w:val="20"/>
                <w:szCs w:val="20"/>
              </w:rPr>
              <w:t>0</w:t>
            </w:r>
          </w:p>
        </w:tc>
        <w:tc>
          <w:tcPr>
            <w:tcW w:w="265" w:type="pct"/>
          </w:tcPr>
          <w:p w14:paraId="682668FC" w14:textId="77777777" w:rsidR="00247AD2" w:rsidRPr="001045FA" w:rsidRDefault="00247AD2" w:rsidP="001045FA">
            <w:pPr>
              <w:pStyle w:val="BodyText"/>
              <w:rPr>
                <w:sz w:val="20"/>
                <w:szCs w:val="20"/>
              </w:rPr>
            </w:pPr>
            <w:r w:rsidRPr="001045FA">
              <w:rPr>
                <w:sz w:val="20"/>
                <w:szCs w:val="20"/>
              </w:rPr>
              <w:t>0</w:t>
            </w:r>
          </w:p>
        </w:tc>
        <w:tc>
          <w:tcPr>
            <w:tcW w:w="263" w:type="pct"/>
          </w:tcPr>
          <w:p w14:paraId="24966BE8" w14:textId="77777777" w:rsidR="00247AD2" w:rsidRPr="001045FA" w:rsidRDefault="00247AD2" w:rsidP="001045FA">
            <w:pPr>
              <w:pStyle w:val="BodyText"/>
              <w:rPr>
                <w:sz w:val="20"/>
                <w:szCs w:val="20"/>
              </w:rPr>
            </w:pPr>
            <w:r w:rsidRPr="001045FA">
              <w:rPr>
                <w:sz w:val="20"/>
                <w:szCs w:val="20"/>
              </w:rPr>
              <w:t>0</w:t>
            </w:r>
          </w:p>
        </w:tc>
        <w:tc>
          <w:tcPr>
            <w:tcW w:w="263" w:type="pct"/>
          </w:tcPr>
          <w:p w14:paraId="39B66D63" w14:textId="77777777" w:rsidR="00247AD2" w:rsidRPr="001045FA" w:rsidRDefault="00247AD2" w:rsidP="001045FA">
            <w:pPr>
              <w:pStyle w:val="BodyText"/>
              <w:rPr>
                <w:sz w:val="20"/>
                <w:szCs w:val="20"/>
              </w:rPr>
            </w:pPr>
            <w:r w:rsidRPr="001045FA">
              <w:rPr>
                <w:sz w:val="20"/>
                <w:szCs w:val="20"/>
              </w:rPr>
              <w:t>0</w:t>
            </w:r>
          </w:p>
        </w:tc>
        <w:tc>
          <w:tcPr>
            <w:tcW w:w="263" w:type="pct"/>
          </w:tcPr>
          <w:p w14:paraId="268F3B18" w14:textId="77777777" w:rsidR="00247AD2" w:rsidRPr="001045FA" w:rsidRDefault="00247AD2" w:rsidP="001045FA">
            <w:pPr>
              <w:pStyle w:val="BodyText"/>
              <w:rPr>
                <w:sz w:val="20"/>
                <w:szCs w:val="20"/>
              </w:rPr>
            </w:pPr>
            <w:r w:rsidRPr="001045FA">
              <w:rPr>
                <w:sz w:val="20"/>
                <w:szCs w:val="20"/>
              </w:rPr>
              <w:t>0</w:t>
            </w:r>
          </w:p>
        </w:tc>
        <w:tc>
          <w:tcPr>
            <w:tcW w:w="263" w:type="pct"/>
          </w:tcPr>
          <w:p w14:paraId="5FDAD02C" w14:textId="77777777" w:rsidR="00247AD2" w:rsidRPr="001045FA" w:rsidRDefault="00247AD2" w:rsidP="001045FA">
            <w:pPr>
              <w:pStyle w:val="BodyText"/>
              <w:rPr>
                <w:sz w:val="20"/>
                <w:szCs w:val="20"/>
              </w:rPr>
            </w:pPr>
            <w:r w:rsidRPr="001045FA">
              <w:rPr>
                <w:sz w:val="20"/>
                <w:szCs w:val="20"/>
              </w:rPr>
              <w:t>0</w:t>
            </w:r>
          </w:p>
        </w:tc>
        <w:tc>
          <w:tcPr>
            <w:tcW w:w="263" w:type="pct"/>
          </w:tcPr>
          <w:p w14:paraId="68711A9F" w14:textId="77777777" w:rsidR="00247AD2" w:rsidRPr="001045FA" w:rsidRDefault="00247AD2" w:rsidP="001045FA">
            <w:pPr>
              <w:pStyle w:val="BodyText"/>
              <w:rPr>
                <w:sz w:val="20"/>
                <w:szCs w:val="20"/>
              </w:rPr>
            </w:pPr>
            <w:r w:rsidRPr="001045FA">
              <w:rPr>
                <w:sz w:val="20"/>
                <w:szCs w:val="20"/>
              </w:rPr>
              <w:t>0</w:t>
            </w:r>
          </w:p>
        </w:tc>
        <w:tc>
          <w:tcPr>
            <w:tcW w:w="263" w:type="pct"/>
          </w:tcPr>
          <w:p w14:paraId="56174284" w14:textId="77777777" w:rsidR="00247AD2" w:rsidRPr="001045FA" w:rsidRDefault="00247AD2" w:rsidP="001045FA">
            <w:pPr>
              <w:pStyle w:val="BodyText"/>
              <w:rPr>
                <w:sz w:val="20"/>
                <w:szCs w:val="20"/>
              </w:rPr>
            </w:pPr>
            <w:r w:rsidRPr="001045FA">
              <w:rPr>
                <w:sz w:val="20"/>
                <w:szCs w:val="20"/>
              </w:rPr>
              <w:t>0</w:t>
            </w:r>
          </w:p>
        </w:tc>
        <w:tc>
          <w:tcPr>
            <w:tcW w:w="313" w:type="pct"/>
          </w:tcPr>
          <w:p w14:paraId="555FAC5A" w14:textId="77777777" w:rsidR="00247AD2" w:rsidRPr="001045FA" w:rsidRDefault="00247AD2" w:rsidP="001045FA">
            <w:pPr>
              <w:pStyle w:val="BodyText"/>
              <w:rPr>
                <w:sz w:val="20"/>
                <w:szCs w:val="20"/>
              </w:rPr>
            </w:pPr>
            <w:r w:rsidRPr="001045FA">
              <w:rPr>
                <w:rStyle w:val="01bodybold"/>
                <w:sz w:val="20"/>
                <w:szCs w:val="20"/>
              </w:rPr>
              <w:t>911</w:t>
            </w:r>
          </w:p>
        </w:tc>
      </w:tr>
      <w:tr w:rsidR="006A0585" w:rsidRPr="001045FA" w14:paraId="7F3736FE" w14:textId="77777777" w:rsidTr="006A0585">
        <w:trPr>
          <w:trHeight w:val="396"/>
        </w:trPr>
        <w:tc>
          <w:tcPr>
            <w:tcW w:w="550" w:type="pct"/>
          </w:tcPr>
          <w:p w14:paraId="5A292819" w14:textId="77777777" w:rsidR="00247AD2" w:rsidRPr="001045FA" w:rsidRDefault="00247AD2" w:rsidP="001045FA">
            <w:pPr>
              <w:pStyle w:val="BodyText"/>
              <w:rPr>
                <w:sz w:val="20"/>
                <w:szCs w:val="20"/>
              </w:rPr>
            </w:pPr>
            <w:r w:rsidRPr="001045FA">
              <w:rPr>
                <w:sz w:val="20"/>
                <w:szCs w:val="20"/>
              </w:rPr>
              <w:t>EL1</w:t>
            </w:r>
          </w:p>
        </w:tc>
        <w:tc>
          <w:tcPr>
            <w:tcW w:w="288" w:type="pct"/>
          </w:tcPr>
          <w:p w14:paraId="77F41B60" w14:textId="77777777" w:rsidR="00247AD2" w:rsidRPr="001045FA" w:rsidRDefault="00247AD2" w:rsidP="001045FA">
            <w:pPr>
              <w:pStyle w:val="BodyText"/>
              <w:rPr>
                <w:sz w:val="20"/>
                <w:szCs w:val="20"/>
              </w:rPr>
            </w:pPr>
            <w:r w:rsidRPr="001045FA">
              <w:rPr>
                <w:sz w:val="20"/>
                <w:szCs w:val="20"/>
              </w:rPr>
              <w:t>1,026</w:t>
            </w:r>
          </w:p>
        </w:tc>
        <w:tc>
          <w:tcPr>
            <w:tcW w:w="275" w:type="pct"/>
          </w:tcPr>
          <w:p w14:paraId="6ACB18F9" w14:textId="77777777" w:rsidR="00247AD2" w:rsidRPr="001045FA" w:rsidRDefault="00247AD2" w:rsidP="001045FA">
            <w:pPr>
              <w:pStyle w:val="BodyText"/>
              <w:rPr>
                <w:sz w:val="20"/>
                <w:szCs w:val="20"/>
              </w:rPr>
            </w:pPr>
            <w:r w:rsidRPr="001045FA">
              <w:rPr>
                <w:sz w:val="20"/>
                <w:szCs w:val="20"/>
              </w:rPr>
              <w:t>45</w:t>
            </w:r>
          </w:p>
        </w:tc>
        <w:tc>
          <w:tcPr>
            <w:tcW w:w="288" w:type="pct"/>
          </w:tcPr>
          <w:p w14:paraId="0C8A0644" w14:textId="77777777" w:rsidR="00247AD2" w:rsidRPr="001045FA" w:rsidRDefault="00247AD2" w:rsidP="001045FA">
            <w:pPr>
              <w:pStyle w:val="BodyText"/>
              <w:rPr>
                <w:sz w:val="20"/>
                <w:szCs w:val="20"/>
              </w:rPr>
            </w:pPr>
            <w:r w:rsidRPr="001045FA">
              <w:rPr>
                <w:sz w:val="20"/>
                <w:szCs w:val="20"/>
              </w:rPr>
              <w:t>1,071</w:t>
            </w:r>
          </w:p>
        </w:tc>
        <w:tc>
          <w:tcPr>
            <w:tcW w:w="313" w:type="pct"/>
          </w:tcPr>
          <w:p w14:paraId="261F1148" w14:textId="77777777" w:rsidR="00247AD2" w:rsidRPr="001045FA" w:rsidRDefault="00247AD2" w:rsidP="001045FA">
            <w:pPr>
              <w:pStyle w:val="BodyText"/>
              <w:rPr>
                <w:sz w:val="20"/>
                <w:szCs w:val="20"/>
              </w:rPr>
            </w:pPr>
            <w:r w:rsidRPr="001045FA">
              <w:rPr>
                <w:sz w:val="20"/>
                <w:szCs w:val="20"/>
              </w:rPr>
              <w:t>1,295</w:t>
            </w:r>
          </w:p>
        </w:tc>
        <w:tc>
          <w:tcPr>
            <w:tcW w:w="288" w:type="pct"/>
          </w:tcPr>
          <w:p w14:paraId="10E6C1F0" w14:textId="77777777" w:rsidR="00247AD2" w:rsidRPr="001045FA" w:rsidRDefault="00247AD2" w:rsidP="001045FA">
            <w:pPr>
              <w:pStyle w:val="BodyText"/>
              <w:rPr>
                <w:sz w:val="20"/>
                <w:szCs w:val="20"/>
              </w:rPr>
            </w:pPr>
            <w:r w:rsidRPr="001045FA">
              <w:rPr>
                <w:sz w:val="20"/>
                <w:szCs w:val="20"/>
              </w:rPr>
              <w:t>270</w:t>
            </w:r>
          </w:p>
        </w:tc>
        <w:tc>
          <w:tcPr>
            <w:tcW w:w="313" w:type="pct"/>
          </w:tcPr>
          <w:p w14:paraId="7FAAD24D" w14:textId="77777777" w:rsidR="00247AD2" w:rsidRPr="001045FA" w:rsidRDefault="00247AD2" w:rsidP="001045FA">
            <w:pPr>
              <w:pStyle w:val="BodyText"/>
              <w:rPr>
                <w:sz w:val="20"/>
                <w:szCs w:val="20"/>
              </w:rPr>
            </w:pPr>
            <w:r w:rsidRPr="001045FA">
              <w:rPr>
                <w:sz w:val="20"/>
                <w:szCs w:val="20"/>
              </w:rPr>
              <w:t>1,565</w:t>
            </w:r>
          </w:p>
        </w:tc>
        <w:tc>
          <w:tcPr>
            <w:tcW w:w="265" w:type="pct"/>
          </w:tcPr>
          <w:p w14:paraId="5752C410" w14:textId="77777777" w:rsidR="00247AD2" w:rsidRPr="001045FA" w:rsidRDefault="00247AD2" w:rsidP="001045FA">
            <w:pPr>
              <w:pStyle w:val="BodyText"/>
              <w:rPr>
                <w:sz w:val="20"/>
                <w:szCs w:val="20"/>
              </w:rPr>
            </w:pPr>
            <w:r w:rsidRPr="001045FA">
              <w:rPr>
                <w:sz w:val="20"/>
                <w:szCs w:val="20"/>
              </w:rPr>
              <w:t>3</w:t>
            </w:r>
          </w:p>
        </w:tc>
        <w:tc>
          <w:tcPr>
            <w:tcW w:w="265" w:type="pct"/>
          </w:tcPr>
          <w:p w14:paraId="1D388FD4" w14:textId="77777777" w:rsidR="00247AD2" w:rsidRPr="001045FA" w:rsidRDefault="00247AD2" w:rsidP="001045FA">
            <w:pPr>
              <w:pStyle w:val="BodyText"/>
              <w:rPr>
                <w:sz w:val="20"/>
                <w:szCs w:val="20"/>
              </w:rPr>
            </w:pPr>
            <w:r w:rsidRPr="001045FA">
              <w:rPr>
                <w:sz w:val="20"/>
                <w:szCs w:val="20"/>
              </w:rPr>
              <w:t>0</w:t>
            </w:r>
          </w:p>
        </w:tc>
        <w:tc>
          <w:tcPr>
            <w:tcW w:w="265" w:type="pct"/>
          </w:tcPr>
          <w:p w14:paraId="1DF26EB7" w14:textId="77777777" w:rsidR="00247AD2" w:rsidRPr="001045FA" w:rsidRDefault="00247AD2" w:rsidP="001045FA">
            <w:pPr>
              <w:pStyle w:val="BodyText"/>
              <w:rPr>
                <w:sz w:val="20"/>
                <w:szCs w:val="20"/>
              </w:rPr>
            </w:pPr>
            <w:r w:rsidRPr="001045FA">
              <w:rPr>
                <w:sz w:val="20"/>
                <w:szCs w:val="20"/>
              </w:rPr>
              <w:t>3</w:t>
            </w:r>
          </w:p>
        </w:tc>
        <w:tc>
          <w:tcPr>
            <w:tcW w:w="263" w:type="pct"/>
          </w:tcPr>
          <w:p w14:paraId="788E2CE2" w14:textId="77777777" w:rsidR="00247AD2" w:rsidRPr="001045FA" w:rsidRDefault="00247AD2" w:rsidP="001045FA">
            <w:pPr>
              <w:pStyle w:val="BodyText"/>
              <w:rPr>
                <w:sz w:val="20"/>
                <w:szCs w:val="20"/>
              </w:rPr>
            </w:pPr>
            <w:r w:rsidRPr="001045FA">
              <w:rPr>
                <w:sz w:val="20"/>
                <w:szCs w:val="20"/>
              </w:rPr>
              <w:t>0</w:t>
            </w:r>
          </w:p>
        </w:tc>
        <w:tc>
          <w:tcPr>
            <w:tcW w:w="263" w:type="pct"/>
          </w:tcPr>
          <w:p w14:paraId="015CC21B" w14:textId="77777777" w:rsidR="00247AD2" w:rsidRPr="001045FA" w:rsidRDefault="00247AD2" w:rsidP="001045FA">
            <w:pPr>
              <w:pStyle w:val="BodyText"/>
              <w:rPr>
                <w:sz w:val="20"/>
                <w:szCs w:val="20"/>
              </w:rPr>
            </w:pPr>
            <w:r w:rsidRPr="001045FA">
              <w:rPr>
                <w:sz w:val="20"/>
                <w:szCs w:val="20"/>
              </w:rPr>
              <w:t>0</w:t>
            </w:r>
          </w:p>
        </w:tc>
        <w:tc>
          <w:tcPr>
            <w:tcW w:w="263" w:type="pct"/>
          </w:tcPr>
          <w:p w14:paraId="5E8F3DC7" w14:textId="77777777" w:rsidR="00247AD2" w:rsidRPr="001045FA" w:rsidRDefault="00247AD2" w:rsidP="001045FA">
            <w:pPr>
              <w:pStyle w:val="BodyText"/>
              <w:rPr>
                <w:sz w:val="20"/>
                <w:szCs w:val="20"/>
              </w:rPr>
            </w:pPr>
            <w:r w:rsidRPr="001045FA">
              <w:rPr>
                <w:sz w:val="20"/>
                <w:szCs w:val="20"/>
              </w:rPr>
              <w:t>0</w:t>
            </w:r>
          </w:p>
        </w:tc>
        <w:tc>
          <w:tcPr>
            <w:tcW w:w="263" w:type="pct"/>
          </w:tcPr>
          <w:p w14:paraId="3841EF6F" w14:textId="77777777" w:rsidR="00247AD2" w:rsidRPr="001045FA" w:rsidRDefault="00247AD2" w:rsidP="001045FA">
            <w:pPr>
              <w:pStyle w:val="BodyText"/>
              <w:rPr>
                <w:sz w:val="20"/>
                <w:szCs w:val="20"/>
              </w:rPr>
            </w:pPr>
            <w:r w:rsidRPr="001045FA">
              <w:rPr>
                <w:sz w:val="20"/>
                <w:szCs w:val="20"/>
              </w:rPr>
              <w:t>0</w:t>
            </w:r>
          </w:p>
        </w:tc>
        <w:tc>
          <w:tcPr>
            <w:tcW w:w="263" w:type="pct"/>
          </w:tcPr>
          <w:p w14:paraId="548B4918" w14:textId="77777777" w:rsidR="00247AD2" w:rsidRPr="001045FA" w:rsidRDefault="00247AD2" w:rsidP="001045FA">
            <w:pPr>
              <w:pStyle w:val="BodyText"/>
              <w:rPr>
                <w:sz w:val="20"/>
                <w:szCs w:val="20"/>
              </w:rPr>
            </w:pPr>
            <w:r w:rsidRPr="001045FA">
              <w:rPr>
                <w:sz w:val="20"/>
                <w:szCs w:val="20"/>
              </w:rPr>
              <w:t>0</w:t>
            </w:r>
          </w:p>
        </w:tc>
        <w:tc>
          <w:tcPr>
            <w:tcW w:w="263" w:type="pct"/>
          </w:tcPr>
          <w:p w14:paraId="7E7FFA67" w14:textId="77777777" w:rsidR="00247AD2" w:rsidRPr="001045FA" w:rsidRDefault="00247AD2" w:rsidP="001045FA">
            <w:pPr>
              <w:pStyle w:val="BodyText"/>
              <w:rPr>
                <w:sz w:val="20"/>
                <w:szCs w:val="20"/>
              </w:rPr>
            </w:pPr>
            <w:r w:rsidRPr="001045FA">
              <w:rPr>
                <w:sz w:val="20"/>
                <w:szCs w:val="20"/>
              </w:rPr>
              <w:t>0</w:t>
            </w:r>
          </w:p>
        </w:tc>
        <w:tc>
          <w:tcPr>
            <w:tcW w:w="313" w:type="pct"/>
          </w:tcPr>
          <w:p w14:paraId="0EB635B6" w14:textId="77777777" w:rsidR="00247AD2" w:rsidRPr="001045FA" w:rsidRDefault="00247AD2" w:rsidP="001045FA">
            <w:pPr>
              <w:pStyle w:val="BodyText"/>
              <w:rPr>
                <w:sz w:val="20"/>
                <w:szCs w:val="20"/>
              </w:rPr>
            </w:pPr>
            <w:r w:rsidRPr="001045FA">
              <w:rPr>
                <w:rStyle w:val="01bodybold"/>
                <w:sz w:val="20"/>
                <w:szCs w:val="20"/>
              </w:rPr>
              <w:t>2,639</w:t>
            </w:r>
          </w:p>
        </w:tc>
      </w:tr>
      <w:tr w:rsidR="006A0585" w:rsidRPr="001045FA" w14:paraId="0FC2113D" w14:textId="77777777" w:rsidTr="006A0585">
        <w:trPr>
          <w:trHeight w:val="396"/>
        </w:trPr>
        <w:tc>
          <w:tcPr>
            <w:tcW w:w="550" w:type="pct"/>
          </w:tcPr>
          <w:p w14:paraId="0445B11A" w14:textId="77777777" w:rsidR="00247AD2" w:rsidRPr="001045FA" w:rsidRDefault="00247AD2" w:rsidP="001045FA">
            <w:pPr>
              <w:pStyle w:val="BodyText"/>
              <w:rPr>
                <w:sz w:val="20"/>
                <w:szCs w:val="20"/>
              </w:rPr>
            </w:pPr>
            <w:r w:rsidRPr="001045FA">
              <w:rPr>
                <w:sz w:val="20"/>
                <w:szCs w:val="20"/>
              </w:rPr>
              <w:t>APS6</w:t>
            </w:r>
          </w:p>
        </w:tc>
        <w:tc>
          <w:tcPr>
            <w:tcW w:w="288" w:type="pct"/>
          </w:tcPr>
          <w:p w14:paraId="00A7EB9F" w14:textId="77777777" w:rsidR="00247AD2" w:rsidRPr="001045FA" w:rsidRDefault="00247AD2" w:rsidP="001045FA">
            <w:pPr>
              <w:pStyle w:val="BodyText"/>
              <w:rPr>
                <w:sz w:val="20"/>
                <w:szCs w:val="20"/>
              </w:rPr>
            </w:pPr>
            <w:r w:rsidRPr="001045FA">
              <w:rPr>
                <w:sz w:val="20"/>
                <w:szCs w:val="20"/>
              </w:rPr>
              <w:t>1,719</w:t>
            </w:r>
          </w:p>
        </w:tc>
        <w:tc>
          <w:tcPr>
            <w:tcW w:w="275" w:type="pct"/>
          </w:tcPr>
          <w:p w14:paraId="4506D694" w14:textId="77777777" w:rsidR="00247AD2" w:rsidRPr="001045FA" w:rsidRDefault="00247AD2" w:rsidP="001045FA">
            <w:pPr>
              <w:pStyle w:val="BodyText"/>
              <w:rPr>
                <w:sz w:val="20"/>
                <w:szCs w:val="20"/>
              </w:rPr>
            </w:pPr>
            <w:r w:rsidRPr="001045FA">
              <w:rPr>
                <w:sz w:val="20"/>
                <w:szCs w:val="20"/>
              </w:rPr>
              <w:t>117</w:t>
            </w:r>
          </w:p>
        </w:tc>
        <w:tc>
          <w:tcPr>
            <w:tcW w:w="288" w:type="pct"/>
          </w:tcPr>
          <w:p w14:paraId="3262BEDD" w14:textId="77777777" w:rsidR="00247AD2" w:rsidRPr="001045FA" w:rsidRDefault="00247AD2" w:rsidP="001045FA">
            <w:pPr>
              <w:pStyle w:val="BodyText"/>
              <w:rPr>
                <w:sz w:val="20"/>
                <w:szCs w:val="20"/>
              </w:rPr>
            </w:pPr>
            <w:r w:rsidRPr="001045FA">
              <w:rPr>
                <w:sz w:val="20"/>
                <w:szCs w:val="20"/>
              </w:rPr>
              <w:t>1,836</w:t>
            </w:r>
          </w:p>
        </w:tc>
        <w:tc>
          <w:tcPr>
            <w:tcW w:w="313" w:type="pct"/>
          </w:tcPr>
          <w:p w14:paraId="1140F416" w14:textId="77777777" w:rsidR="00247AD2" w:rsidRPr="001045FA" w:rsidRDefault="00247AD2" w:rsidP="001045FA">
            <w:pPr>
              <w:pStyle w:val="BodyText"/>
              <w:rPr>
                <w:sz w:val="20"/>
                <w:szCs w:val="20"/>
              </w:rPr>
            </w:pPr>
            <w:r w:rsidRPr="001045FA">
              <w:rPr>
                <w:sz w:val="20"/>
                <w:szCs w:val="20"/>
              </w:rPr>
              <w:t>2,775</w:t>
            </w:r>
          </w:p>
        </w:tc>
        <w:tc>
          <w:tcPr>
            <w:tcW w:w="288" w:type="pct"/>
          </w:tcPr>
          <w:p w14:paraId="03E0B4A1" w14:textId="77777777" w:rsidR="00247AD2" w:rsidRPr="001045FA" w:rsidRDefault="00247AD2" w:rsidP="001045FA">
            <w:pPr>
              <w:pStyle w:val="BodyText"/>
              <w:rPr>
                <w:sz w:val="20"/>
                <w:szCs w:val="20"/>
              </w:rPr>
            </w:pPr>
            <w:r w:rsidRPr="001045FA">
              <w:rPr>
                <w:sz w:val="20"/>
                <w:szCs w:val="20"/>
              </w:rPr>
              <w:t>1,063</w:t>
            </w:r>
          </w:p>
        </w:tc>
        <w:tc>
          <w:tcPr>
            <w:tcW w:w="313" w:type="pct"/>
          </w:tcPr>
          <w:p w14:paraId="5E7E46A6" w14:textId="77777777" w:rsidR="00247AD2" w:rsidRPr="001045FA" w:rsidRDefault="00247AD2" w:rsidP="001045FA">
            <w:pPr>
              <w:pStyle w:val="BodyText"/>
              <w:rPr>
                <w:sz w:val="20"/>
                <w:szCs w:val="20"/>
              </w:rPr>
            </w:pPr>
            <w:r w:rsidRPr="001045FA">
              <w:rPr>
                <w:sz w:val="20"/>
                <w:szCs w:val="20"/>
              </w:rPr>
              <w:t>3,838</w:t>
            </w:r>
          </w:p>
        </w:tc>
        <w:tc>
          <w:tcPr>
            <w:tcW w:w="265" w:type="pct"/>
          </w:tcPr>
          <w:p w14:paraId="2D69370E" w14:textId="77777777" w:rsidR="00247AD2" w:rsidRPr="001045FA" w:rsidRDefault="00247AD2" w:rsidP="001045FA">
            <w:pPr>
              <w:pStyle w:val="BodyText"/>
              <w:rPr>
                <w:sz w:val="20"/>
                <w:szCs w:val="20"/>
              </w:rPr>
            </w:pPr>
            <w:r w:rsidRPr="001045FA">
              <w:rPr>
                <w:sz w:val="20"/>
                <w:szCs w:val="20"/>
              </w:rPr>
              <w:t>16</w:t>
            </w:r>
          </w:p>
        </w:tc>
        <w:tc>
          <w:tcPr>
            <w:tcW w:w="265" w:type="pct"/>
          </w:tcPr>
          <w:p w14:paraId="3871EB61" w14:textId="77777777" w:rsidR="00247AD2" w:rsidRPr="001045FA" w:rsidRDefault="00247AD2" w:rsidP="001045FA">
            <w:pPr>
              <w:pStyle w:val="BodyText"/>
              <w:rPr>
                <w:sz w:val="20"/>
                <w:szCs w:val="20"/>
              </w:rPr>
            </w:pPr>
            <w:r w:rsidRPr="001045FA">
              <w:rPr>
                <w:sz w:val="20"/>
                <w:szCs w:val="20"/>
              </w:rPr>
              <w:t>5</w:t>
            </w:r>
          </w:p>
        </w:tc>
        <w:tc>
          <w:tcPr>
            <w:tcW w:w="265" w:type="pct"/>
          </w:tcPr>
          <w:p w14:paraId="055FB32C" w14:textId="77777777" w:rsidR="00247AD2" w:rsidRPr="001045FA" w:rsidRDefault="00247AD2" w:rsidP="001045FA">
            <w:pPr>
              <w:pStyle w:val="BodyText"/>
              <w:rPr>
                <w:sz w:val="20"/>
                <w:szCs w:val="20"/>
              </w:rPr>
            </w:pPr>
            <w:r w:rsidRPr="001045FA">
              <w:rPr>
                <w:sz w:val="20"/>
                <w:szCs w:val="20"/>
              </w:rPr>
              <w:t>21</w:t>
            </w:r>
          </w:p>
        </w:tc>
        <w:tc>
          <w:tcPr>
            <w:tcW w:w="263" w:type="pct"/>
          </w:tcPr>
          <w:p w14:paraId="436944AC" w14:textId="77777777" w:rsidR="00247AD2" w:rsidRPr="001045FA" w:rsidRDefault="00247AD2" w:rsidP="001045FA">
            <w:pPr>
              <w:pStyle w:val="BodyText"/>
              <w:rPr>
                <w:sz w:val="20"/>
                <w:szCs w:val="20"/>
              </w:rPr>
            </w:pPr>
            <w:r w:rsidRPr="001045FA">
              <w:rPr>
                <w:sz w:val="20"/>
                <w:szCs w:val="20"/>
              </w:rPr>
              <w:t>0</w:t>
            </w:r>
          </w:p>
        </w:tc>
        <w:tc>
          <w:tcPr>
            <w:tcW w:w="263" w:type="pct"/>
          </w:tcPr>
          <w:p w14:paraId="387C6256" w14:textId="77777777" w:rsidR="00247AD2" w:rsidRPr="001045FA" w:rsidRDefault="00247AD2" w:rsidP="001045FA">
            <w:pPr>
              <w:pStyle w:val="BodyText"/>
              <w:rPr>
                <w:sz w:val="20"/>
                <w:szCs w:val="20"/>
              </w:rPr>
            </w:pPr>
            <w:r w:rsidRPr="001045FA">
              <w:rPr>
                <w:sz w:val="20"/>
                <w:szCs w:val="20"/>
              </w:rPr>
              <w:t>0</w:t>
            </w:r>
          </w:p>
        </w:tc>
        <w:tc>
          <w:tcPr>
            <w:tcW w:w="263" w:type="pct"/>
          </w:tcPr>
          <w:p w14:paraId="16D54DA5" w14:textId="77777777" w:rsidR="00247AD2" w:rsidRPr="001045FA" w:rsidRDefault="00247AD2" w:rsidP="001045FA">
            <w:pPr>
              <w:pStyle w:val="BodyText"/>
              <w:rPr>
                <w:sz w:val="20"/>
                <w:szCs w:val="20"/>
              </w:rPr>
            </w:pPr>
            <w:r w:rsidRPr="001045FA">
              <w:rPr>
                <w:sz w:val="20"/>
                <w:szCs w:val="20"/>
              </w:rPr>
              <w:t>0</w:t>
            </w:r>
          </w:p>
        </w:tc>
        <w:tc>
          <w:tcPr>
            <w:tcW w:w="263" w:type="pct"/>
          </w:tcPr>
          <w:p w14:paraId="10106299" w14:textId="77777777" w:rsidR="00247AD2" w:rsidRPr="001045FA" w:rsidRDefault="00247AD2" w:rsidP="001045FA">
            <w:pPr>
              <w:pStyle w:val="BodyText"/>
              <w:rPr>
                <w:sz w:val="20"/>
                <w:szCs w:val="20"/>
              </w:rPr>
            </w:pPr>
            <w:r w:rsidRPr="001045FA">
              <w:rPr>
                <w:sz w:val="20"/>
                <w:szCs w:val="20"/>
              </w:rPr>
              <w:t>0</w:t>
            </w:r>
          </w:p>
        </w:tc>
        <w:tc>
          <w:tcPr>
            <w:tcW w:w="263" w:type="pct"/>
          </w:tcPr>
          <w:p w14:paraId="5FA34F23" w14:textId="77777777" w:rsidR="00247AD2" w:rsidRPr="001045FA" w:rsidRDefault="00247AD2" w:rsidP="001045FA">
            <w:pPr>
              <w:pStyle w:val="BodyText"/>
              <w:rPr>
                <w:sz w:val="20"/>
                <w:szCs w:val="20"/>
              </w:rPr>
            </w:pPr>
            <w:r w:rsidRPr="001045FA">
              <w:rPr>
                <w:sz w:val="20"/>
                <w:szCs w:val="20"/>
              </w:rPr>
              <w:t>0</w:t>
            </w:r>
          </w:p>
        </w:tc>
        <w:tc>
          <w:tcPr>
            <w:tcW w:w="263" w:type="pct"/>
          </w:tcPr>
          <w:p w14:paraId="171FDD77" w14:textId="77777777" w:rsidR="00247AD2" w:rsidRPr="001045FA" w:rsidRDefault="00247AD2" w:rsidP="001045FA">
            <w:pPr>
              <w:pStyle w:val="BodyText"/>
              <w:rPr>
                <w:sz w:val="20"/>
                <w:szCs w:val="20"/>
              </w:rPr>
            </w:pPr>
            <w:r w:rsidRPr="001045FA">
              <w:rPr>
                <w:sz w:val="20"/>
                <w:szCs w:val="20"/>
              </w:rPr>
              <w:t>0</w:t>
            </w:r>
          </w:p>
        </w:tc>
        <w:tc>
          <w:tcPr>
            <w:tcW w:w="313" w:type="pct"/>
          </w:tcPr>
          <w:p w14:paraId="3C7FD959" w14:textId="77777777" w:rsidR="00247AD2" w:rsidRPr="001045FA" w:rsidRDefault="00247AD2" w:rsidP="001045FA">
            <w:pPr>
              <w:pStyle w:val="BodyText"/>
              <w:rPr>
                <w:sz w:val="20"/>
                <w:szCs w:val="20"/>
              </w:rPr>
            </w:pPr>
            <w:r w:rsidRPr="001045FA">
              <w:rPr>
                <w:rStyle w:val="01bodybold"/>
                <w:sz w:val="20"/>
                <w:szCs w:val="20"/>
              </w:rPr>
              <w:t>5,695</w:t>
            </w:r>
          </w:p>
        </w:tc>
      </w:tr>
      <w:tr w:rsidR="006A0585" w:rsidRPr="001045FA" w14:paraId="0DA7409D" w14:textId="77777777" w:rsidTr="006A0585">
        <w:trPr>
          <w:trHeight w:val="396"/>
        </w:trPr>
        <w:tc>
          <w:tcPr>
            <w:tcW w:w="550" w:type="pct"/>
          </w:tcPr>
          <w:p w14:paraId="231C05D6" w14:textId="77777777" w:rsidR="00247AD2" w:rsidRPr="001045FA" w:rsidRDefault="00247AD2" w:rsidP="001045FA">
            <w:pPr>
              <w:pStyle w:val="BodyText"/>
              <w:rPr>
                <w:sz w:val="20"/>
                <w:szCs w:val="20"/>
              </w:rPr>
            </w:pPr>
            <w:r w:rsidRPr="001045FA">
              <w:rPr>
                <w:sz w:val="20"/>
                <w:szCs w:val="20"/>
              </w:rPr>
              <w:t>APS5</w:t>
            </w:r>
          </w:p>
        </w:tc>
        <w:tc>
          <w:tcPr>
            <w:tcW w:w="288" w:type="pct"/>
          </w:tcPr>
          <w:p w14:paraId="0518B0D2" w14:textId="77777777" w:rsidR="00247AD2" w:rsidRPr="001045FA" w:rsidRDefault="00247AD2" w:rsidP="001045FA">
            <w:pPr>
              <w:pStyle w:val="BodyText"/>
              <w:rPr>
                <w:sz w:val="20"/>
                <w:szCs w:val="20"/>
              </w:rPr>
            </w:pPr>
            <w:r w:rsidRPr="001045FA">
              <w:rPr>
                <w:sz w:val="20"/>
                <w:szCs w:val="20"/>
              </w:rPr>
              <w:t>992</w:t>
            </w:r>
          </w:p>
        </w:tc>
        <w:tc>
          <w:tcPr>
            <w:tcW w:w="275" w:type="pct"/>
          </w:tcPr>
          <w:p w14:paraId="1F44261B" w14:textId="77777777" w:rsidR="00247AD2" w:rsidRPr="001045FA" w:rsidRDefault="00247AD2" w:rsidP="001045FA">
            <w:pPr>
              <w:pStyle w:val="BodyText"/>
              <w:rPr>
                <w:sz w:val="20"/>
                <w:szCs w:val="20"/>
              </w:rPr>
            </w:pPr>
            <w:r w:rsidRPr="001045FA">
              <w:rPr>
                <w:sz w:val="20"/>
                <w:szCs w:val="20"/>
              </w:rPr>
              <w:t>58</w:t>
            </w:r>
          </w:p>
        </w:tc>
        <w:tc>
          <w:tcPr>
            <w:tcW w:w="288" w:type="pct"/>
          </w:tcPr>
          <w:p w14:paraId="1476AE08" w14:textId="77777777" w:rsidR="00247AD2" w:rsidRPr="001045FA" w:rsidRDefault="00247AD2" w:rsidP="001045FA">
            <w:pPr>
              <w:pStyle w:val="BodyText"/>
              <w:rPr>
                <w:sz w:val="20"/>
                <w:szCs w:val="20"/>
              </w:rPr>
            </w:pPr>
            <w:r w:rsidRPr="001045FA">
              <w:rPr>
                <w:sz w:val="20"/>
                <w:szCs w:val="20"/>
              </w:rPr>
              <w:t>1,050</w:t>
            </w:r>
          </w:p>
        </w:tc>
        <w:tc>
          <w:tcPr>
            <w:tcW w:w="313" w:type="pct"/>
          </w:tcPr>
          <w:p w14:paraId="27FF22AE" w14:textId="77777777" w:rsidR="00247AD2" w:rsidRPr="001045FA" w:rsidRDefault="00247AD2" w:rsidP="001045FA">
            <w:pPr>
              <w:pStyle w:val="BodyText"/>
              <w:rPr>
                <w:sz w:val="20"/>
                <w:szCs w:val="20"/>
              </w:rPr>
            </w:pPr>
            <w:r w:rsidRPr="001045FA">
              <w:rPr>
                <w:sz w:val="20"/>
                <w:szCs w:val="20"/>
              </w:rPr>
              <w:t>1,638</w:t>
            </w:r>
          </w:p>
        </w:tc>
        <w:tc>
          <w:tcPr>
            <w:tcW w:w="288" w:type="pct"/>
          </w:tcPr>
          <w:p w14:paraId="01E2226A" w14:textId="77777777" w:rsidR="00247AD2" w:rsidRPr="001045FA" w:rsidRDefault="00247AD2" w:rsidP="001045FA">
            <w:pPr>
              <w:pStyle w:val="BodyText"/>
              <w:rPr>
                <w:sz w:val="20"/>
                <w:szCs w:val="20"/>
              </w:rPr>
            </w:pPr>
            <w:r w:rsidRPr="001045FA">
              <w:rPr>
                <w:sz w:val="20"/>
                <w:szCs w:val="20"/>
              </w:rPr>
              <w:t>520</w:t>
            </w:r>
          </w:p>
        </w:tc>
        <w:tc>
          <w:tcPr>
            <w:tcW w:w="313" w:type="pct"/>
          </w:tcPr>
          <w:p w14:paraId="5B4EEEA2" w14:textId="77777777" w:rsidR="00247AD2" w:rsidRPr="001045FA" w:rsidRDefault="00247AD2" w:rsidP="001045FA">
            <w:pPr>
              <w:pStyle w:val="BodyText"/>
              <w:rPr>
                <w:sz w:val="20"/>
                <w:szCs w:val="20"/>
              </w:rPr>
            </w:pPr>
            <w:r w:rsidRPr="001045FA">
              <w:rPr>
                <w:sz w:val="20"/>
                <w:szCs w:val="20"/>
              </w:rPr>
              <w:t>2,158</w:t>
            </w:r>
          </w:p>
        </w:tc>
        <w:tc>
          <w:tcPr>
            <w:tcW w:w="265" w:type="pct"/>
          </w:tcPr>
          <w:p w14:paraId="7E25AA8C" w14:textId="77777777" w:rsidR="00247AD2" w:rsidRPr="001045FA" w:rsidRDefault="00247AD2" w:rsidP="001045FA">
            <w:pPr>
              <w:pStyle w:val="BodyText"/>
              <w:rPr>
                <w:sz w:val="20"/>
                <w:szCs w:val="20"/>
              </w:rPr>
            </w:pPr>
            <w:r w:rsidRPr="001045FA">
              <w:rPr>
                <w:sz w:val="20"/>
                <w:szCs w:val="20"/>
              </w:rPr>
              <w:t>12</w:t>
            </w:r>
          </w:p>
        </w:tc>
        <w:tc>
          <w:tcPr>
            <w:tcW w:w="265" w:type="pct"/>
          </w:tcPr>
          <w:p w14:paraId="060CAAB5" w14:textId="77777777" w:rsidR="00247AD2" w:rsidRPr="001045FA" w:rsidRDefault="00247AD2" w:rsidP="001045FA">
            <w:pPr>
              <w:pStyle w:val="BodyText"/>
              <w:rPr>
                <w:sz w:val="20"/>
                <w:szCs w:val="20"/>
              </w:rPr>
            </w:pPr>
            <w:r w:rsidRPr="001045FA">
              <w:rPr>
                <w:sz w:val="20"/>
                <w:szCs w:val="20"/>
              </w:rPr>
              <w:t>6</w:t>
            </w:r>
          </w:p>
        </w:tc>
        <w:tc>
          <w:tcPr>
            <w:tcW w:w="265" w:type="pct"/>
          </w:tcPr>
          <w:p w14:paraId="2EFDA052" w14:textId="77777777" w:rsidR="00247AD2" w:rsidRPr="001045FA" w:rsidRDefault="00247AD2" w:rsidP="001045FA">
            <w:pPr>
              <w:pStyle w:val="BodyText"/>
              <w:rPr>
                <w:sz w:val="20"/>
                <w:szCs w:val="20"/>
              </w:rPr>
            </w:pPr>
            <w:r w:rsidRPr="001045FA">
              <w:rPr>
                <w:sz w:val="20"/>
                <w:szCs w:val="20"/>
              </w:rPr>
              <w:t>18</w:t>
            </w:r>
          </w:p>
        </w:tc>
        <w:tc>
          <w:tcPr>
            <w:tcW w:w="263" w:type="pct"/>
          </w:tcPr>
          <w:p w14:paraId="52FC36F7" w14:textId="77777777" w:rsidR="00247AD2" w:rsidRPr="001045FA" w:rsidRDefault="00247AD2" w:rsidP="001045FA">
            <w:pPr>
              <w:pStyle w:val="BodyText"/>
              <w:rPr>
                <w:sz w:val="20"/>
                <w:szCs w:val="20"/>
              </w:rPr>
            </w:pPr>
            <w:r w:rsidRPr="001045FA">
              <w:rPr>
                <w:sz w:val="20"/>
                <w:szCs w:val="20"/>
              </w:rPr>
              <w:t>0</w:t>
            </w:r>
          </w:p>
        </w:tc>
        <w:tc>
          <w:tcPr>
            <w:tcW w:w="263" w:type="pct"/>
          </w:tcPr>
          <w:p w14:paraId="30D57F04" w14:textId="77777777" w:rsidR="00247AD2" w:rsidRPr="001045FA" w:rsidRDefault="00247AD2" w:rsidP="001045FA">
            <w:pPr>
              <w:pStyle w:val="BodyText"/>
              <w:rPr>
                <w:sz w:val="20"/>
                <w:szCs w:val="20"/>
              </w:rPr>
            </w:pPr>
            <w:r w:rsidRPr="001045FA">
              <w:rPr>
                <w:sz w:val="20"/>
                <w:szCs w:val="20"/>
              </w:rPr>
              <w:t>0</w:t>
            </w:r>
          </w:p>
        </w:tc>
        <w:tc>
          <w:tcPr>
            <w:tcW w:w="263" w:type="pct"/>
          </w:tcPr>
          <w:p w14:paraId="09769BC4" w14:textId="77777777" w:rsidR="00247AD2" w:rsidRPr="001045FA" w:rsidRDefault="00247AD2" w:rsidP="001045FA">
            <w:pPr>
              <w:pStyle w:val="BodyText"/>
              <w:rPr>
                <w:sz w:val="20"/>
                <w:szCs w:val="20"/>
              </w:rPr>
            </w:pPr>
            <w:r w:rsidRPr="001045FA">
              <w:rPr>
                <w:sz w:val="20"/>
                <w:szCs w:val="20"/>
              </w:rPr>
              <w:t>0</w:t>
            </w:r>
          </w:p>
        </w:tc>
        <w:tc>
          <w:tcPr>
            <w:tcW w:w="263" w:type="pct"/>
          </w:tcPr>
          <w:p w14:paraId="2642637B" w14:textId="77777777" w:rsidR="00247AD2" w:rsidRPr="001045FA" w:rsidRDefault="00247AD2" w:rsidP="001045FA">
            <w:pPr>
              <w:pStyle w:val="BodyText"/>
              <w:rPr>
                <w:sz w:val="20"/>
                <w:szCs w:val="20"/>
              </w:rPr>
            </w:pPr>
            <w:r w:rsidRPr="001045FA">
              <w:rPr>
                <w:sz w:val="20"/>
                <w:szCs w:val="20"/>
              </w:rPr>
              <w:t>0</w:t>
            </w:r>
          </w:p>
        </w:tc>
        <w:tc>
          <w:tcPr>
            <w:tcW w:w="263" w:type="pct"/>
          </w:tcPr>
          <w:p w14:paraId="5BEF1EC7" w14:textId="77777777" w:rsidR="00247AD2" w:rsidRPr="001045FA" w:rsidRDefault="00247AD2" w:rsidP="001045FA">
            <w:pPr>
              <w:pStyle w:val="BodyText"/>
              <w:rPr>
                <w:sz w:val="20"/>
                <w:szCs w:val="20"/>
              </w:rPr>
            </w:pPr>
            <w:r w:rsidRPr="001045FA">
              <w:rPr>
                <w:sz w:val="20"/>
                <w:szCs w:val="20"/>
              </w:rPr>
              <w:t>0</w:t>
            </w:r>
          </w:p>
        </w:tc>
        <w:tc>
          <w:tcPr>
            <w:tcW w:w="263" w:type="pct"/>
          </w:tcPr>
          <w:p w14:paraId="7F7CA1DD" w14:textId="77777777" w:rsidR="00247AD2" w:rsidRPr="001045FA" w:rsidRDefault="00247AD2" w:rsidP="001045FA">
            <w:pPr>
              <w:pStyle w:val="BodyText"/>
              <w:rPr>
                <w:sz w:val="20"/>
                <w:szCs w:val="20"/>
              </w:rPr>
            </w:pPr>
            <w:r w:rsidRPr="001045FA">
              <w:rPr>
                <w:sz w:val="20"/>
                <w:szCs w:val="20"/>
              </w:rPr>
              <w:t>0</w:t>
            </w:r>
          </w:p>
        </w:tc>
        <w:tc>
          <w:tcPr>
            <w:tcW w:w="313" w:type="pct"/>
          </w:tcPr>
          <w:p w14:paraId="6B5A98DD" w14:textId="77777777" w:rsidR="00247AD2" w:rsidRPr="001045FA" w:rsidRDefault="00247AD2" w:rsidP="001045FA">
            <w:pPr>
              <w:pStyle w:val="BodyText"/>
              <w:rPr>
                <w:sz w:val="20"/>
                <w:szCs w:val="20"/>
              </w:rPr>
            </w:pPr>
            <w:r w:rsidRPr="001045FA">
              <w:rPr>
                <w:rStyle w:val="01bodybold"/>
                <w:sz w:val="20"/>
                <w:szCs w:val="20"/>
              </w:rPr>
              <w:t>3,226</w:t>
            </w:r>
          </w:p>
        </w:tc>
      </w:tr>
      <w:tr w:rsidR="006A0585" w:rsidRPr="001045FA" w14:paraId="3815CEC0" w14:textId="77777777" w:rsidTr="006A0585">
        <w:trPr>
          <w:trHeight w:val="396"/>
        </w:trPr>
        <w:tc>
          <w:tcPr>
            <w:tcW w:w="550" w:type="pct"/>
          </w:tcPr>
          <w:p w14:paraId="646670EB" w14:textId="77777777" w:rsidR="00247AD2" w:rsidRPr="001045FA" w:rsidRDefault="00247AD2" w:rsidP="001045FA">
            <w:pPr>
              <w:pStyle w:val="BodyText"/>
              <w:rPr>
                <w:sz w:val="20"/>
                <w:szCs w:val="20"/>
              </w:rPr>
            </w:pPr>
            <w:r w:rsidRPr="001045FA">
              <w:rPr>
                <w:sz w:val="20"/>
                <w:szCs w:val="20"/>
              </w:rPr>
              <w:lastRenderedPageBreak/>
              <w:t>APS4</w:t>
            </w:r>
          </w:p>
        </w:tc>
        <w:tc>
          <w:tcPr>
            <w:tcW w:w="288" w:type="pct"/>
          </w:tcPr>
          <w:p w14:paraId="4906D5D1" w14:textId="77777777" w:rsidR="00247AD2" w:rsidRPr="001045FA" w:rsidRDefault="00247AD2" w:rsidP="001045FA">
            <w:pPr>
              <w:pStyle w:val="BodyText"/>
              <w:rPr>
                <w:sz w:val="20"/>
                <w:szCs w:val="20"/>
              </w:rPr>
            </w:pPr>
            <w:r w:rsidRPr="001045FA">
              <w:rPr>
                <w:sz w:val="20"/>
                <w:szCs w:val="20"/>
              </w:rPr>
              <w:t>3,524</w:t>
            </w:r>
          </w:p>
        </w:tc>
        <w:tc>
          <w:tcPr>
            <w:tcW w:w="275" w:type="pct"/>
          </w:tcPr>
          <w:p w14:paraId="264582BA" w14:textId="77777777" w:rsidR="00247AD2" w:rsidRPr="001045FA" w:rsidRDefault="00247AD2" w:rsidP="001045FA">
            <w:pPr>
              <w:pStyle w:val="BodyText"/>
              <w:rPr>
                <w:sz w:val="20"/>
                <w:szCs w:val="20"/>
              </w:rPr>
            </w:pPr>
            <w:r w:rsidRPr="001045FA">
              <w:rPr>
                <w:sz w:val="20"/>
                <w:szCs w:val="20"/>
              </w:rPr>
              <w:t>401</w:t>
            </w:r>
          </w:p>
        </w:tc>
        <w:tc>
          <w:tcPr>
            <w:tcW w:w="288" w:type="pct"/>
          </w:tcPr>
          <w:p w14:paraId="53B4DE34" w14:textId="77777777" w:rsidR="00247AD2" w:rsidRPr="001045FA" w:rsidRDefault="00247AD2" w:rsidP="001045FA">
            <w:pPr>
              <w:pStyle w:val="BodyText"/>
              <w:rPr>
                <w:sz w:val="20"/>
                <w:szCs w:val="20"/>
              </w:rPr>
            </w:pPr>
            <w:r w:rsidRPr="001045FA">
              <w:rPr>
                <w:sz w:val="20"/>
                <w:szCs w:val="20"/>
              </w:rPr>
              <w:t>3,925</w:t>
            </w:r>
          </w:p>
        </w:tc>
        <w:tc>
          <w:tcPr>
            <w:tcW w:w="313" w:type="pct"/>
          </w:tcPr>
          <w:p w14:paraId="5CBD596A" w14:textId="77777777" w:rsidR="00247AD2" w:rsidRPr="001045FA" w:rsidRDefault="00247AD2" w:rsidP="001045FA">
            <w:pPr>
              <w:pStyle w:val="BodyText"/>
              <w:rPr>
                <w:sz w:val="20"/>
                <w:szCs w:val="20"/>
              </w:rPr>
            </w:pPr>
            <w:r w:rsidRPr="001045FA">
              <w:rPr>
                <w:sz w:val="20"/>
                <w:szCs w:val="20"/>
              </w:rPr>
              <w:t>7,263</w:t>
            </w:r>
          </w:p>
        </w:tc>
        <w:tc>
          <w:tcPr>
            <w:tcW w:w="288" w:type="pct"/>
          </w:tcPr>
          <w:p w14:paraId="671C2041" w14:textId="77777777" w:rsidR="00247AD2" w:rsidRPr="001045FA" w:rsidRDefault="00247AD2" w:rsidP="001045FA">
            <w:pPr>
              <w:pStyle w:val="BodyText"/>
              <w:rPr>
                <w:sz w:val="20"/>
                <w:szCs w:val="20"/>
              </w:rPr>
            </w:pPr>
            <w:r w:rsidRPr="001045FA">
              <w:rPr>
                <w:sz w:val="20"/>
                <w:szCs w:val="20"/>
              </w:rPr>
              <w:t>3,242</w:t>
            </w:r>
          </w:p>
        </w:tc>
        <w:tc>
          <w:tcPr>
            <w:tcW w:w="313" w:type="pct"/>
          </w:tcPr>
          <w:p w14:paraId="3D0E5B45" w14:textId="77777777" w:rsidR="00247AD2" w:rsidRPr="001045FA" w:rsidRDefault="00247AD2" w:rsidP="001045FA">
            <w:pPr>
              <w:pStyle w:val="BodyText"/>
              <w:rPr>
                <w:sz w:val="20"/>
                <w:szCs w:val="20"/>
              </w:rPr>
            </w:pPr>
            <w:r w:rsidRPr="001045FA">
              <w:rPr>
                <w:sz w:val="20"/>
                <w:szCs w:val="20"/>
              </w:rPr>
              <w:t>10,505</w:t>
            </w:r>
          </w:p>
        </w:tc>
        <w:tc>
          <w:tcPr>
            <w:tcW w:w="265" w:type="pct"/>
          </w:tcPr>
          <w:p w14:paraId="6AD030FE" w14:textId="77777777" w:rsidR="00247AD2" w:rsidRPr="001045FA" w:rsidRDefault="00247AD2" w:rsidP="001045FA">
            <w:pPr>
              <w:pStyle w:val="BodyText"/>
              <w:rPr>
                <w:sz w:val="20"/>
                <w:szCs w:val="20"/>
              </w:rPr>
            </w:pPr>
            <w:r w:rsidRPr="001045FA">
              <w:rPr>
                <w:sz w:val="20"/>
                <w:szCs w:val="20"/>
              </w:rPr>
              <w:t>153</w:t>
            </w:r>
          </w:p>
        </w:tc>
        <w:tc>
          <w:tcPr>
            <w:tcW w:w="265" w:type="pct"/>
          </w:tcPr>
          <w:p w14:paraId="4FF472B0" w14:textId="77777777" w:rsidR="00247AD2" w:rsidRPr="001045FA" w:rsidRDefault="00247AD2" w:rsidP="001045FA">
            <w:pPr>
              <w:pStyle w:val="BodyText"/>
              <w:rPr>
                <w:sz w:val="20"/>
                <w:szCs w:val="20"/>
              </w:rPr>
            </w:pPr>
            <w:r w:rsidRPr="001045FA">
              <w:rPr>
                <w:sz w:val="20"/>
                <w:szCs w:val="20"/>
              </w:rPr>
              <w:t>22</w:t>
            </w:r>
          </w:p>
        </w:tc>
        <w:tc>
          <w:tcPr>
            <w:tcW w:w="265" w:type="pct"/>
          </w:tcPr>
          <w:p w14:paraId="6FE0B1DC" w14:textId="77777777" w:rsidR="00247AD2" w:rsidRPr="001045FA" w:rsidRDefault="00247AD2" w:rsidP="001045FA">
            <w:pPr>
              <w:pStyle w:val="BodyText"/>
              <w:rPr>
                <w:sz w:val="20"/>
                <w:szCs w:val="20"/>
              </w:rPr>
            </w:pPr>
            <w:r w:rsidRPr="001045FA">
              <w:rPr>
                <w:sz w:val="20"/>
                <w:szCs w:val="20"/>
              </w:rPr>
              <w:t>175</w:t>
            </w:r>
          </w:p>
        </w:tc>
        <w:tc>
          <w:tcPr>
            <w:tcW w:w="263" w:type="pct"/>
          </w:tcPr>
          <w:p w14:paraId="1A1442A7" w14:textId="77777777" w:rsidR="00247AD2" w:rsidRPr="001045FA" w:rsidRDefault="00247AD2" w:rsidP="001045FA">
            <w:pPr>
              <w:pStyle w:val="BodyText"/>
              <w:rPr>
                <w:sz w:val="20"/>
                <w:szCs w:val="20"/>
              </w:rPr>
            </w:pPr>
            <w:r w:rsidRPr="001045FA">
              <w:rPr>
                <w:sz w:val="20"/>
                <w:szCs w:val="20"/>
              </w:rPr>
              <w:t>0</w:t>
            </w:r>
          </w:p>
        </w:tc>
        <w:tc>
          <w:tcPr>
            <w:tcW w:w="263" w:type="pct"/>
          </w:tcPr>
          <w:p w14:paraId="164DD2B8" w14:textId="77777777" w:rsidR="00247AD2" w:rsidRPr="001045FA" w:rsidRDefault="00247AD2" w:rsidP="001045FA">
            <w:pPr>
              <w:pStyle w:val="BodyText"/>
              <w:rPr>
                <w:sz w:val="20"/>
                <w:szCs w:val="20"/>
              </w:rPr>
            </w:pPr>
            <w:r w:rsidRPr="001045FA">
              <w:rPr>
                <w:sz w:val="20"/>
                <w:szCs w:val="20"/>
              </w:rPr>
              <w:t>0</w:t>
            </w:r>
          </w:p>
        </w:tc>
        <w:tc>
          <w:tcPr>
            <w:tcW w:w="263" w:type="pct"/>
          </w:tcPr>
          <w:p w14:paraId="42998C59" w14:textId="77777777" w:rsidR="00247AD2" w:rsidRPr="001045FA" w:rsidRDefault="00247AD2" w:rsidP="001045FA">
            <w:pPr>
              <w:pStyle w:val="BodyText"/>
              <w:rPr>
                <w:sz w:val="20"/>
                <w:szCs w:val="20"/>
              </w:rPr>
            </w:pPr>
            <w:r w:rsidRPr="001045FA">
              <w:rPr>
                <w:sz w:val="20"/>
                <w:szCs w:val="20"/>
              </w:rPr>
              <w:t>0</w:t>
            </w:r>
          </w:p>
        </w:tc>
        <w:tc>
          <w:tcPr>
            <w:tcW w:w="263" w:type="pct"/>
          </w:tcPr>
          <w:p w14:paraId="17AA1251" w14:textId="77777777" w:rsidR="00247AD2" w:rsidRPr="001045FA" w:rsidRDefault="00247AD2" w:rsidP="001045FA">
            <w:pPr>
              <w:pStyle w:val="BodyText"/>
              <w:rPr>
                <w:sz w:val="20"/>
                <w:szCs w:val="20"/>
              </w:rPr>
            </w:pPr>
            <w:r w:rsidRPr="001045FA">
              <w:rPr>
                <w:sz w:val="20"/>
                <w:szCs w:val="20"/>
              </w:rPr>
              <w:t>0</w:t>
            </w:r>
          </w:p>
        </w:tc>
        <w:tc>
          <w:tcPr>
            <w:tcW w:w="263" w:type="pct"/>
          </w:tcPr>
          <w:p w14:paraId="728D7B0C" w14:textId="77777777" w:rsidR="00247AD2" w:rsidRPr="001045FA" w:rsidRDefault="00247AD2" w:rsidP="001045FA">
            <w:pPr>
              <w:pStyle w:val="BodyText"/>
              <w:rPr>
                <w:sz w:val="20"/>
                <w:szCs w:val="20"/>
              </w:rPr>
            </w:pPr>
            <w:r w:rsidRPr="001045FA">
              <w:rPr>
                <w:sz w:val="20"/>
                <w:szCs w:val="20"/>
              </w:rPr>
              <w:t>0</w:t>
            </w:r>
          </w:p>
        </w:tc>
        <w:tc>
          <w:tcPr>
            <w:tcW w:w="263" w:type="pct"/>
          </w:tcPr>
          <w:p w14:paraId="38B68275" w14:textId="77777777" w:rsidR="00247AD2" w:rsidRPr="001045FA" w:rsidRDefault="00247AD2" w:rsidP="001045FA">
            <w:pPr>
              <w:pStyle w:val="BodyText"/>
              <w:rPr>
                <w:sz w:val="20"/>
                <w:szCs w:val="20"/>
              </w:rPr>
            </w:pPr>
            <w:r w:rsidRPr="001045FA">
              <w:rPr>
                <w:sz w:val="20"/>
                <w:szCs w:val="20"/>
              </w:rPr>
              <w:t>0</w:t>
            </w:r>
          </w:p>
        </w:tc>
        <w:tc>
          <w:tcPr>
            <w:tcW w:w="313" w:type="pct"/>
          </w:tcPr>
          <w:p w14:paraId="4CB78929" w14:textId="77777777" w:rsidR="00247AD2" w:rsidRPr="001045FA" w:rsidRDefault="00247AD2" w:rsidP="001045FA">
            <w:pPr>
              <w:pStyle w:val="BodyText"/>
              <w:rPr>
                <w:sz w:val="20"/>
                <w:szCs w:val="20"/>
              </w:rPr>
            </w:pPr>
            <w:r w:rsidRPr="001045FA">
              <w:rPr>
                <w:rStyle w:val="01bodybold"/>
                <w:spacing w:val="-2"/>
                <w:sz w:val="20"/>
                <w:szCs w:val="20"/>
              </w:rPr>
              <w:t>14,605</w:t>
            </w:r>
          </w:p>
        </w:tc>
      </w:tr>
      <w:tr w:rsidR="006A0585" w:rsidRPr="001045FA" w14:paraId="72232DAD" w14:textId="77777777" w:rsidTr="006A0585">
        <w:trPr>
          <w:trHeight w:val="396"/>
        </w:trPr>
        <w:tc>
          <w:tcPr>
            <w:tcW w:w="550" w:type="pct"/>
          </w:tcPr>
          <w:p w14:paraId="37A961F5" w14:textId="77777777" w:rsidR="00247AD2" w:rsidRPr="001045FA" w:rsidRDefault="00247AD2" w:rsidP="001045FA">
            <w:pPr>
              <w:pStyle w:val="BodyText"/>
              <w:rPr>
                <w:sz w:val="20"/>
                <w:szCs w:val="20"/>
              </w:rPr>
            </w:pPr>
            <w:r w:rsidRPr="001045FA">
              <w:rPr>
                <w:sz w:val="20"/>
                <w:szCs w:val="20"/>
              </w:rPr>
              <w:t>APS3</w:t>
            </w:r>
          </w:p>
        </w:tc>
        <w:tc>
          <w:tcPr>
            <w:tcW w:w="288" w:type="pct"/>
          </w:tcPr>
          <w:p w14:paraId="781FD568" w14:textId="77777777" w:rsidR="00247AD2" w:rsidRPr="001045FA" w:rsidRDefault="00247AD2" w:rsidP="001045FA">
            <w:pPr>
              <w:pStyle w:val="BodyText"/>
              <w:rPr>
                <w:sz w:val="20"/>
                <w:szCs w:val="20"/>
              </w:rPr>
            </w:pPr>
            <w:r w:rsidRPr="001045FA">
              <w:rPr>
                <w:sz w:val="20"/>
                <w:szCs w:val="20"/>
              </w:rPr>
              <w:t>1,416</w:t>
            </w:r>
          </w:p>
        </w:tc>
        <w:tc>
          <w:tcPr>
            <w:tcW w:w="275" w:type="pct"/>
          </w:tcPr>
          <w:p w14:paraId="784AFC13" w14:textId="77777777" w:rsidR="00247AD2" w:rsidRPr="001045FA" w:rsidRDefault="00247AD2" w:rsidP="001045FA">
            <w:pPr>
              <w:pStyle w:val="BodyText"/>
              <w:rPr>
                <w:sz w:val="20"/>
                <w:szCs w:val="20"/>
              </w:rPr>
            </w:pPr>
            <w:r w:rsidRPr="001045FA">
              <w:rPr>
                <w:sz w:val="20"/>
                <w:szCs w:val="20"/>
              </w:rPr>
              <w:t>104</w:t>
            </w:r>
          </w:p>
        </w:tc>
        <w:tc>
          <w:tcPr>
            <w:tcW w:w="288" w:type="pct"/>
          </w:tcPr>
          <w:p w14:paraId="6FB56A7F" w14:textId="77777777" w:rsidR="00247AD2" w:rsidRPr="001045FA" w:rsidRDefault="00247AD2" w:rsidP="001045FA">
            <w:pPr>
              <w:pStyle w:val="BodyText"/>
              <w:rPr>
                <w:sz w:val="20"/>
                <w:szCs w:val="20"/>
              </w:rPr>
            </w:pPr>
            <w:r w:rsidRPr="001045FA">
              <w:rPr>
                <w:sz w:val="20"/>
                <w:szCs w:val="20"/>
              </w:rPr>
              <w:t>1,520</w:t>
            </w:r>
          </w:p>
        </w:tc>
        <w:tc>
          <w:tcPr>
            <w:tcW w:w="313" w:type="pct"/>
          </w:tcPr>
          <w:p w14:paraId="1DC3853F" w14:textId="77777777" w:rsidR="00247AD2" w:rsidRPr="001045FA" w:rsidRDefault="00247AD2" w:rsidP="001045FA">
            <w:pPr>
              <w:pStyle w:val="BodyText"/>
              <w:rPr>
                <w:sz w:val="20"/>
                <w:szCs w:val="20"/>
              </w:rPr>
            </w:pPr>
            <w:r w:rsidRPr="001045FA">
              <w:rPr>
                <w:sz w:val="20"/>
                <w:szCs w:val="20"/>
              </w:rPr>
              <w:t>2,895</w:t>
            </w:r>
          </w:p>
        </w:tc>
        <w:tc>
          <w:tcPr>
            <w:tcW w:w="288" w:type="pct"/>
          </w:tcPr>
          <w:p w14:paraId="70DB8625" w14:textId="77777777" w:rsidR="00247AD2" w:rsidRPr="001045FA" w:rsidRDefault="00247AD2" w:rsidP="001045FA">
            <w:pPr>
              <w:pStyle w:val="BodyText"/>
              <w:rPr>
                <w:sz w:val="20"/>
                <w:szCs w:val="20"/>
              </w:rPr>
            </w:pPr>
            <w:r w:rsidRPr="001045FA">
              <w:rPr>
                <w:sz w:val="20"/>
                <w:szCs w:val="20"/>
              </w:rPr>
              <w:t>656</w:t>
            </w:r>
          </w:p>
        </w:tc>
        <w:tc>
          <w:tcPr>
            <w:tcW w:w="313" w:type="pct"/>
          </w:tcPr>
          <w:p w14:paraId="30B6257D" w14:textId="77777777" w:rsidR="00247AD2" w:rsidRPr="001045FA" w:rsidRDefault="00247AD2" w:rsidP="001045FA">
            <w:pPr>
              <w:pStyle w:val="BodyText"/>
              <w:rPr>
                <w:sz w:val="20"/>
                <w:szCs w:val="20"/>
              </w:rPr>
            </w:pPr>
            <w:r w:rsidRPr="001045FA">
              <w:rPr>
                <w:sz w:val="20"/>
                <w:szCs w:val="20"/>
              </w:rPr>
              <w:t>3,551</w:t>
            </w:r>
          </w:p>
        </w:tc>
        <w:tc>
          <w:tcPr>
            <w:tcW w:w="265" w:type="pct"/>
          </w:tcPr>
          <w:p w14:paraId="56C9038D" w14:textId="77777777" w:rsidR="00247AD2" w:rsidRPr="001045FA" w:rsidRDefault="00247AD2" w:rsidP="001045FA">
            <w:pPr>
              <w:pStyle w:val="BodyText"/>
              <w:rPr>
                <w:sz w:val="20"/>
                <w:szCs w:val="20"/>
              </w:rPr>
            </w:pPr>
            <w:r w:rsidRPr="001045FA">
              <w:rPr>
                <w:sz w:val="20"/>
                <w:szCs w:val="20"/>
              </w:rPr>
              <w:t>97</w:t>
            </w:r>
          </w:p>
        </w:tc>
        <w:tc>
          <w:tcPr>
            <w:tcW w:w="265" w:type="pct"/>
          </w:tcPr>
          <w:p w14:paraId="789A1B93" w14:textId="77777777" w:rsidR="00247AD2" w:rsidRPr="001045FA" w:rsidRDefault="00247AD2" w:rsidP="001045FA">
            <w:pPr>
              <w:pStyle w:val="BodyText"/>
              <w:rPr>
                <w:sz w:val="20"/>
                <w:szCs w:val="20"/>
              </w:rPr>
            </w:pPr>
            <w:r w:rsidRPr="001045FA">
              <w:rPr>
                <w:sz w:val="20"/>
                <w:szCs w:val="20"/>
              </w:rPr>
              <w:t>13</w:t>
            </w:r>
          </w:p>
        </w:tc>
        <w:tc>
          <w:tcPr>
            <w:tcW w:w="265" w:type="pct"/>
          </w:tcPr>
          <w:p w14:paraId="4B20D10F" w14:textId="77777777" w:rsidR="00247AD2" w:rsidRPr="001045FA" w:rsidRDefault="00247AD2" w:rsidP="001045FA">
            <w:pPr>
              <w:pStyle w:val="BodyText"/>
              <w:rPr>
                <w:sz w:val="20"/>
                <w:szCs w:val="20"/>
              </w:rPr>
            </w:pPr>
            <w:r w:rsidRPr="001045FA">
              <w:rPr>
                <w:sz w:val="20"/>
                <w:szCs w:val="20"/>
              </w:rPr>
              <w:t>110</w:t>
            </w:r>
          </w:p>
        </w:tc>
        <w:tc>
          <w:tcPr>
            <w:tcW w:w="263" w:type="pct"/>
          </w:tcPr>
          <w:p w14:paraId="450113A0" w14:textId="77777777" w:rsidR="00247AD2" w:rsidRPr="001045FA" w:rsidRDefault="00247AD2" w:rsidP="001045FA">
            <w:pPr>
              <w:pStyle w:val="BodyText"/>
              <w:rPr>
                <w:sz w:val="20"/>
                <w:szCs w:val="20"/>
              </w:rPr>
            </w:pPr>
            <w:r w:rsidRPr="001045FA">
              <w:rPr>
                <w:sz w:val="20"/>
                <w:szCs w:val="20"/>
              </w:rPr>
              <w:t>0</w:t>
            </w:r>
          </w:p>
        </w:tc>
        <w:tc>
          <w:tcPr>
            <w:tcW w:w="263" w:type="pct"/>
          </w:tcPr>
          <w:p w14:paraId="555ABF89" w14:textId="77777777" w:rsidR="00247AD2" w:rsidRPr="001045FA" w:rsidRDefault="00247AD2" w:rsidP="001045FA">
            <w:pPr>
              <w:pStyle w:val="BodyText"/>
              <w:rPr>
                <w:sz w:val="20"/>
                <w:szCs w:val="20"/>
              </w:rPr>
            </w:pPr>
            <w:r w:rsidRPr="001045FA">
              <w:rPr>
                <w:sz w:val="20"/>
                <w:szCs w:val="20"/>
              </w:rPr>
              <w:t>0</w:t>
            </w:r>
          </w:p>
        </w:tc>
        <w:tc>
          <w:tcPr>
            <w:tcW w:w="263" w:type="pct"/>
          </w:tcPr>
          <w:p w14:paraId="1572BF84" w14:textId="77777777" w:rsidR="00247AD2" w:rsidRPr="001045FA" w:rsidRDefault="00247AD2" w:rsidP="001045FA">
            <w:pPr>
              <w:pStyle w:val="BodyText"/>
              <w:rPr>
                <w:sz w:val="20"/>
                <w:szCs w:val="20"/>
              </w:rPr>
            </w:pPr>
            <w:r w:rsidRPr="001045FA">
              <w:rPr>
                <w:sz w:val="20"/>
                <w:szCs w:val="20"/>
              </w:rPr>
              <w:t>0</w:t>
            </w:r>
          </w:p>
        </w:tc>
        <w:tc>
          <w:tcPr>
            <w:tcW w:w="263" w:type="pct"/>
          </w:tcPr>
          <w:p w14:paraId="6E29EF23" w14:textId="77777777" w:rsidR="00247AD2" w:rsidRPr="001045FA" w:rsidRDefault="00247AD2" w:rsidP="001045FA">
            <w:pPr>
              <w:pStyle w:val="BodyText"/>
              <w:rPr>
                <w:sz w:val="20"/>
                <w:szCs w:val="20"/>
              </w:rPr>
            </w:pPr>
            <w:r w:rsidRPr="001045FA">
              <w:rPr>
                <w:sz w:val="20"/>
                <w:szCs w:val="20"/>
              </w:rPr>
              <w:t>0</w:t>
            </w:r>
          </w:p>
        </w:tc>
        <w:tc>
          <w:tcPr>
            <w:tcW w:w="263" w:type="pct"/>
          </w:tcPr>
          <w:p w14:paraId="59C7F6CB" w14:textId="77777777" w:rsidR="00247AD2" w:rsidRPr="001045FA" w:rsidRDefault="00247AD2" w:rsidP="001045FA">
            <w:pPr>
              <w:pStyle w:val="BodyText"/>
              <w:rPr>
                <w:sz w:val="20"/>
                <w:szCs w:val="20"/>
              </w:rPr>
            </w:pPr>
            <w:r w:rsidRPr="001045FA">
              <w:rPr>
                <w:sz w:val="20"/>
                <w:szCs w:val="20"/>
              </w:rPr>
              <w:t>0</w:t>
            </w:r>
          </w:p>
        </w:tc>
        <w:tc>
          <w:tcPr>
            <w:tcW w:w="263" w:type="pct"/>
          </w:tcPr>
          <w:p w14:paraId="6753A4EF" w14:textId="77777777" w:rsidR="00247AD2" w:rsidRPr="001045FA" w:rsidRDefault="00247AD2" w:rsidP="001045FA">
            <w:pPr>
              <w:pStyle w:val="BodyText"/>
              <w:rPr>
                <w:sz w:val="20"/>
                <w:szCs w:val="20"/>
              </w:rPr>
            </w:pPr>
            <w:r w:rsidRPr="001045FA">
              <w:rPr>
                <w:sz w:val="20"/>
                <w:szCs w:val="20"/>
              </w:rPr>
              <w:t>0</w:t>
            </w:r>
          </w:p>
        </w:tc>
        <w:tc>
          <w:tcPr>
            <w:tcW w:w="313" w:type="pct"/>
          </w:tcPr>
          <w:p w14:paraId="0EEB40D7" w14:textId="77777777" w:rsidR="00247AD2" w:rsidRPr="001045FA" w:rsidRDefault="00247AD2" w:rsidP="001045FA">
            <w:pPr>
              <w:pStyle w:val="BodyText"/>
              <w:rPr>
                <w:sz w:val="20"/>
                <w:szCs w:val="20"/>
              </w:rPr>
            </w:pPr>
            <w:r w:rsidRPr="001045FA">
              <w:rPr>
                <w:rStyle w:val="01bodybold"/>
                <w:sz w:val="20"/>
                <w:szCs w:val="20"/>
              </w:rPr>
              <w:t>5,181</w:t>
            </w:r>
          </w:p>
        </w:tc>
      </w:tr>
      <w:tr w:rsidR="006A0585" w:rsidRPr="001045FA" w14:paraId="32F4CD9A" w14:textId="77777777" w:rsidTr="006A0585">
        <w:trPr>
          <w:trHeight w:val="396"/>
        </w:trPr>
        <w:tc>
          <w:tcPr>
            <w:tcW w:w="550" w:type="pct"/>
          </w:tcPr>
          <w:p w14:paraId="4A9C412E" w14:textId="77777777" w:rsidR="00247AD2" w:rsidRPr="001045FA" w:rsidRDefault="00247AD2" w:rsidP="001045FA">
            <w:pPr>
              <w:pStyle w:val="BodyText"/>
              <w:rPr>
                <w:sz w:val="20"/>
                <w:szCs w:val="20"/>
              </w:rPr>
            </w:pPr>
            <w:r w:rsidRPr="001045FA">
              <w:rPr>
                <w:sz w:val="20"/>
                <w:szCs w:val="20"/>
              </w:rPr>
              <w:t>APS2</w:t>
            </w:r>
          </w:p>
        </w:tc>
        <w:tc>
          <w:tcPr>
            <w:tcW w:w="288" w:type="pct"/>
          </w:tcPr>
          <w:p w14:paraId="677D5AF3" w14:textId="77777777" w:rsidR="00247AD2" w:rsidRPr="001045FA" w:rsidRDefault="00247AD2" w:rsidP="001045FA">
            <w:pPr>
              <w:pStyle w:val="BodyText"/>
              <w:rPr>
                <w:sz w:val="20"/>
                <w:szCs w:val="20"/>
              </w:rPr>
            </w:pPr>
            <w:r w:rsidRPr="001045FA">
              <w:rPr>
                <w:sz w:val="20"/>
                <w:szCs w:val="20"/>
              </w:rPr>
              <w:t>16</w:t>
            </w:r>
          </w:p>
        </w:tc>
        <w:tc>
          <w:tcPr>
            <w:tcW w:w="275" w:type="pct"/>
          </w:tcPr>
          <w:p w14:paraId="4F1702EE" w14:textId="77777777" w:rsidR="00247AD2" w:rsidRPr="001045FA" w:rsidRDefault="00247AD2" w:rsidP="001045FA">
            <w:pPr>
              <w:pStyle w:val="BodyText"/>
              <w:rPr>
                <w:sz w:val="20"/>
                <w:szCs w:val="20"/>
              </w:rPr>
            </w:pPr>
            <w:r w:rsidRPr="001045FA">
              <w:rPr>
                <w:sz w:val="20"/>
                <w:szCs w:val="20"/>
              </w:rPr>
              <w:t>0</w:t>
            </w:r>
          </w:p>
        </w:tc>
        <w:tc>
          <w:tcPr>
            <w:tcW w:w="288" w:type="pct"/>
          </w:tcPr>
          <w:p w14:paraId="40D83875" w14:textId="77777777" w:rsidR="00247AD2" w:rsidRPr="001045FA" w:rsidRDefault="00247AD2" w:rsidP="001045FA">
            <w:pPr>
              <w:pStyle w:val="BodyText"/>
              <w:rPr>
                <w:sz w:val="20"/>
                <w:szCs w:val="20"/>
              </w:rPr>
            </w:pPr>
            <w:r w:rsidRPr="001045FA">
              <w:rPr>
                <w:sz w:val="20"/>
                <w:szCs w:val="20"/>
              </w:rPr>
              <w:t>16</w:t>
            </w:r>
          </w:p>
        </w:tc>
        <w:tc>
          <w:tcPr>
            <w:tcW w:w="313" w:type="pct"/>
          </w:tcPr>
          <w:p w14:paraId="41FAABBB" w14:textId="77777777" w:rsidR="00247AD2" w:rsidRPr="001045FA" w:rsidRDefault="00247AD2" w:rsidP="001045FA">
            <w:pPr>
              <w:pStyle w:val="BodyText"/>
              <w:rPr>
                <w:sz w:val="20"/>
                <w:szCs w:val="20"/>
              </w:rPr>
            </w:pPr>
            <w:r w:rsidRPr="001045FA">
              <w:rPr>
                <w:sz w:val="20"/>
                <w:szCs w:val="20"/>
              </w:rPr>
              <w:t>12</w:t>
            </w:r>
          </w:p>
        </w:tc>
        <w:tc>
          <w:tcPr>
            <w:tcW w:w="288" w:type="pct"/>
          </w:tcPr>
          <w:p w14:paraId="489B0CDC" w14:textId="77777777" w:rsidR="00247AD2" w:rsidRPr="001045FA" w:rsidRDefault="00247AD2" w:rsidP="001045FA">
            <w:pPr>
              <w:pStyle w:val="BodyText"/>
              <w:rPr>
                <w:sz w:val="20"/>
                <w:szCs w:val="20"/>
              </w:rPr>
            </w:pPr>
            <w:r w:rsidRPr="001045FA">
              <w:rPr>
                <w:sz w:val="20"/>
                <w:szCs w:val="20"/>
              </w:rPr>
              <w:t>10</w:t>
            </w:r>
          </w:p>
        </w:tc>
        <w:tc>
          <w:tcPr>
            <w:tcW w:w="313" w:type="pct"/>
          </w:tcPr>
          <w:p w14:paraId="7F492B49" w14:textId="77777777" w:rsidR="00247AD2" w:rsidRPr="001045FA" w:rsidRDefault="00247AD2" w:rsidP="001045FA">
            <w:pPr>
              <w:pStyle w:val="BodyText"/>
              <w:rPr>
                <w:sz w:val="20"/>
                <w:szCs w:val="20"/>
              </w:rPr>
            </w:pPr>
            <w:r w:rsidRPr="001045FA">
              <w:rPr>
                <w:sz w:val="20"/>
                <w:szCs w:val="20"/>
              </w:rPr>
              <w:t>22</w:t>
            </w:r>
          </w:p>
        </w:tc>
        <w:tc>
          <w:tcPr>
            <w:tcW w:w="265" w:type="pct"/>
          </w:tcPr>
          <w:p w14:paraId="350E87C8" w14:textId="77777777" w:rsidR="00247AD2" w:rsidRPr="001045FA" w:rsidRDefault="00247AD2" w:rsidP="001045FA">
            <w:pPr>
              <w:pStyle w:val="BodyText"/>
              <w:rPr>
                <w:sz w:val="20"/>
                <w:szCs w:val="20"/>
              </w:rPr>
            </w:pPr>
            <w:r w:rsidRPr="001045FA">
              <w:rPr>
                <w:sz w:val="20"/>
                <w:szCs w:val="20"/>
              </w:rPr>
              <w:t>0</w:t>
            </w:r>
          </w:p>
        </w:tc>
        <w:tc>
          <w:tcPr>
            <w:tcW w:w="265" w:type="pct"/>
          </w:tcPr>
          <w:p w14:paraId="097BCBAA" w14:textId="77777777" w:rsidR="00247AD2" w:rsidRPr="001045FA" w:rsidRDefault="00247AD2" w:rsidP="001045FA">
            <w:pPr>
              <w:pStyle w:val="BodyText"/>
              <w:rPr>
                <w:sz w:val="20"/>
                <w:szCs w:val="20"/>
              </w:rPr>
            </w:pPr>
            <w:r w:rsidRPr="001045FA">
              <w:rPr>
                <w:sz w:val="20"/>
                <w:szCs w:val="20"/>
              </w:rPr>
              <w:t>0</w:t>
            </w:r>
          </w:p>
        </w:tc>
        <w:tc>
          <w:tcPr>
            <w:tcW w:w="265" w:type="pct"/>
          </w:tcPr>
          <w:p w14:paraId="6D410196" w14:textId="77777777" w:rsidR="00247AD2" w:rsidRPr="001045FA" w:rsidRDefault="00247AD2" w:rsidP="001045FA">
            <w:pPr>
              <w:pStyle w:val="BodyText"/>
              <w:rPr>
                <w:sz w:val="20"/>
                <w:szCs w:val="20"/>
              </w:rPr>
            </w:pPr>
            <w:r w:rsidRPr="001045FA">
              <w:rPr>
                <w:sz w:val="20"/>
                <w:szCs w:val="20"/>
              </w:rPr>
              <w:t>0</w:t>
            </w:r>
          </w:p>
        </w:tc>
        <w:tc>
          <w:tcPr>
            <w:tcW w:w="263" w:type="pct"/>
          </w:tcPr>
          <w:p w14:paraId="71E6C69C" w14:textId="77777777" w:rsidR="00247AD2" w:rsidRPr="001045FA" w:rsidRDefault="00247AD2" w:rsidP="001045FA">
            <w:pPr>
              <w:pStyle w:val="BodyText"/>
              <w:rPr>
                <w:sz w:val="20"/>
                <w:szCs w:val="20"/>
              </w:rPr>
            </w:pPr>
            <w:r w:rsidRPr="001045FA">
              <w:rPr>
                <w:sz w:val="20"/>
                <w:szCs w:val="20"/>
              </w:rPr>
              <w:t>0</w:t>
            </w:r>
          </w:p>
        </w:tc>
        <w:tc>
          <w:tcPr>
            <w:tcW w:w="263" w:type="pct"/>
          </w:tcPr>
          <w:p w14:paraId="3D5E36E6" w14:textId="77777777" w:rsidR="00247AD2" w:rsidRPr="001045FA" w:rsidRDefault="00247AD2" w:rsidP="001045FA">
            <w:pPr>
              <w:pStyle w:val="BodyText"/>
              <w:rPr>
                <w:sz w:val="20"/>
                <w:szCs w:val="20"/>
              </w:rPr>
            </w:pPr>
            <w:r w:rsidRPr="001045FA">
              <w:rPr>
                <w:sz w:val="20"/>
                <w:szCs w:val="20"/>
              </w:rPr>
              <w:t>0</w:t>
            </w:r>
          </w:p>
        </w:tc>
        <w:tc>
          <w:tcPr>
            <w:tcW w:w="263" w:type="pct"/>
          </w:tcPr>
          <w:p w14:paraId="626CE281" w14:textId="77777777" w:rsidR="00247AD2" w:rsidRPr="001045FA" w:rsidRDefault="00247AD2" w:rsidP="001045FA">
            <w:pPr>
              <w:pStyle w:val="BodyText"/>
              <w:rPr>
                <w:sz w:val="20"/>
                <w:szCs w:val="20"/>
              </w:rPr>
            </w:pPr>
            <w:r w:rsidRPr="001045FA">
              <w:rPr>
                <w:sz w:val="20"/>
                <w:szCs w:val="20"/>
              </w:rPr>
              <w:t>0</w:t>
            </w:r>
          </w:p>
        </w:tc>
        <w:tc>
          <w:tcPr>
            <w:tcW w:w="263" w:type="pct"/>
          </w:tcPr>
          <w:p w14:paraId="063A5D9C" w14:textId="77777777" w:rsidR="00247AD2" w:rsidRPr="001045FA" w:rsidRDefault="00247AD2" w:rsidP="001045FA">
            <w:pPr>
              <w:pStyle w:val="BodyText"/>
              <w:rPr>
                <w:sz w:val="20"/>
                <w:szCs w:val="20"/>
              </w:rPr>
            </w:pPr>
            <w:r w:rsidRPr="001045FA">
              <w:rPr>
                <w:sz w:val="20"/>
                <w:szCs w:val="20"/>
              </w:rPr>
              <w:t>0</w:t>
            </w:r>
          </w:p>
        </w:tc>
        <w:tc>
          <w:tcPr>
            <w:tcW w:w="263" w:type="pct"/>
          </w:tcPr>
          <w:p w14:paraId="0825EEFC" w14:textId="77777777" w:rsidR="00247AD2" w:rsidRPr="001045FA" w:rsidRDefault="00247AD2" w:rsidP="001045FA">
            <w:pPr>
              <w:pStyle w:val="BodyText"/>
              <w:rPr>
                <w:sz w:val="20"/>
                <w:szCs w:val="20"/>
              </w:rPr>
            </w:pPr>
            <w:r w:rsidRPr="001045FA">
              <w:rPr>
                <w:sz w:val="20"/>
                <w:szCs w:val="20"/>
              </w:rPr>
              <w:t>0</w:t>
            </w:r>
          </w:p>
        </w:tc>
        <w:tc>
          <w:tcPr>
            <w:tcW w:w="263" w:type="pct"/>
          </w:tcPr>
          <w:p w14:paraId="324DEDB3" w14:textId="77777777" w:rsidR="00247AD2" w:rsidRPr="001045FA" w:rsidRDefault="00247AD2" w:rsidP="001045FA">
            <w:pPr>
              <w:pStyle w:val="BodyText"/>
              <w:rPr>
                <w:sz w:val="20"/>
                <w:szCs w:val="20"/>
              </w:rPr>
            </w:pPr>
            <w:r w:rsidRPr="001045FA">
              <w:rPr>
                <w:sz w:val="20"/>
                <w:szCs w:val="20"/>
              </w:rPr>
              <w:t>0</w:t>
            </w:r>
          </w:p>
        </w:tc>
        <w:tc>
          <w:tcPr>
            <w:tcW w:w="313" w:type="pct"/>
          </w:tcPr>
          <w:p w14:paraId="72A4AFAF" w14:textId="77777777" w:rsidR="00247AD2" w:rsidRPr="001045FA" w:rsidRDefault="00247AD2" w:rsidP="001045FA">
            <w:pPr>
              <w:pStyle w:val="BodyText"/>
              <w:rPr>
                <w:sz w:val="20"/>
                <w:szCs w:val="20"/>
              </w:rPr>
            </w:pPr>
            <w:r w:rsidRPr="001045FA">
              <w:rPr>
                <w:rStyle w:val="01bodybold"/>
                <w:sz w:val="20"/>
                <w:szCs w:val="20"/>
              </w:rPr>
              <w:t>38</w:t>
            </w:r>
          </w:p>
        </w:tc>
      </w:tr>
      <w:tr w:rsidR="006A0585" w:rsidRPr="001045FA" w14:paraId="72FB22E1" w14:textId="77777777" w:rsidTr="006A0585">
        <w:trPr>
          <w:trHeight w:val="396"/>
        </w:trPr>
        <w:tc>
          <w:tcPr>
            <w:tcW w:w="550" w:type="pct"/>
          </w:tcPr>
          <w:p w14:paraId="74805EB0" w14:textId="77777777" w:rsidR="00247AD2" w:rsidRPr="001045FA" w:rsidRDefault="00247AD2" w:rsidP="001045FA">
            <w:pPr>
              <w:pStyle w:val="BodyText"/>
              <w:rPr>
                <w:sz w:val="20"/>
                <w:szCs w:val="20"/>
              </w:rPr>
            </w:pPr>
            <w:r w:rsidRPr="001045FA">
              <w:rPr>
                <w:sz w:val="20"/>
                <w:szCs w:val="20"/>
              </w:rPr>
              <w:t>APS1</w:t>
            </w:r>
          </w:p>
        </w:tc>
        <w:tc>
          <w:tcPr>
            <w:tcW w:w="288" w:type="pct"/>
          </w:tcPr>
          <w:p w14:paraId="7BBD8CA8" w14:textId="77777777" w:rsidR="00247AD2" w:rsidRPr="001045FA" w:rsidRDefault="00247AD2" w:rsidP="001045FA">
            <w:pPr>
              <w:pStyle w:val="BodyText"/>
              <w:rPr>
                <w:sz w:val="20"/>
                <w:szCs w:val="20"/>
              </w:rPr>
            </w:pPr>
            <w:r w:rsidRPr="001045FA">
              <w:rPr>
                <w:sz w:val="20"/>
                <w:szCs w:val="20"/>
              </w:rPr>
              <w:t>15</w:t>
            </w:r>
          </w:p>
        </w:tc>
        <w:tc>
          <w:tcPr>
            <w:tcW w:w="275" w:type="pct"/>
          </w:tcPr>
          <w:p w14:paraId="31C9F9A6" w14:textId="77777777" w:rsidR="00247AD2" w:rsidRPr="001045FA" w:rsidRDefault="00247AD2" w:rsidP="001045FA">
            <w:pPr>
              <w:pStyle w:val="BodyText"/>
              <w:rPr>
                <w:sz w:val="20"/>
                <w:szCs w:val="20"/>
              </w:rPr>
            </w:pPr>
            <w:r w:rsidRPr="001045FA">
              <w:rPr>
                <w:sz w:val="20"/>
                <w:szCs w:val="20"/>
              </w:rPr>
              <w:t>5</w:t>
            </w:r>
          </w:p>
        </w:tc>
        <w:tc>
          <w:tcPr>
            <w:tcW w:w="288" w:type="pct"/>
          </w:tcPr>
          <w:p w14:paraId="2C7B2F72" w14:textId="77777777" w:rsidR="00247AD2" w:rsidRPr="001045FA" w:rsidRDefault="00247AD2" w:rsidP="001045FA">
            <w:pPr>
              <w:pStyle w:val="BodyText"/>
              <w:rPr>
                <w:sz w:val="20"/>
                <w:szCs w:val="20"/>
              </w:rPr>
            </w:pPr>
            <w:r w:rsidRPr="001045FA">
              <w:rPr>
                <w:sz w:val="20"/>
                <w:szCs w:val="20"/>
              </w:rPr>
              <w:t>20</w:t>
            </w:r>
          </w:p>
        </w:tc>
        <w:tc>
          <w:tcPr>
            <w:tcW w:w="313" w:type="pct"/>
          </w:tcPr>
          <w:p w14:paraId="0CD7EF99" w14:textId="77777777" w:rsidR="00247AD2" w:rsidRPr="001045FA" w:rsidRDefault="00247AD2" w:rsidP="001045FA">
            <w:pPr>
              <w:pStyle w:val="BodyText"/>
              <w:rPr>
                <w:sz w:val="20"/>
                <w:szCs w:val="20"/>
              </w:rPr>
            </w:pPr>
            <w:r w:rsidRPr="001045FA">
              <w:rPr>
                <w:sz w:val="20"/>
                <w:szCs w:val="20"/>
              </w:rPr>
              <w:t>13</w:t>
            </w:r>
          </w:p>
        </w:tc>
        <w:tc>
          <w:tcPr>
            <w:tcW w:w="288" w:type="pct"/>
          </w:tcPr>
          <w:p w14:paraId="530F897D" w14:textId="77777777" w:rsidR="00247AD2" w:rsidRPr="001045FA" w:rsidRDefault="00247AD2" w:rsidP="001045FA">
            <w:pPr>
              <w:pStyle w:val="BodyText"/>
              <w:rPr>
                <w:sz w:val="20"/>
                <w:szCs w:val="20"/>
              </w:rPr>
            </w:pPr>
            <w:r w:rsidRPr="001045FA">
              <w:rPr>
                <w:sz w:val="20"/>
                <w:szCs w:val="20"/>
              </w:rPr>
              <w:t>7</w:t>
            </w:r>
          </w:p>
        </w:tc>
        <w:tc>
          <w:tcPr>
            <w:tcW w:w="313" w:type="pct"/>
          </w:tcPr>
          <w:p w14:paraId="161A5023" w14:textId="77777777" w:rsidR="00247AD2" w:rsidRPr="001045FA" w:rsidRDefault="00247AD2" w:rsidP="001045FA">
            <w:pPr>
              <w:pStyle w:val="BodyText"/>
              <w:rPr>
                <w:sz w:val="20"/>
                <w:szCs w:val="20"/>
              </w:rPr>
            </w:pPr>
            <w:r w:rsidRPr="001045FA">
              <w:rPr>
                <w:sz w:val="20"/>
                <w:szCs w:val="20"/>
              </w:rPr>
              <w:t>20</w:t>
            </w:r>
          </w:p>
        </w:tc>
        <w:tc>
          <w:tcPr>
            <w:tcW w:w="265" w:type="pct"/>
          </w:tcPr>
          <w:p w14:paraId="0A810C62" w14:textId="77777777" w:rsidR="00247AD2" w:rsidRPr="001045FA" w:rsidRDefault="00247AD2" w:rsidP="001045FA">
            <w:pPr>
              <w:pStyle w:val="BodyText"/>
              <w:rPr>
                <w:sz w:val="20"/>
                <w:szCs w:val="20"/>
              </w:rPr>
            </w:pPr>
            <w:r w:rsidRPr="001045FA">
              <w:rPr>
                <w:sz w:val="20"/>
                <w:szCs w:val="20"/>
              </w:rPr>
              <w:t>0</w:t>
            </w:r>
          </w:p>
        </w:tc>
        <w:tc>
          <w:tcPr>
            <w:tcW w:w="265" w:type="pct"/>
          </w:tcPr>
          <w:p w14:paraId="13C4D1E3" w14:textId="77777777" w:rsidR="00247AD2" w:rsidRPr="001045FA" w:rsidRDefault="00247AD2" w:rsidP="001045FA">
            <w:pPr>
              <w:pStyle w:val="BodyText"/>
              <w:rPr>
                <w:sz w:val="20"/>
                <w:szCs w:val="20"/>
              </w:rPr>
            </w:pPr>
            <w:r w:rsidRPr="001045FA">
              <w:rPr>
                <w:sz w:val="20"/>
                <w:szCs w:val="20"/>
              </w:rPr>
              <w:t>0</w:t>
            </w:r>
          </w:p>
        </w:tc>
        <w:tc>
          <w:tcPr>
            <w:tcW w:w="265" w:type="pct"/>
          </w:tcPr>
          <w:p w14:paraId="00B4B37B" w14:textId="77777777" w:rsidR="00247AD2" w:rsidRPr="001045FA" w:rsidRDefault="00247AD2" w:rsidP="001045FA">
            <w:pPr>
              <w:pStyle w:val="BodyText"/>
              <w:rPr>
                <w:sz w:val="20"/>
                <w:szCs w:val="20"/>
              </w:rPr>
            </w:pPr>
            <w:r w:rsidRPr="001045FA">
              <w:rPr>
                <w:sz w:val="20"/>
                <w:szCs w:val="20"/>
              </w:rPr>
              <w:t>0</w:t>
            </w:r>
          </w:p>
        </w:tc>
        <w:tc>
          <w:tcPr>
            <w:tcW w:w="263" w:type="pct"/>
          </w:tcPr>
          <w:p w14:paraId="2F562A22" w14:textId="77777777" w:rsidR="00247AD2" w:rsidRPr="001045FA" w:rsidRDefault="00247AD2" w:rsidP="001045FA">
            <w:pPr>
              <w:pStyle w:val="BodyText"/>
              <w:rPr>
                <w:sz w:val="20"/>
                <w:szCs w:val="20"/>
              </w:rPr>
            </w:pPr>
            <w:r w:rsidRPr="001045FA">
              <w:rPr>
                <w:sz w:val="20"/>
                <w:szCs w:val="20"/>
              </w:rPr>
              <w:t>0</w:t>
            </w:r>
          </w:p>
        </w:tc>
        <w:tc>
          <w:tcPr>
            <w:tcW w:w="263" w:type="pct"/>
          </w:tcPr>
          <w:p w14:paraId="179B39E4" w14:textId="77777777" w:rsidR="00247AD2" w:rsidRPr="001045FA" w:rsidRDefault="00247AD2" w:rsidP="001045FA">
            <w:pPr>
              <w:pStyle w:val="BodyText"/>
              <w:rPr>
                <w:sz w:val="20"/>
                <w:szCs w:val="20"/>
              </w:rPr>
            </w:pPr>
            <w:r w:rsidRPr="001045FA">
              <w:rPr>
                <w:sz w:val="20"/>
                <w:szCs w:val="20"/>
              </w:rPr>
              <w:t>0</w:t>
            </w:r>
          </w:p>
        </w:tc>
        <w:tc>
          <w:tcPr>
            <w:tcW w:w="263" w:type="pct"/>
          </w:tcPr>
          <w:p w14:paraId="39088F25" w14:textId="77777777" w:rsidR="00247AD2" w:rsidRPr="001045FA" w:rsidRDefault="00247AD2" w:rsidP="001045FA">
            <w:pPr>
              <w:pStyle w:val="BodyText"/>
              <w:rPr>
                <w:sz w:val="20"/>
                <w:szCs w:val="20"/>
              </w:rPr>
            </w:pPr>
            <w:r w:rsidRPr="001045FA">
              <w:rPr>
                <w:sz w:val="20"/>
                <w:szCs w:val="20"/>
              </w:rPr>
              <w:t>0</w:t>
            </w:r>
          </w:p>
        </w:tc>
        <w:tc>
          <w:tcPr>
            <w:tcW w:w="263" w:type="pct"/>
          </w:tcPr>
          <w:p w14:paraId="18686030" w14:textId="77777777" w:rsidR="00247AD2" w:rsidRPr="001045FA" w:rsidRDefault="00247AD2" w:rsidP="001045FA">
            <w:pPr>
              <w:pStyle w:val="BodyText"/>
              <w:rPr>
                <w:sz w:val="20"/>
                <w:szCs w:val="20"/>
              </w:rPr>
            </w:pPr>
            <w:r w:rsidRPr="001045FA">
              <w:rPr>
                <w:sz w:val="20"/>
                <w:szCs w:val="20"/>
              </w:rPr>
              <w:t>0</w:t>
            </w:r>
          </w:p>
        </w:tc>
        <w:tc>
          <w:tcPr>
            <w:tcW w:w="263" w:type="pct"/>
          </w:tcPr>
          <w:p w14:paraId="773ED638" w14:textId="77777777" w:rsidR="00247AD2" w:rsidRPr="001045FA" w:rsidRDefault="00247AD2" w:rsidP="001045FA">
            <w:pPr>
              <w:pStyle w:val="BodyText"/>
              <w:rPr>
                <w:sz w:val="20"/>
                <w:szCs w:val="20"/>
              </w:rPr>
            </w:pPr>
            <w:r w:rsidRPr="001045FA">
              <w:rPr>
                <w:sz w:val="20"/>
                <w:szCs w:val="20"/>
              </w:rPr>
              <w:t>0</w:t>
            </w:r>
          </w:p>
        </w:tc>
        <w:tc>
          <w:tcPr>
            <w:tcW w:w="263" w:type="pct"/>
          </w:tcPr>
          <w:p w14:paraId="40AD18CE" w14:textId="77777777" w:rsidR="00247AD2" w:rsidRPr="001045FA" w:rsidRDefault="00247AD2" w:rsidP="001045FA">
            <w:pPr>
              <w:pStyle w:val="BodyText"/>
              <w:rPr>
                <w:sz w:val="20"/>
                <w:szCs w:val="20"/>
              </w:rPr>
            </w:pPr>
            <w:r w:rsidRPr="001045FA">
              <w:rPr>
                <w:sz w:val="20"/>
                <w:szCs w:val="20"/>
              </w:rPr>
              <w:t>0</w:t>
            </w:r>
          </w:p>
        </w:tc>
        <w:tc>
          <w:tcPr>
            <w:tcW w:w="313" w:type="pct"/>
          </w:tcPr>
          <w:p w14:paraId="4B9D776B" w14:textId="77777777" w:rsidR="00247AD2" w:rsidRPr="001045FA" w:rsidRDefault="00247AD2" w:rsidP="001045FA">
            <w:pPr>
              <w:pStyle w:val="BodyText"/>
              <w:rPr>
                <w:sz w:val="20"/>
                <w:szCs w:val="20"/>
              </w:rPr>
            </w:pPr>
            <w:r w:rsidRPr="001045FA">
              <w:rPr>
                <w:rStyle w:val="01bodybold"/>
                <w:sz w:val="20"/>
                <w:szCs w:val="20"/>
              </w:rPr>
              <w:t>40</w:t>
            </w:r>
          </w:p>
        </w:tc>
      </w:tr>
      <w:tr w:rsidR="006A0585" w:rsidRPr="001045FA" w14:paraId="30E2D4ED" w14:textId="77777777" w:rsidTr="006A0585">
        <w:trPr>
          <w:trHeight w:val="396"/>
        </w:trPr>
        <w:tc>
          <w:tcPr>
            <w:tcW w:w="550" w:type="pct"/>
          </w:tcPr>
          <w:p w14:paraId="2775F7DE" w14:textId="77777777" w:rsidR="00247AD2" w:rsidRPr="001045FA" w:rsidRDefault="00247AD2" w:rsidP="001045FA">
            <w:pPr>
              <w:pStyle w:val="BodyText"/>
              <w:rPr>
                <w:sz w:val="20"/>
                <w:szCs w:val="20"/>
              </w:rPr>
            </w:pPr>
            <w:r w:rsidRPr="001045FA">
              <w:rPr>
                <w:sz w:val="20"/>
                <w:szCs w:val="20"/>
              </w:rPr>
              <w:t>Other</w:t>
            </w:r>
          </w:p>
        </w:tc>
        <w:tc>
          <w:tcPr>
            <w:tcW w:w="288" w:type="pct"/>
          </w:tcPr>
          <w:p w14:paraId="73B2C94D" w14:textId="77777777" w:rsidR="00247AD2" w:rsidRPr="001045FA" w:rsidRDefault="00247AD2" w:rsidP="001045FA">
            <w:pPr>
              <w:pStyle w:val="BodyText"/>
              <w:rPr>
                <w:sz w:val="20"/>
                <w:szCs w:val="20"/>
              </w:rPr>
            </w:pPr>
            <w:r w:rsidRPr="001045FA">
              <w:rPr>
                <w:sz w:val="20"/>
                <w:szCs w:val="20"/>
              </w:rPr>
              <w:t>78</w:t>
            </w:r>
          </w:p>
        </w:tc>
        <w:tc>
          <w:tcPr>
            <w:tcW w:w="275" w:type="pct"/>
          </w:tcPr>
          <w:p w14:paraId="2CE17E05" w14:textId="77777777" w:rsidR="00247AD2" w:rsidRPr="001045FA" w:rsidRDefault="00247AD2" w:rsidP="001045FA">
            <w:pPr>
              <w:pStyle w:val="BodyText"/>
              <w:rPr>
                <w:sz w:val="20"/>
                <w:szCs w:val="20"/>
              </w:rPr>
            </w:pPr>
            <w:r w:rsidRPr="001045FA">
              <w:rPr>
                <w:sz w:val="20"/>
                <w:szCs w:val="20"/>
              </w:rPr>
              <w:t>9</w:t>
            </w:r>
          </w:p>
        </w:tc>
        <w:tc>
          <w:tcPr>
            <w:tcW w:w="288" w:type="pct"/>
          </w:tcPr>
          <w:p w14:paraId="61AC40C9" w14:textId="77777777" w:rsidR="00247AD2" w:rsidRPr="001045FA" w:rsidRDefault="00247AD2" w:rsidP="001045FA">
            <w:pPr>
              <w:pStyle w:val="BodyText"/>
              <w:rPr>
                <w:sz w:val="20"/>
                <w:szCs w:val="20"/>
              </w:rPr>
            </w:pPr>
            <w:r w:rsidRPr="001045FA">
              <w:rPr>
                <w:sz w:val="20"/>
                <w:szCs w:val="20"/>
              </w:rPr>
              <w:t>87</w:t>
            </w:r>
          </w:p>
        </w:tc>
        <w:tc>
          <w:tcPr>
            <w:tcW w:w="313" w:type="pct"/>
          </w:tcPr>
          <w:p w14:paraId="283E36FD" w14:textId="77777777" w:rsidR="00247AD2" w:rsidRPr="001045FA" w:rsidRDefault="00247AD2" w:rsidP="001045FA">
            <w:pPr>
              <w:pStyle w:val="BodyText"/>
              <w:rPr>
                <w:sz w:val="20"/>
                <w:szCs w:val="20"/>
              </w:rPr>
            </w:pPr>
            <w:r w:rsidRPr="001045FA">
              <w:rPr>
                <w:sz w:val="20"/>
                <w:szCs w:val="20"/>
              </w:rPr>
              <w:t>122</w:t>
            </w:r>
          </w:p>
        </w:tc>
        <w:tc>
          <w:tcPr>
            <w:tcW w:w="288" w:type="pct"/>
          </w:tcPr>
          <w:p w14:paraId="75D044D3" w14:textId="77777777" w:rsidR="00247AD2" w:rsidRPr="001045FA" w:rsidRDefault="00247AD2" w:rsidP="001045FA">
            <w:pPr>
              <w:pStyle w:val="BodyText"/>
              <w:rPr>
                <w:sz w:val="20"/>
                <w:szCs w:val="20"/>
              </w:rPr>
            </w:pPr>
            <w:r w:rsidRPr="001045FA">
              <w:rPr>
                <w:sz w:val="20"/>
                <w:szCs w:val="20"/>
              </w:rPr>
              <w:t>24</w:t>
            </w:r>
          </w:p>
        </w:tc>
        <w:tc>
          <w:tcPr>
            <w:tcW w:w="313" w:type="pct"/>
          </w:tcPr>
          <w:p w14:paraId="51ED4657" w14:textId="77777777" w:rsidR="00247AD2" w:rsidRPr="001045FA" w:rsidRDefault="00247AD2" w:rsidP="001045FA">
            <w:pPr>
              <w:pStyle w:val="BodyText"/>
              <w:rPr>
                <w:sz w:val="20"/>
                <w:szCs w:val="20"/>
              </w:rPr>
            </w:pPr>
            <w:r w:rsidRPr="001045FA">
              <w:rPr>
                <w:sz w:val="20"/>
                <w:szCs w:val="20"/>
              </w:rPr>
              <w:t>146</w:t>
            </w:r>
          </w:p>
        </w:tc>
        <w:tc>
          <w:tcPr>
            <w:tcW w:w="265" w:type="pct"/>
          </w:tcPr>
          <w:p w14:paraId="16B062D5" w14:textId="77777777" w:rsidR="00247AD2" w:rsidRPr="001045FA" w:rsidRDefault="00247AD2" w:rsidP="001045FA">
            <w:pPr>
              <w:pStyle w:val="BodyText"/>
              <w:rPr>
                <w:sz w:val="20"/>
                <w:szCs w:val="20"/>
              </w:rPr>
            </w:pPr>
            <w:r w:rsidRPr="001045FA">
              <w:rPr>
                <w:sz w:val="20"/>
                <w:szCs w:val="20"/>
              </w:rPr>
              <w:t>6</w:t>
            </w:r>
          </w:p>
        </w:tc>
        <w:tc>
          <w:tcPr>
            <w:tcW w:w="265" w:type="pct"/>
          </w:tcPr>
          <w:p w14:paraId="07CC3616" w14:textId="77777777" w:rsidR="00247AD2" w:rsidRPr="001045FA" w:rsidRDefault="00247AD2" w:rsidP="001045FA">
            <w:pPr>
              <w:pStyle w:val="BodyText"/>
              <w:rPr>
                <w:sz w:val="20"/>
                <w:szCs w:val="20"/>
              </w:rPr>
            </w:pPr>
            <w:r w:rsidRPr="001045FA">
              <w:rPr>
                <w:sz w:val="20"/>
                <w:szCs w:val="20"/>
              </w:rPr>
              <w:t>0</w:t>
            </w:r>
          </w:p>
        </w:tc>
        <w:tc>
          <w:tcPr>
            <w:tcW w:w="265" w:type="pct"/>
          </w:tcPr>
          <w:p w14:paraId="4043A004" w14:textId="77777777" w:rsidR="00247AD2" w:rsidRPr="001045FA" w:rsidRDefault="00247AD2" w:rsidP="001045FA">
            <w:pPr>
              <w:pStyle w:val="BodyText"/>
              <w:rPr>
                <w:sz w:val="20"/>
                <w:szCs w:val="20"/>
              </w:rPr>
            </w:pPr>
            <w:r w:rsidRPr="001045FA">
              <w:rPr>
                <w:sz w:val="20"/>
                <w:szCs w:val="20"/>
              </w:rPr>
              <w:t>6</w:t>
            </w:r>
          </w:p>
        </w:tc>
        <w:tc>
          <w:tcPr>
            <w:tcW w:w="263" w:type="pct"/>
          </w:tcPr>
          <w:p w14:paraId="7D5E91DD" w14:textId="77777777" w:rsidR="00247AD2" w:rsidRPr="001045FA" w:rsidRDefault="00247AD2" w:rsidP="001045FA">
            <w:pPr>
              <w:pStyle w:val="BodyText"/>
              <w:rPr>
                <w:sz w:val="20"/>
                <w:szCs w:val="20"/>
              </w:rPr>
            </w:pPr>
            <w:r w:rsidRPr="001045FA">
              <w:rPr>
                <w:sz w:val="20"/>
                <w:szCs w:val="20"/>
              </w:rPr>
              <w:t>0</w:t>
            </w:r>
          </w:p>
        </w:tc>
        <w:tc>
          <w:tcPr>
            <w:tcW w:w="263" w:type="pct"/>
          </w:tcPr>
          <w:p w14:paraId="300ED860" w14:textId="77777777" w:rsidR="00247AD2" w:rsidRPr="001045FA" w:rsidRDefault="00247AD2" w:rsidP="001045FA">
            <w:pPr>
              <w:pStyle w:val="BodyText"/>
              <w:rPr>
                <w:sz w:val="20"/>
                <w:szCs w:val="20"/>
              </w:rPr>
            </w:pPr>
            <w:r w:rsidRPr="001045FA">
              <w:rPr>
                <w:sz w:val="20"/>
                <w:szCs w:val="20"/>
              </w:rPr>
              <w:t>0</w:t>
            </w:r>
          </w:p>
        </w:tc>
        <w:tc>
          <w:tcPr>
            <w:tcW w:w="263" w:type="pct"/>
          </w:tcPr>
          <w:p w14:paraId="448FB5EA" w14:textId="77777777" w:rsidR="00247AD2" w:rsidRPr="001045FA" w:rsidRDefault="00247AD2" w:rsidP="001045FA">
            <w:pPr>
              <w:pStyle w:val="BodyText"/>
              <w:rPr>
                <w:sz w:val="20"/>
                <w:szCs w:val="20"/>
              </w:rPr>
            </w:pPr>
            <w:r w:rsidRPr="001045FA">
              <w:rPr>
                <w:sz w:val="20"/>
                <w:szCs w:val="20"/>
              </w:rPr>
              <w:t>0</w:t>
            </w:r>
          </w:p>
        </w:tc>
        <w:tc>
          <w:tcPr>
            <w:tcW w:w="263" w:type="pct"/>
          </w:tcPr>
          <w:p w14:paraId="5842A015" w14:textId="77777777" w:rsidR="00247AD2" w:rsidRPr="001045FA" w:rsidRDefault="00247AD2" w:rsidP="001045FA">
            <w:pPr>
              <w:pStyle w:val="BodyText"/>
              <w:rPr>
                <w:sz w:val="20"/>
                <w:szCs w:val="20"/>
              </w:rPr>
            </w:pPr>
            <w:r w:rsidRPr="001045FA">
              <w:rPr>
                <w:sz w:val="20"/>
                <w:szCs w:val="20"/>
              </w:rPr>
              <w:t>0</w:t>
            </w:r>
          </w:p>
        </w:tc>
        <w:tc>
          <w:tcPr>
            <w:tcW w:w="263" w:type="pct"/>
          </w:tcPr>
          <w:p w14:paraId="0F0429D0" w14:textId="77777777" w:rsidR="00247AD2" w:rsidRPr="001045FA" w:rsidRDefault="00247AD2" w:rsidP="001045FA">
            <w:pPr>
              <w:pStyle w:val="BodyText"/>
              <w:rPr>
                <w:sz w:val="20"/>
                <w:szCs w:val="20"/>
              </w:rPr>
            </w:pPr>
            <w:r w:rsidRPr="001045FA">
              <w:rPr>
                <w:sz w:val="20"/>
                <w:szCs w:val="20"/>
              </w:rPr>
              <w:t>0</w:t>
            </w:r>
          </w:p>
        </w:tc>
        <w:tc>
          <w:tcPr>
            <w:tcW w:w="263" w:type="pct"/>
          </w:tcPr>
          <w:p w14:paraId="2DC4BE6C" w14:textId="77777777" w:rsidR="00247AD2" w:rsidRPr="001045FA" w:rsidRDefault="00247AD2" w:rsidP="001045FA">
            <w:pPr>
              <w:pStyle w:val="BodyText"/>
              <w:rPr>
                <w:sz w:val="20"/>
                <w:szCs w:val="20"/>
              </w:rPr>
            </w:pPr>
            <w:r w:rsidRPr="001045FA">
              <w:rPr>
                <w:sz w:val="20"/>
                <w:szCs w:val="20"/>
              </w:rPr>
              <w:t>0</w:t>
            </w:r>
          </w:p>
        </w:tc>
        <w:tc>
          <w:tcPr>
            <w:tcW w:w="313" w:type="pct"/>
          </w:tcPr>
          <w:p w14:paraId="6FC9EF00" w14:textId="77777777" w:rsidR="00247AD2" w:rsidRPr="001045FA" w:rsidRDefault="00247AD2" w:rsidP="001045FA">
            <w:pPr>
              <w:pStyle w:val="BodyText"/>
              <w:rPr>
                <w:sz w:val="20"/>
                <w:szCs w:val="20"/>
              </w:rPr>
            </w:pPr>
            <w:r w:rsidRPr="001045FA">
              <w:rPr>
                <w:rStyle w:val="01bodybold"/>
                <w:sz w:val="20"/>
                <w:szCs w:val="20"/>
              </w:rPr>
              <w:t>239</w:t>
            </w:r>
          </w:p>
        </w:tc>
      </w:tr>
      <w:tr w:rsidR="006A0585" w:rsidRPr="001045FA" w14:paraId="6CDAADEA" w14:textId="77777777" w:rsidTr="006A0585">
        <w:trPr>
          <w:trHeight w:val="396"/>
        </w:trPr>
        <w:tc>
          <w:tcPr>
            <w:tcW w:w="550" w:type="pct"/>
          </w:tcPr>
          <w:p w14:paraId="090F60BE" w14:textId="77777777" w:rsidR="00247AD2" w:rsidRPr="001045FA" w:rsidRDefault="00247AD2" w:rsidP="001045FA">
            <w:pPr>
              <w:pStyle w:val="BodyText"/>
              <w:rPr>
                <w:sz w:val="20"/>
                <w:szCs w:val="20"/>
              </w:rPr>
            </w:pPr>
            <w:r w:rsidRPr="001045FA">
              <w:rPr>
                <w:rStyle w:val="01bodybold"/>
                <w:sz w:val="20"/>
                <w:szCs w:val="20"/>
              </w:rPr>
              <w:t>Total</w:t>
            </w:r>
          </w:p>
        </w:tc>
        <w:tc>
          <w:tcPr>
            <w:tcW w:w="288" w:type="pct"/>
          </w:tcPr>
          <w:p w14:paraId="2DFF07EE" w14:textId="77777777" w:rsidR="00247AD2" w:rsidRPr="001045FA" w:rsidRDefault="00247AD2" w:rsidP="001045FA">
            <w:pPr>
              <w:pStyle w:val="BodyText"/>
              <w:rPr>
                <w:sz w:val="20"/>
                <w:szCs w:val="20"/>
              </w:rPr>
            </w:pPr>
            <w:r w:rsidRPr="001045FA">
              <w:rPr>
                <w:rStyle w:val="01bodybold"/>
                <w:sz w:val="20"/>
                <w:szCs w:val="20"/>
              </w:rPr>
              <w:t>9,300</w:t>
            </w:r>
          </w:p>
        </w:tc>
        <w:tc>
          <w:tcPr>
            <w:tcW w:w="275" w:type="pct"/>
          </w:tcPr>
          <w:p w14:paraId="2BE00410" w14:textId="77777777" w:rsidR="00247AD2" w:rsidRPr="001045FA" w:rsidRDefault="00247AD2" w:rsidP="001045FA">
            <w:pPr>
              <w:pStyle w:val="BodyText"/>
              <w:rPr>
                <w:sz w:val="20"/>
                <w:szCs w:val="20"/>
              </w:rPr>
            </w:pPr>
            <w:r w:rsidRPr="001045FA">
              <w:rPr>
                <w:rStyle w:val="01bodybold"/>
                <w:sz w:val="20"/>
                <w:szCs w:val="20"/>
              </w:rPr>
              <w:t>749</w:t>
            </w:r>
          </w:p>
        </w:tc>
        <w:tc>
          <w:tcPr>
            <w:tcW w:w="288" w:type="pct"/>
          </w:tcPr>
          <w:p w14:paraId="4C08A20B" w14:textId="77777777" w:rsidR="00247AD2" w:rsidRPr="001045FA" w:rsidRDefault="00247AD2" w:rsidP="001045FA">
            <w:pPr>
              <w:pStyle w:val="BodyText"/>
              <w:rPr>
                <w:sz w:val="20"/>
                <w:szCs w:val="20"/>
              </w:rPr>
            </w:pPr>
            <w:r w:rsidRPr="001045FA">
              <w:rPr>
                <w:rStyle w:val="01bodybold"/>
                <w:spacing w:val="-11"/>
                <w:sz w:val="20"/>
                <w:szCs w:val="20"/>
              </w:rPr>
              <w:t>10,049</w:t>
            </w:r>
          </w:p>
        </w:tc>
        <w:tc>
          <w:tcPr>
            <w:tcW w:w="313" w:type="pct"/>
          </w:tcPr>
          <w:p w14:paraId="023D5DBC" w14:textId="77777777" w:rsidR="00247AD2" w:rsidRPr="001045FA" w:rsidRDefault="00247AD2" w:rsidP="001045FA">
            <w:pPr>
              <w:pStyle w:val="BodyText"/>
              <w:rPr>
                <w:sz w:val="20"/>
                <w:szCs w:val="20"/>
              </w:rPr>
            </w:pPr>
            <w:r w:rsidRPr="001045FA">
              <w:rPr>
                <w:rStyle w:val="01bodybold"/>
                <w:spacing w:val="-2"/>
                <w:sz w:val="20"/>
                <w:szCs w:val="20"/>
              </w:rPr>
              <w:t>16,525</w:t>
            </w:r>
          </w:p>
        </w:tc>
        <w:tc>
          <w:tcPr>
            <w:tcW w:w="288" w:type="pct"/>
          </w:tcPr>
          <w:p w14:paraId="0741B1B1" w14:textId="77777777" w:rsidR="00247AD2" w:rsidRPr="001045FA" w:rsidRDefault="00247AD2" w:rsidP="001045FA">
            <w:pPr>
              <w:pStyle w:val="BodyText"/>
              <w:rPr>
                <w:sz w:val="20"/>
                <w:szCs w:val="20"/>
              </w:rPr>
            </w:pPr>
            <w:r w:rsidRPr="001045FA">
              <w:rPr>
                <w:rStyle w:val="01bodybold"/>
                <w:sz w:val="20"/>
                <w:szCs w:val="20"/>
              </w:rPr>
              <w:t>5,829</w:t>
            </w:r>
          </w:p>
        </w:tc>
        <w:tc>
          <w:tcPr>
            <w:tcW w:w="313" w:type="pct"/>
          </w:tcPr>
          <w:p w14:paraId="7E4A9636" w14:textId="77777777" w:rsidR="00247AD2" w:rsidRPr="001045FA" w:rsidRDefault="00247AD2" w:rsidP="001045FA">
            <w:pPr>
              <w:pStyle w:val="BodyText"/>
              <w:rPr>
                <w:sz w:val="20"/>
                <w:szCs w:val="20"/>
              </w:rPr>
            </w:pPr>
            <w:r w:rsidRPr="001045FA">
              <w:rPr>
                <w:rStyle w:val="01bodybold"/>
                <w:spacing w:val="-2"/>
                <w:sz w:val="20"/>
                <w:szCs w:val="20"/>
              </w:rPr>
              <w:t>22,354</w:t>
            </w:r>
          </w:p>
        </w:tc>
        <w:tc>
          <w:tcPr>
            <w:tcW w:w="265" w:type="pct"/>
          </w:tcPr>
          <w:p w14:paraId="0E718E52" w14:textId="77777777" w:rsidR="00247AD2" w:rsidRPr="001045FA" w:rsidRDefault="00247AD2" w:rsidP="001045FA">
            <w:pPr>
              <w:pStyle w:val="BodyText"/>
              <w:rPr>
                <w:sz w:val="20"/>
                <w:szCs w:val="20"/>
              </w:rPr>
            </w:pPr>
            <w:r w:rsidRPr="001045FA">
              <w:rPr>
                <w:rStyle w:val="01bodybold"/>
                <w:sz w:val="20"/>
                <w:szCs w:val="20"/>
              </w:rPr>
              <w:t>288</w:t>
            </w:r>
          </w:p>
        </w:tc>
        <w:tc>
          <w:tcPr>
            <w:tcW w:w="265" w:type="pct"/>
          </w:tcPr>
          <w:p w14:paraId="356D9BF5" w14:textId="77777777" w:rsidR="00247AD2" w:rsidRPr="001045FA" w:rsidRDefault="00247AD2" w:rsidP="001045FA">
            <w:pPr>
              <w:pStyle w:val="BodyText"/>
              <w:rPr>
                <w:sz w:val="20"/>
                <w:szCs w:val="20"/>
              </w:rPr>
            </w:pPr>
            <w:r w:rsidRPr="001045FA">
              <w:rPr>
                <w:rStyle w:val="01bodybold"/>
                <w:sz w:val="20"/>
                <w:szCs w:val="20"/>
              </w:rPr>
              <w:t>46</w:t>
            </w:r>
          </w:p>
        </w:tc>
        <w:tc>
          <w:tcPr>
            <w:tcW w:w="265" w:type="pct"/>
          </w:tcPr>
          <w:p w14:paraId="4904DA5F" w14:textId="77777777" w:rsidR="00247AD2" w:rsidRPr="001045FA" w:rsidRDefault="00247AD2" w:rsidP="001045FA">
            <w:pPr>
              <w:pStyle w:val="BodyText"/>
              <w:rPr>
                <w:sz w:val="20"/>
                <w:szCs w:val="20"/>
              </w:rPr>
            </w:pPr>
            <w:r w:rsidRPr="001045FA">
              <w:rPr>
                <w:rStyle w:val="01bodybold"/>
                <w:sz w:val="20"/>
                <w:szCs w:val="20"/>
              </w:rPr>
              <w:t>334</w:t>
            </w:r>
          </w:p>
        </w:tc>
        <w:tc>
          <w:tcPr>
            <w:tcW w:w="263" w:type="pct"/>
          </w:tcPr>
          <w:p w14:paraId="5A3A5C95" w14:textId="77777777" w:rsidR="00247AD2" w:rsidRPr="001045FA" w:rsidRDefault="00247AD2" w:rsidP="001045FA">
            <w:pPr>
              <w:pStyle w:val="BodyText"/>
              <w:rPr>
                <w:sz w:val="20"/>
                <w:szCs w:val="20"/>
              </w:rPr>
            </w:pPr>
            <w:r w:rsidRPr="001045FA">
              <w:rPr>
                <w:rStyle w:val="01bodybold"/>
                <w:sz w:val="20"/>
                <w:szCs w:val="20"/>
              </w:rPr>
              <w:t>0</w:t>
            </w:r>
          </w:p>
        </w:tc>
        <w:tc>
          <w:tcPr>
            <w:tcW w:w="263" w:type="pct"/>
          </w:tcPr>
          <w:p w14:paraId="0BFE9374" w14:textId="77777777" w:rsidR="00247AD2" w:rsidRPr="001045FA" w:rsidRDefault="00247AD2" w:rsidP="001045FA">
            <w:pPr>
              <w:pStyle w:val="BodyText"/>
              <w:rPr>
                <w:sz w:val="20"/>
                <w:szCs w:val="20"/>
              </w:rPr>
            </w:pPr>
            <w:r w:rsidRPr="001045FA">
              <w:rPr>
                <w:rStyle w:val="01bodybold"/>
                <w:sz w:val="20"/>
                <w:szCs w:val="20"/>
              </w:rPr>
              <w:t>0</w:t>
            </w:r>
          </w:p>
        </w:tc>
        <w:tc>
          <w:tcPr>
            <w:tcW w:w="263" w:type="pct"/>
          </w:tcPr>
          <w:p w14:paraId="406B7C04" w14:textId="77777777" w:rsidR="00247AD2" w:rsidRPr="001045FA" w:rsidRDefault="00247AD2" w:rsidP="001045FA">
            <w:pPr>
              <w:pStyle w:val="BodyText"/>
              <w:rPr>
                <w:sz w:val="20"/>
                <w:szCs w:val="20"/>
              </w:rPr>
            </w:pPr>
            <w:r w:rsidRPr="001045FA">
              <w:rPr>
                <w:rStyle w:val="01bodybold"/>
                <w:sz w:val="20"/>
                <w:szCs w:val="20"/>
              </w:rPr>
              <w:t>0</w:t>
            </w:r>
          </w:p>
        </w:tc>
        <w:tc>
          <w:tcPr>
            <w:tcW w:w="263" w:type="pct"/>
          </w:tcPr>
          <w:p w14:paraId="76818C1A" w14:textId="77777777" w:rsidR="00247AD2" w:rsidRPr="001045FA" w:rsidRDefault="00247AD2" w:rsidP="001045FA">
            <w:pPr>
              <w:pStyle w:val="BodyText"/>
              <w:rPr>
                <w:sz w:val="20"/>
                <w:szCs w:val="20"/>
              </w:rPr>
            </w:pPr>
            <w:r w:rsidRPr="001045FA">
              <w:rPr>
                <w:rStyle w:val="01bodybold"/>
                <w:sz w:val="20"/>
                <w:szCs w:val="20"/>
              </w:rPr>
              <w:t>0</w:t>
            </w:r>
          </w:p>
        </w:tc>
        <w:tc>
          <w:tcPr>
            <w:tcW w:w="263" w:type="pct"/>
          </w:tcPr>
          <w:p w14:paraId="62E8BBCD" w14:textId="77777777" w:rsidR="00247AD2" w:rsidRPr="001045FA" w:rsidRDefault="00247AD2" w:rsidP="001045FA">
            <w:pPr>
              <w:pStyle w:val="BodyText"/>
              <w:rPr>
                <w:sz w:val="20"/>
                <w:szCs w:val="20"/>
              </w:rPr>
            </w:pPr>
            <w:r w:rsidRPr="001045FA">
              <w:rPr>
                <w:rStyle w:val="01bodybold"/>
                <w:sz w:val="20"/>
                <w:szCs w:val="20"/>
              </w:rPr>
              <w:t>0</w:t>
            </w:r>
          </w:p>
        </w:tc>
        <w:tc>
          <w:tcPr>
            <w:tcW w:w="263" w:type="pct"/>
          </w:tcPr>
          <w:p w14:paraId="15799924" w14:textId="77777777" w:rsidR="00247AD2" w:rsidRPr="001045FA" w:rsidRDefault="00247AD2" w:rsidP="001045FA">
            <w:pPr>
              <w:pStyle w:val="BodyText"/>
              <w:rPr>
                <w:sz w:val="20"/>
                <w:szCs w:val="20"/>
              </w:rPr>
            </w:pPr>
            <w:r w:rsidRPr="001045FA">
              <w:rPr>
                <w:rStyle w:val="01bodybold"/>
                <w:sz w:val="20"/>
                <w:szCs w:val="20"/>
              </w:rPr>
              <w:t>0</w:t>
            </w:r>
          </w:p>
        </w:tc>
        <w:tc>
          <w:tcPr>
            <w:tcW w:w="313" w:type="pct"/>
          </w:tcPr>
          <w:p w14:paraId="74F4C29B" w14:textId="77777777" w:rsidR="00247AD2" w:rsidRPr="001045FA" w:rsidRDefault="00247AD2" w:rsidP="001045FA">
            <w:pPr>
              <w:pStyle w:val="BodyText"/>
              <w:rPr>
                <w:sz w:val="20"/>
                <w:szCs w:val="20"/>
              </w:rPr>
            </w:pPr>
            <w:r w:rsidRPr="001045FA">
              <w:rPr>
                <w:rStyle w:val="01bodybold"/>
                <w:spacing w:val="-2"/>
                <w:sz w:val="20"/>
                <w:szCs w:val="20"/>
              </w:rPr>
              <w:t>32,737</w:t>
            </w:r>
          </w:p>
        </w:tc>
      </w:tr>
    </w:tbl>
    <w:p w14:paraId="195C784D" w14:textId="2434CAFA" w:rsidR="00247AD2" w:rsidRPr="001D2CCD" w:rsidRDefault="001D2CCD" w:rsidP="001D2CCD">
      <w:pPr>
        <w:pStyle w:val="BodyText"/>
        <w:rPr>
          <w:b/>
          <w:bCs/>
        </w:rPr>
      </w:pPr>
      <w:r w:rsidRPr="001D2CCD">
        <w:rPr>
          <w:b/>
          <w:bCs/>
        </w:rPr>
        <w:t xml:space="preserve">Table 68: </w:t>
      </w:r>
      <w:r w:rsidR="00247AD2" w:rsidRPr="001D2CCD">
        <w:rPr>
          <w:b/>
          <w:bCs/>
        </w:rPr>
        <w:t>Australian Public Service Act non-ongoing employees 2024–25</w:t>
      </w:r>
      <w:r w:rsidR="00247AD2" w:rsidRPr="001D2CCD">
        <w:rPr>
          <w:b/>
          <w:bCs/>
          <w:vertAlign w:val="superscript"/>
        </w:rPr>
        <w:t>(a)</w:t>
      </w:r>
      <w:r w:rsidR="00247AD2" w:rsidRPr="001D2CCD">
        <w:rPr>
          <w:b/>
          <w:bCs/>
        </w:rPr>
        <w:t xml:space="preserve"> (as at 30 June 2025)</w:t>
      </w:r>
    </w:p>
    <w:tbl>
      <w:tblPr>
        <w:tblStyle w:val="TableGrid"/>
        <w:tblW w:w="5000" w:type="pct"/>
        <w:tblLook w:val="04A0" w:firstRow="1" w:lastRow="0" w:firstColumn="1" w:lastColumn="0" w:noHBand="0" w:noVBand="1"/>
        <w:tblCaption w:val="Australian Public Service Act non-ongoing employees 2024–25(a) (as at 30 June 2025)"/>
      </w:tblPr>
      <w:tblGrid>
        <w:gridCol w:w="1300"/>
        <w:gridCol w:w="586"/>
        <w:gridCol w:w="615"/>
        <w:gridCol w:w="634"/>
        <w:gridCol w:w="585"/>
        <w:gridCol w:w="614"/>
        <w:gridCol w:w="633"/>
        <w:gridCol w:w="585"/>
        <w:gridCol w:w="614"/>
        <w:gridCol w:w="633"/>
        <w:gridCol w:w="585"/>
        <w:gridCol w:w="614"/>
        <w:gridCol w:w="633"/>
        <w:gridCol w:w="585"/>
        <w:gridCol w:w="614"/>
        <w:gridCol w:w="633"/>
        <w:gridCol w:w="633"/>
      </w:tblGrid>
      <w:tr w:rsidR="00247AD2" w:rsidRPr="001045FA" w14:paraId="310CA73F" w14:textId="77777777" w:rsidTr="001045FA">
        <w:trPr>
          <w:trHeight w:val="369"/>
          <w:tblHeader/>
        </w:trPr>
        <w:tc>
          <w:tcPr>
            <w:tcW w:w="550" w:type="pct"/>
          </w:tcPr>
          <w:p w14:paraId="0B7FD215" w14:textId="77777777" w:rsidR="00247AD2" w:rsidRPr="001045FA" w:rsidRDefault="00247AD2" w:rsidP="001045FA">
            <w:pPr>
              <w:pStyle w:val="BodyText"/>
              <w:rPr>
                <w:sz w:val="20"/>
                <w:szCs w:val="20"/>
              </w:rPr>
            </w:pPr>
          </w:p>
        </w:tc>
        <w:tc>
          <w:tcPr>
            <w:tcW w:w="850" w:type="pct"/>
            <w:gridSpan w:val="3"/>
          </w:tcPr>
          <w:p w14:paraId="41AB1445" w14:textId="77777777" w:rsidR="00247AD2" w:rsidRPr="001045FA" w:rsidRDefault="00247AD2" w:rsidP="001045FA">
            <w:pPr>
              <w:pStyle w:val="BodyText"/>
              <w:rPr>
                <w:b/>
                <w:bCs/>
                <w:sz w:val="20"/>
                <w:szCs w:val="20"/>
              </w:rPr>
            </w:pPr>
            <w:r w:rsidRPr="001045FA">
              <w:rPr>
                <w:b/>
                <w:bCs/>
                <w:sz w:val="20"/>
                <w:szCs w:val="20"/>
              </w:rPr>
              <w:t>Man/male</w:t>
            </w:r>
          </w:p>
        </w:tc>
        <w:tc>
          <w:tcPr>
            <w:tcW w:w="912" w:type="pct"/>
            <w:gridSpan w:val="3"/>
          </w:tcPr>
          <w:p w14:paraId="5B356E16" w14:textId="77777777" w:rsidR="00247AD2" w:rsidRPr="001045FA" w:rsidRDefault="00247AD2" w:rsidP="001045FA">
            <w:pPr>
              <w:pStyle w:val="BodyText"/>
              <w:rPr>
                <w:b/>
                <w:bCs/>
                <w:sz w:val="20"/>
                <w:szCs w:val="20"/>
              </w:rPr>
            </w:pPr>
            <w:r w:rsidRPr="001045FA">
              <w:rPr>
                <w:b/>
                <w:bCs/>
                <w:sz w:val="20"/>
                <w:szCs w:val="20"/>
              </w:rPr>
              <w:t>Woman/female</w:t>
            </w:r>
          </w:p>
        </w:tc>
        <w:tc>
          <w:tcPr>
            <w:tcW w:w="802" w:type="pct"/>
            <w:gridSpan w:val="3"/>
          </w:tcPr>
          <w:p w14:paraId="2BCD25B9" w14:textId="77777777" w:rsidR="00247AD2" w:rsidRPr="001045FA" w:rsidRDefault="00247AD2" w:rsidP="001045FA">
            <w:pPr>
              <w:pStyle w:val="BodyText"/>
              <w:rPr>
                <w:b/>
                <w:bCs/>
                <w:sz w:val="20"/>
                <w:szCs w:val="20"/>
              </w:rPr>
            </w:pPr>
            <w:r w:rsidRPr="001045FA">
              <w:rPr>
                <w:b/>
                <w:bCs/>
                <w:sz w:val="20"/>
                <w:szCs w:val="20"/>
              </w:rPr>
              <w:t>Non-binary</w:t>
            </w:r>
          </w:p>
        </w:tc>
        <w:tc>
          <w:tcPr>
            <w:tcW w:w="787" w:type="pct"/>
            <w:gridSpan w:val="3"/>
          </w:tcPr>
          <w:p w14:paraId="782CFAFA" w14:textId="77777777" w:rsidR="00247AD2" w:rsidRPr="001045FA" w:rsidRDefault="00247AD2" w:rsidP="001045FA">
            <w:pPr>
              <w:pStyle w:val="BodyText"/>
              <w:rPr>
                <w:b/>
                <w:bCs/>
                <w:sz w:val="20"/>
                <w:szCs w:val="20"/>
              </w:rPr>
            </w:pPr>
            <w:r w:rsidRPr="001045FA">
              <w:rPr>
                <w:b/>
                <w:bCs/>
                <w:sz w:val="20"/>
                <w:szCs w:val="20"/>
              </w:rPr>
              <w:t>Prefers not to answer</w:t>
            </w:r>
          </w:p>
        </w:tc>
        <w:tc>
          <w:tcPr>
            <w:tcW w:w="787" w:type="pct"/>
            <w:gridSpan w:val="3"/>
          </w:tcPr>
          <w:p w14:paraId="70A541AD" w14:textId="77777777" w:rsidR="00247AD2" w:rsidRPr="001045FA" w:rsidRDefault="00247AD2" w:rsidP="001045FA">
            <w:pPr>
              <w:pStyle w:val="BodyText"/>
              <w:rPr>
                <w:b/>
                <w:bCs/>
                <w:sz w:val="20"/>
                <w:szCs w:val="20"/>
              </w:rPr>
            </w:pPr>
            <w:r w:rsidRPr="001045FA">
              <w:rPr>
                <w:b/>
                <w:bCs/>
                <w:sz w:val="20"/>
                <w:szCs w:val="20"/>
              </w:rPr>
              <w:t>Uses a different term</w:t>
            </w:r>
          </w:p>
        </w:tc>
        <w:tc>
          <w:tcPr>
            <w:tcW w:w="312" w:type="pct"/>
          </w:tcPr>
          <w:p w14:paraId="0ED5899B" w14:textId="77777777" w:rsidR="00247AD2" w:rsidRPr="001045FA" w:rsidRDefault="00247AD2" w:rsidP="001045FA">
            <w:pPr>
              <w:pStyle w:val="BodyText"/>
              <w:rPr>
                <w:sz w:val="20"/>
                <w:szCs w:val="20"/>
              </w:rPr>
            </w:pPr>
            <w:r w:rsidRPr="001045FA">
              <w:rPr>
                <w:rStyle w:val="Bold"/>
                <w:sz w:val="20"/>
                <w:szCs w:val="20"/>
              </w:rPr>
              <w:t>Total</w:t>
            </w:r>
          </w:p>
        </w:tc>
      </w:tr>
      <w:tr w:rsidR="006A0585" w:rsidRPr="001045FA" w14:paraId="5E001623" w14:textId="77777777" w:rsidTr="001045FA">
        <w:trPr>
          <w:trHeight w:val="597"/>
          <w:tblHeader/>
        </w:trPr>
        <w:tc>
          <w:tcPr>
            <w:tcW w:w="550" w:type="pct"/>
          </w:tcPr>
          <w:p w14:paraId="4D78EE9B" w14:textId="77777777" w:rsidR="00247AD2" w:rsidRPr="001045FA" w:rsidRDefault="00247AD2" w:rsidP="001045FA">
            <w:pPr>
              <w:pStyle w:val="BodyText"/>
              <w:rPr>
                <w:sz w:val="20"/>
                <w:szCs w:val="20"/>
              </w:rPr>
            </w:pPr>
            <w:r w:rsidRPr="001045FA">
              <w:rPr>
                <w:rStyle w:val="Bold"/>
                <w:spacing w:val="-2"/>
                <w:sz w:val="20"/>
                <w:szCs w:val="20"/>
              </w:rPr>
              <w:t>Substantive classification</w:t>
            </w:r>
          </w:p>
        </w:tc>
        <w:tc>
          <w:tcPr>
            <w:tcW w:w="287" w:type="pct"/>
          </w:tcPr>
          <w:p w14:paraId="33669E87" w14:textId="77777777" w:rsidR="00247AD2" w:rsidRPr="001045FA" w:rsidRDefault="00247AD2" w:rsidP="001045FA">
            <w:pPr>
              <w:pStyle w:val="BodyText"/>
              <w:rPr>
                <w:sz w:val="20"/>
                <w:szCs w:val="20"/>
              </w:rPr>
            </w:pPr>
            <w:r w:rsidRPr="001045FA">
              <w:rPr>
                <w:rStyle w:val="Bold"/>
                <w:sz w:val="20"/>
                <w:szCs w:val="20"/>
              </w:rPr>
              <w:t>Full-time</w:t>
            </w:r>
          </w:p>
        </w:tc>
        <w:tc>
          <w:tcPr>
            <w:tcW w:w="275" w:type="pct"/>
          </w:tcPr>
          <w:p w14:paraId="02DC824E" w14:textId="77777777" w:rsidR="00247AD2" w:rsidRPr="001045FA" w:rsidRDefault="00247AD2" w:rsidP="001045FA">
            <w:pPr>
              <w:pStyle w:val="BodyText"/>
              <w:rPr>
                <w:sz w:val="20"/>
                <w:szCs w:val="20"/>
              </w:rPr>
            </w:pPr>
            <w:r w:rsidRPr="001045FA">
              <w:rPr>
                <w:rStyle w:val="Bold"/>
                <w:sz w:val="20"/>
                <w:szCs w:val="20"/>
              </w:rPr>
              <w:t>Part-time</w:t>
            </w:r>
          </w:p>
        </w:tc>
        <w:tc>
          <w:tcPr>
            <w:tcW w:w="287" w:type="pct"/>
          </w:tcPr>
          <w:p w14:paraId="607F94F8" w14:textId="77777777" w:rsidR="00247AD2" w:rsidRPr="001045FA" w:rsidRDefault="00247AD2" w:rsidP="001045FA">
            <w:pPr>
              <w:pStyle w:val="BodyText"/>
              <w:rPr>
                <w:sz w:val="20"/>
                <w:szCs w:val="20"/>
              </w:rPr>
            </w:pPr>
            <w:r w:rsidRPr="001045FA">
              <w:rPr>
                <w:rStyle w:val="Bold"/>
                <w:sz w:val="20"/>
                <w:szCs w:val="20"/>
              </w:rPr>
              <w:t>Total</w:t>
            </w:r>
          </w:p>
        </w:tc>
        <w:tc>
          <w:tcPr>
            <w:tcW w:w="312" w:type="pct"/>
          </w:tcPr>
          <w:p w14:paraId="1982D580" w14:textId="77777777" w:rsidR="00247AD2" w:rsidRPr="001045FA" w:rsidRDefault="00247AD2" w:rsidP="001045FA">
            <w:pPr>
              <w:pStyle w:val="BodyText"/>
              <w:rPr>
                <w:sz w:val="20"/>
                <w:szCs w:val="20"/>
              </w:rPr>
            </w:pPr>
            <w:r w:rsidRPr="001045FA">
              <w:rPr>
                <w:rStyle w:val="Bold"/>
                <w:sz w:val="20"/>
                <w:szCs w:val="20"/>
              </w:rPr>
              <w:t>Full-time</w:t>
            </w:r>
          </w:p>
        </w:tc>
        <w:tc>
          <w:tcPr>
            <w:tcW w:w="287" w:type="pct"/>
          </w:tcPr>
          <w:p w14:paraId="4B454D17" w14:textId="77777777" w:rsidR="00247AD2" w:rsidRPr="001045FA" w:rsidRDefault="00247AD2" w:rsidP="001045FA">
            <w:pPr>
              <w:pStyle w:val="BodyText"/>
              <w:rPr>
                <w:sz w:val="20"/>
                <w:szCs w:val="20"/>
              </w:rPr>
            </w:pPr>
            <w:r w:rsidRPr="001045FA">
              <w:rPr>
                <w:rStyle w:val="Bold"/>
                <w:sz w:val="20"/>
                <w:szCs w:val="20"/>
              </w:rPr>
              <w:t>Part-time</w:t>
            </w:r>
          </w:p>
        </w:tc>
        <w:tc>
          <w:tcPr>
            <w:tcW w:w="313" w:type="pct"/>
          </w:tcPr>
          <w:p w14:paraId="3CAB5109" w14:textId="77777777" w:rsidR="00247AD2" w:rsidRPr="001045FA" w:rsidRDefault="00247AD2" w:rsidP="001045FA">
            <w:pPr>
              <w:pStyle w:val="BodyText"/>
              <w:rPr>
                <w:sz w:val="20"/>
                <w:szCs w:val="20"/>
              </w:rPr>
            </w:pPr>
            <w:r w:rsidRPr="001045FA">
              <w:rPr>
                <w:rStyle w:val="Bold"/>
                <w:sz w:val="20"/>
                <w:szCs w:val="20"/>
              </w:rPr>
              <w:t>Total</w:t>
            </w:r>
          </w:p>
        </w:tc>
        <w:tc>
          <w:tcPr>
            <w:tcW w:w="268" w:type="pct"/>
          </w:tcPr>
          <w:p w14:paraId="13508C68" w14:textId="77777777" w:rsidR="00247AD2" w:rsidRPr="001045FA" w:rsidRDefault="00247AD2" w:rsidP="001045FA">
            <w:pPr>
              <w:pStyle w:val="BodyText"/>
              <w:rPr>
                <w:sz w:val="20"/>
                <w:szCs w:val="20"/>
              </w:rPr>
            </w:pPr>
            <w:r w:rsidRPr="001045FA">
              <w:rPr>
                <w:rStyle w:val="Bold"/>
                <w:sz w:val="20"/>
                <w:szCs w:val="20"/>
              </w:rPr>
              <w:t>Full-time</w:t>
            </w:r>
          </w:p>
        </w:tc>
        <w:tc>
          <w:tcPr>
            <w:tcW w:w="267" w:type="pct"/>
          </w:tcPr>
          <w:p w14:paraId="142725DC" w14:textId="77777777" w:rsidR="00247AD2" w:rsidRPr="001045FA" w:rsidRDefault="00247AD2" w:rsidP="001045FA">
            <w:pPr>
              <w:pStyle w:val="BodyText"/>
              <w:rPr>
                <w:sz w:val="20"/>
                <w:szCs w:val="20"/>
              </w:rPr>
            </w:pPr>
            <w:r w:rsidRPr="001045FA">
              <w:rPr>
                <w:rStyle w:val="Bold"/>
                <w:sz w:val="20"/>
                <w:szCs w:val="20"/>
              </w:rPr>
              <w:t>Part-time</w:t>
            </w:r>
          </w:p>
        </w:tc>
        <w:tc>
          <w:tcPr>
            <w:tcW w:w="268" w:type="pct"/>
          </w:tcPr>
          <w:p w14:paraId="3CE4259D" w14:textId="77777777" w:rsidR="00247AD2" w:rsidRPr="001045FA" w:rsidRDefault="00247AD2" w:rsidP="001045FA">
            <w:pPr>
              <w:pStyle w:val="BodyText"/>
              <w:rPr>
                <w:sz w:val="20"/>
                <w:szCs w:val="20"/>
              </w:rPr>
            </w:pPr>
            <w:r w:rsidRPr="001045FA">
              <w:rPr>
                <w:rStyle w:val="Bold"/>
                <w:sz w:val="20"/>
                <w:szCs w:val="20"/>
              </w:rPr>
              <w:t>Total</w:t>
            </w:r>
          </w:p>
        </w:tc>
        <w:tc>
          <w:tcPr>
            <w:tcW w:w="262" w:type="pct"/>
          </w:tcPr>
          <w:p w14:paraId="1783D6D2" w14:textId="77777777" w:rsidR="00247AD2" w:rsidRPr="001045FA" w:rsidRDefault="00247AD2" w:rsidP="001045FA">
            <w:pPr>
              <w:pStyle w:val="BodyText"/>
              <w:rPr>
                <w:sz w:val="20"/>
                <w:szCs w:val="20"/>
              </w:rPr>
            </w:pPr>
            <w:r w:rsidRPr="001045FA">
              <w:rPr>
                <w:rStyle w:val="Bold"/>
                <w:sz w:val="20"/>
                <w:szCs w:val="20"/>
              </w:rPr>
              <w:t>Full-time</w:t>
            </w:r>
          </w:p>
        </w:tc>
        <w:tc>
          <w:tcPr>
            <w:tcW w:w="262" w:type="pct"/>
          </w:tcPr>
          <w:p w14:paraId="37D50783" w14:textId="77777777" w:rsidR="00247AD2" w:rsidRPr="001045FA" w:rsidRDefault="00247AD2" w:rsidP="001045FA">
            <w:pPr>
              <w:pStyle w:val="BodyText"/>
              <w:rPr>
                <w:sz w:val="20"/>
                <w:szCs w:val="20"/>
              </w:rPr>
            </w:pPr>
            <w:r w:rsidRPr="001045FA">
              <w:rPr>
                <w:rStyle w:val="Bold"/>
                <w:sz w:val="20"/>
                <w:szCs w:val="20"/>
              </w:rPr>
              <w:t>Part-time</w:t>
            </w:r>
          </w:p>
        </w:tc>
        <w:tc>
          <w:tcPr>
            <w:tcW w:w="263" w:type="pct"/>
          </w:tcPr>
          <w:p w14:paraId="028E0289" w14:textId="77777777" w:rsidR="00247AD2" w:rsidRPr="001045FA" w:rsidRDefault="00247AD2" w:rsidP="001045FA">
            <w:pPr>
              <w:pStyle w:val="BodyText"/>
              <w:rPr>
                <w:sz w:val="20"/>
                <w:szCs w:val="20"/>
              </w:rPr>
            </w:pPr>
            <w:r w:rsidRPr="001045FA">
              <w:rPr>
                <w:rStyle w:val="Bold"/>
                <w:sz w:val="20"/>
                <w:szCs w:val="20"/>
              </w:rPr>
              <w:t>Total</w:t>
            </w:r>
          </w:p>
        </w:tc>
        <w:tc>
          <w:tcPr>
            <w:tcW w:w="262" w:type="pct"/>
          </w:tcPr>
          <w:p w14:paraId="1D04025C" w14:textId="77777777" w:rsidR="00247AD2" w:rsidRPr="001045FA" w:rsidRDefault="00247AD2" w:rsidP="001045FA">
            <w:pPr>
              <w:pStyle w:val="BodyText"/>
              <w:rPr>
                <w:sz w:val="20"/>
                <w:szCs w:val="20"/>
              </w:rPr>
            </w:pPr>
            <w:r w:rsidRPr="001045FA">
              <w:rPr>
                <w:rStyle w:val="Bold"/>
                <w:sz w:val="20"/>
                <w:szCs w:val="20"/>
              </w:rPr>
              <w:t>Full-time</w:t>
            </w:r>
          </w:p>
        </w:tc>
        <w:tc>
          <w:tcPr>
            <w:tcW w:w="262" w:type="pct"/>
          </w:tcPr>
          <w:p w14:paraId="3DDB4CEE" w14:textId="77777777" w:rsidR="00247AD2" w:rsidRPr="001045FA" w:rsidRDefault="00247AD2" w:rsidP="001045FA">
            <w:pPr>
              <w:pStyle w:val="BodyText"/>
              <w:rPr>
                <w:sz w:val="20"/>
                <w:szCs w:val="20"/>
              </w:rPr>
            </w:pPr>
            <w:r w:rsidRPr="001045FA">
              <w:rPr>
                <w:rStyle w:val="Bold"/>
                <w:sz w:val="20"/>
                <w:szCs w:val="20"/>
              </w:rPr>
              <w:t>Part-time</w:t>
            </w:r>
          </w:p>
        </w:tc>
        <w:tc>
          <w:tcPr>
            <w:tcW w:w="263" w:type="pct"/>
          </w:tcPr>
          <w:p w14:paraId="21231836" w14:textId="77777777" w:rsidR="00247AD2" w:rsidRPr="001045FA" w:rsidRDefault="00247AD2" w:rsidP="001045FA">
            <w:pPr>
              <w:pStyle w:val="BodyText"/>
              <w:rPr>
                <w:sz w:val="20"/>
                <w:szCs w:val="20"/>
              </w:rPr>
            </w:pPr>
            <w:r w:rsidRPr="001045FA">
              <w:rPr>
                <w:rStyle w:val="Bold"/>
                <w:sz w:val="20"/>
                <w:szCs w:val="20"/>
              </w:rPr>
              <w:t>Total</w:t>
            </w:r>
          </w:p>
        </w:tc>
        <w:tc>
          <w:tcPr>
            <w:tcW w:w="312" w:type="pct"/>
          </w:tcPr>
          <w:p w14:paraId="5A64899C" w14:textId="77777777" w:rsidR="00247AD2" w:rsidRPr="001045FA" w:rsidRDefault="00247AD2" w:rsidP="001045FA">
            <w:pPr>
              <w:pStyle w:val="BodyText"/>
              <w:rPr>
                <w:sz w:val="20"/>
                <w:szCs w:val="20"/>
              </w:rPr>
            </w:pPr>
          </w:p>
        </w:tc>
      </w:tr>
      <w:tr w:rsidR="006A0585" w:rsidRPr="001045FA" w14:paraId="0DE62992" w14:textId="77777777" w:rsidTr="006A0585">
        <w:trPr>
          <w:trHeight w:val="396"/>
        </w:trPr>
        <w:tc>
          <w:tcPr>
            <w:tcW w:w="550" w:type="pct"/>
          </w:tcPr>
          <w:p w14:paraId="445E2F35" w14:textId="77777777" w:rsidR="00247AD2" w:rsidRPr="001045FA" w:rsidRDefault="00247AD2" w:rsidP="001045FA">
            <w:pPr>
              <w:pStyle w:val="BodyText"/>
              <w:rPr>
                <w:sz w:val="20"/>
                <w:szCs w:val="20"/>
              </w:rPr>
            </w:pPr>
            <w:r w:rsidRPr="001045FA">
              <w:rPr>
                <w:sz w:val="20"/>
                <w:szCs w:val="20"/>
              </w:rPr>
              <w:t>SES3</w:t>
            </w:r>
          </w:p>
        </w:tc>
        <w:tc>
          <w:tcPr>
            <w:tcW w:w="287" w:type="pct"/>
          </w:tcPr>
          <w:p w14:paraId="6C45CCB5" w14:textId="77777777" w:rsidR="00247AD2" w:rsidRPr="001045FA" w:rsidRDefault="00247AD2" w:rsidP="001045FA">
            <w:pPr>
              <w:pStyle w:val="BodyText"/>
              <w:rPr>
                <w:sz w:val="20"/>
                <w:szCs w:val="20"/>
              </w:rPr>
            </w:pPr>
            <w:r w:rsidRPr="001045FA">
              <w:rPr>
                <w:sz w:val="20"/>
                <w:szCs w:val="20"/>
              </w:rPr>
              <w:t>0</w:t>
            </w:r>
          </w:p>
        </w:tc>
        <w:tc>
          <w:tcPr>
            <w:tcW w:w="275" w:type="pct"/>
          </w:tcPr>
          <w:p w14:paraId="4CCB2E65" w14:textId="77777777" w:rsidR="00247AD2" w:rsidRPr="001045FA" w:rsidRDefault="00247AD2" w:rsidP="001045FA">
            <w:pPr>
              <w:pStyle w:val="BodyText"/>
              <w:rPr>
                <w:sz w:val="20"/>
                <w:szCs w:val="20"/>
              </w:rPr>
            </w:pPr>
            <w:r w:rsidRPr="001045FA">
              <w:rPr>
                <w:sz w:val="20"/>
                <w:szCs w:val="20"/>
              </w:rPr>
              <w:t>0</w:t>
            </w:r>
          </w:p>
        </w:tc>
        <w:tc>
          <w:tcPr>
            <w:tcW w:w="287" w:type="pct"/>
          </w:tcPr>
          <w:p w14:paraId="29BFAF3C" w14:textId="77777777" w:rsidR="00247AD2" w:rsidRPr="001045FA" w:rsidRDefault="00247AD2" w:rsidP="001045FA">
            <w:pPr>
              <w:pStyle w:val="BodyText"/>
              <w:rPr>
                <w:sz w:val="20"/>
                <w:szCs w:val="20"/>
              </w:rPr>
            </w:pPr>
            <w:r w:rsidRPr="001045FA">
              <w:rPr>
                <w:sz w:val="20"/>
                <w:szCs w:val="20"/>
              </w:rPr>
              <w:t>0</w:t>
            </w:r>
          </w:p>
        </w:tc>
        <w:tc>
          <w:tcPr>
            <w:tcW w:w="312" w:type="pct"/>
          </w:tcPr>
          <w:p w14:paraId="39B262C5" w14:textId="77777777" w:rsidR="00247AD2" w:rsidRPr="001045FA" w:rsidRDefault="00247AD2" w:rsidP="001045FA">
            <w:pPr>
              <w:pStyle w:val="BodyText"/>
              <w:rPr>
                <w:sz w:val="20"/>
                <w:szCs w:val="20"/>
              </w:rPr>
            </w:pPr>
            <w:r w:rsidRPr="001045FA">
              <w:rPr>
                <w:sz w:val="20"/>
                <w:szCs w:val="20"/>
              </w:rPr>
              <w:t>0</w:t>
            </w:r>
          </w:p>
        </w:tc>
        <w:tc>
          <w:tcPr>
            <w:tcW w:w="287" w:type="pct"/>
          </w:tcPr>
          <w:p w14:paraId="0B83EE78" w14:textId="77777777" w:rsidR="00247AD2" w:rsidRPr="001045FA" w:rsidRDefault="00247AD2" w:rsidP="001045FA">
            <w:pPr>
              <w:pStyle w:val="BodyText"/>
              <w:rPr>
                <w:sz w:val="20"/>
                <w:szCs w:val="20"/>
              </w:rPr>
            </w:pPr>
            <w:r w:rsidRPr="001045FA">
              <w:rPr>
                <w:sz w:val="20"/>
                <w:szCs w:val="20"/>
              </w:rPr>
              <w:t>0</w:t>
            </w:r>
          </w:p>
        </w:tc>
        <w:tc>
          <w:tcPr>
            <w:tcW w:w="313" w:type="pct"/>
          </w:tcPr>
          <w:p w14:paraId="5F602F55" w14:textId="77777777" w:rsidR="00247AD2" w:rsidRPr="001045FA" w:rsidRDefault="00247AD2" w:rsidP="001045FA">
            <w:pPr>
              <w:pStyle w:val="BodyText"/>
              <w:rPr>
                <w:sz w:val="20"/>
                <w:szCs w:val="20"/>
              </w:rPr>
            </w:pPr>
            <w:r w:rsidRPr="001045FA">
              <w:rPr>
                <w:sz w:val="20"/>
                <w:szCs w:val="20"/>
              </w:rPr>
              <w:t>0</w:t>
            </w:r>
          </w:p>
        </w:tc>
        <w:tc>
          <w:tcPr>
            <w:tcW w:w="268" w:type="pct"/>
          </w:tcPr>
          <w:p w14:paraId="0804C37F" w14:textId="77777777" w:rsidR="00247AD2" w:rsidRPr="001045FA" w:rsidRDefault="00247AD2" w:rsidP="001045FA">
            <w:pPr>
              <w:pStyle w:val="BodyText"/>
              <w:rPr>
                <w:sz w:val="20"/>
                <w:szCs w:val="20"/>
              </w:rPr>
            </w:pPr>
            <w:r w:rsidRPr="001045FA">
              <w:rPr>
                <w:sz w:val="20"/>
                <w:szCs w:val="20"/>
              </w:rPr>
              <w:t>0</w:t>
            </w:r>
          </w:p>
        </w:tc>
        <w:tc>
          <w:tcPr>
            <w:tcW w:w="267" w:type="pct"/>
          </w:tcPr>
          <w:p w14:paraId="39CC9D07" w14:textId="77777777" w:rsidR="00247AD2" w:rsidRPr="001045FA" w:rsidRDefault="00247AD2" w:rsidP="001045FA">
            <w:pPr>
              <w:pStyle w:val="BodyText"/>
              <w:rPr>
                <w:sz w:val="20"/>
                <w:szCs w:val="20"/>
              </w:rPr>
            </w:pPr>
            <w:r w:rsidRPr="001045FA">
              <w:rPr>
                <w:sz w:val="20"/>
                <w:szCs w:val="20"/>
              </w:rPr>
              <w:t>0</w:t>
            </w:r>
          </w:p>
        </w:tc>
        <w:tc>
          <w:tcPr>
            <w:tcW w:w="268" w:type="pct"/>
          </w:tcPr>
          <w:p w14:paraId="79B0F0BA" w14:textId="77777777" w:rsidR="00247AD2" w:rsidRPr="001045FA" w:rsidRDefault="00247AD2" w:rsidP="001045FA">
            <w:pPr>
              <w:pStyle w:val="BodyText"/>
              <w:rPr>
                <w:sz w:val="20"/>
                <w:szCs w:val="20"/>
              </w:rPr>
            </w:pPr>
            <w:r w:rsidRPr="001045FA">
              <w:rPr>
                <w:sz w:val="20"/>
                <w:szCs w:val="20"/>
              </w:rPr>
              <w:t>0</w:t>
            </w:r>
          </w:p>
        </w:tc>
        <w:tc>
          <w:tcPr>
            <w:tcW w:w="262" w:type="pct"/>
          </w:tcPr>
          <w:p w14:paraId="141011F3" w14:textId="77777777" w:rsidR="00247AD2" w:rsidRPr="001045FA" w:rsidRDefault="00247AD2" w:rsidP="001045FA">
            <w:pPr>
              <w:pStyle w:val="BodyText"/>
              <w:rPr>
                <w:sz w:val="20"/>
                <w:szCs w:val="20"/>
              </w:rPr>
            </w:pPr>
            <w:r w:rsidRPr="001045FA">
              <w:rPr>
                <w:sz w:val="20"/>
                <w:szCs w:val="20"/>
              </w:rPr>
              <w:t>0</w:t>
            </w:r>
          </w:p>
        </w:tc>
        <w:tc>
          <w:tcPr>
            <w:tcW w:w="262" w:type="pct"/>
          </w:tcPr>
          <w:p w14:paraId="478D4CDA" w14:textId="77777777" w:rsidR="00247AD2" w:rsidRPr="001045FA" w:rsidRDefault="00247AD2" w:rsidP="001045FA">
            <w:pPr>
              <w:pStyle w:val="BodyText"/>
              <w:rPr>
                <w:sz w:val="20"/>
                <w:szCs w:val="20"/>
              </w:rPr>
            </w:pPr>
            <w:r w:rsidRPr="001045FA">
              <w:rPr>
                <w:sz w:val="20"/>
                <w:szCs w:val="20"/>
              </w:rPr>
              <w:t>0</w:t>
            </w:r>
          </w:p>
        </w:tc>
        <w:tc>
          <w:tcPr>
            <w:tcW w:w="263" w:type="pct"/>
          </w:tcPr>
          <w:p w14:paraId="12CA1C2B" w14:textId="77777777" w:rsidR="00247AD2" w:rsidRPr="001045FA" w:rsidRDefault="00247AD2" w:rsidP="001045FA">
            <w:pPr>
              <w:pStyle w:val="BodyText"/>
              <w:rPr>
                <w:sz w:val="20"/>
                <w:szCs w:val="20"/>
              </w:rPr>
            </w:pPr>
            <w:r w:rsidRPr="001045FA">
              <w:rPr>
                <w:sz w:val="20"/>
                <w:szCs w:val="20"/>
              </w:rPr>
              <w:t>0</w:t>
            </w:r>
          </w:p>
        </w:tc>
        <w:tc>
          <w:tcPr>
            <w:tcW w:w="262" w:type="pct"/>
          </w:tcPr>
          <w:p w14:paraId="6EA75058" w14:textId="77777777" w:rsidR="00247AD2" w:rsidRPr="001045FA" w:rsidRDefault="00247AD2" w:rsidP="001045FA">
            <w:pPr>
              <w:pStyle w:val="BodyText"/>
              <w:rPr>
                <w:sz w:val="20"/>
                <w:szCs w:val="20"/>
              </w:rPr>
            </w:pPr>
            <w:r w:rsidRPr="001045FA">
              <w:rPr>
                <w:sz w:val="20"/>
                <w:szCs w:val="20"/>
              </w:rPr>
              <w:t>0</w:t>
            </w:r>
          </w:p>
        </w:tc>
        <w:tc>
          <w:tcPr>
            <w:tcW w:w="262" w:type="pct"/>
          </w:tcPr>
          <w:p w14:paraId="23C23F0D" w14:textId="77777777" w:rsidR="00247AD2" w:rsidRPr="001045FA" w:rsidRDefault="00247AD2" w:rsidP="001045FA">
            <w:pPr>
              <w:pStyle w:val="BodyText"/>
              <w:rPr>
                <w:sz w:val="20"/>
                <w:szCs w:val="20"/>
              </w:rPr>
            </w:pPr>
            <w:r w:rsidRPr="001045FA">
              <w:rPr>
                <w:sz w:val="20"/>
                <w:szCs w:val="20"/>
              </w:rPr>
              <w:t>0</w:t>
            </w:r>
          </w:p>
        </w:tc>
        <w:tc>
          <w:tcPr>
            <w:tcW w:w="263" w:type="pct"/>
          </w:tcPr>
          <w:p w14:paraId="6DF98B98" w14:textId="77777777" w:rsidR="00247AD2" w:rsidRPr="001045FA" w:rsidRDefault="00247AD2" w:rsidP="001045FA">
            <w:pPr>
              <w:pStyle w:val="BodyText"/>
              <w:rPr>
                <w:sz w:val="20"/>
                <w:szCs w:val="20"/>
              </w:rPr>
            </w:pPr>
            <w:r w:rsidRPr="001045FA">
              <w:rPr>
                <w:sz w:val="20"/>
                <w:szCs w:val="20"/>
              </w:rPr>
              <w:t>0</w:t>
            </w:r>
          </w:p>
        </w:tc>
        <w:tc>
          <w:tcPr>
            <w:tcW w:w="312" w:type="pct"/>
          </w:tcPr>
          <w:p w14:paraId="196D3710" w14:textId="77777777" w:rsidR="00247AD2" w:rsidRPr="001045FA" w:rsidRDefault="00247AD2" w:rsidP="001045FA">
            <w:pPr>
              <w:pStyle w:val="BodyText"/>
              <w:rPr>
                <w:sz w:val="20"/>
                <w:szCs w:val="20"/>
              </w:rPr>
            </w:pPr>
            <w:r w:rsidRPr="001045FA">
              <w:rPr>
                <w:rStyle w:val="01bodybold"/>
                <w:sz w:val="20"/>
                <w:szCs w:val="20"/>
              </w:rPr>
              <w:t>0</w:t>
            </w:r>
          </w:p>
        </w:tc>
      </w:tr>
      <w:tr w:rsidR="006A0585" w:rsidRPr="001045FA" w14:paraId="43781A1E" w14:textId="77777777" w:rsidTr="006A0585">
        <w:trPr>
          <w:trHeight w:val="396"/>
        </w:trPr>
        <w:tc>
          <w:tcPr>
            <w:tcW w:w="550" w:type="pct"/>
          </w:tcPr>
          <w:p w14:paraId="51D587D3" w14:textId="77777777" w:rsidR="00247AD2" w:rsidRPr="001045FA" w:rsidRDefault="00247AD2" w:rsidP="001045FA">
            <w:pPr>
              <w:pStyle w:val="BodyText"/>
              <w:rPr>
                <w:sz w:val="20"/>
                <w:szCs w:val="20"/>
              </w:rPr>
            </w:pPr>
            <w:r w:rsidRPr="001045FA">
              <w:rPr>
                <w:sz w:val="20"/>
                <w:szCs w:val="20"/>
              </w:rPr>
              <w:t>SES2</w:t>
            </w:r>
          </w:p>
        </w:tc>
        <w:tc>
          <w:tcPr>
            <w:tcW w:w="287" w:type="pct"/>
          </w:tcPr>
          <w:p w14:paraId="07C895ED" w14:textId="77777777" w:rsidR="00247AD2" w:rsidRPr="001045FA" w:rsidRDefault="00247AD2" w:rsidP="001045FA">
            <w:pPr>
              <w:pStyle w:val="BodyText"/>
              <w:rPr>
                <w:sz w:val="20"/>
                <w:szCs w:val="20"/>
              </w:rPr>
            </w:pPr>
            <w:r w:rsidRPr="001045FA">
              <w:rPr>
                <w:sz w:val="20"/>
                <w:szCs w:val="20"/>
              </w:rPr>
              <w:t>0</w:t>
            </w:r>
          </w:p>
        </w:tc>
        <w:tc>
          <w:tcPr>
            <w:tcW w:w="275" w:type="pct"/>
          </w:tcPr>
          <w:p w14:paraId="352C6AA2" w14:textId="77777777" w:rsidR="00247AD2" w:rsidRPr="001045FA" w:rsidRDefault="00247AD2" w:rsidP="001045FA">
            <w:pPr>
              <w:pStyle w:val="BodyText"/>
              <w:rPr>
                <w:sz w:val="20"/>
                <w:szCs w:val="20"/>
              </w:rPr>
            </w:pPr>
            <w:r w:rsidRPr="001045FA">
              <w:rPr>
                <w:sz w:val="20"/>
                <w:szCs w:val="20"/>
              </w:rPr>
              <w:t>0</w:t>
            </w:r>
          </w:p>
        </w:tc>
        <w:tc>
          <w:tcPr>
            <w:tcW w:w="287" w:type="pct"/>
          </w:tcPr>
          <w:p w14:paraId="040391E9" w14:textId="77777777" w:rsidR="00247AD2" w:rsidRPr="001045FA" w:rsidRDefault="00247AD2" w:rsidP="001045FA">
            <w:pPr>
              <w:pStyle w:val="BodyText"/>
              <w:rPr>
                <w:sz w:val="20"/>
                <w:szCs w:val="20"/>
              </w:rPr>
            </w:pPr>
            <w:r w:rsidRPr="001045FA">
              <w:rPr>
                <w:sz w:val="20"/>
                <w:szCs w:val="20"/>
              </w:rPr>
              <w:t>0</w:t>
            </w:r>
          </w:p>
        </w:tc>
        <w:tc>
          <w:tcPr>
            <w:tcW w:w="312" w:type="pct"/>
          </w:tcPr>
          <w:p w14:paraId="18014EF2" w14:textId="77777777" w:rsidR="00247AD2" w:rsidRPr="001045FA" w:rsidRDefault="00247AD2" w:rsidP="001045FA">
            <w:pPr>
              <w:pStyle w:val="BodyText"/>
              <w:rPr>
                <w:sz w:val="20"/>
                <w:szCs w:val="20"/>
              </w:rPr>
            </w:pPr>
            <w:r w:rsidRPr="001045FA">
              <w:rPr>
                <w:sz w:val="20"/>
                <w:szCs w:val="20"/>
              </w:rPr>
              <w:t>0</w:t>
            </w:r>
          </w:p>
        </w:tc>
        <w:tc>
          <w:tcPr>
            <w:tcW w:w="287" w:type="pct"/>
          </w:tcPr>
          <w:p w14:paraId="053E4F58" w14:textId="77777777" w:rsidR="00247AD2" w:rsidRPr="001045FA" w:rsidRDefault="00247AD2" w:rsidP="001045FA">
            <w:pPr>
              <w:pStyle w:val="BodyText"/>
              <w:rPr>
                <w:sz w:val="20"/>
                <w:szCs w:val="20"/>
              </w:rPr>
            </w:pPr>
            <w:r w:rsidRPr="001045FA">
              <w:rPr>
                <w:sz w:val="20"/>
                <w:szCs w:val="20"/>
              </w:rPr>
              <w:t>0</w:t>
            </w:r>
          </w:p>
        </w:tc>
        <w:tc>
          <w:tcPr>
            <w:tcW w:w="313" w:type="pct"/>
          </w:tcPr>
          <w:p w14:paraId="427683A3" w14:textId="77777777" w:rsidR="00247AD2" w:rsidRPr="001045FA" w:rsidRDefault="00247AD2" w:rsidP="001045FA">
            <w:pPr>
              <w:pStyle w:val="BodyText"/>
              <w:rPr>
                <w:sz w:val="20"/>
                <w:szCs w:val="20"/>
              </w:rPr>
            </w:pPr>
            <w:r w:rsidRPr="001045FA">
              <w:rPr>
                <w:sz w:val="20"/>
                <w:szCs w:val="20"/>
              </w:rPr>
              <w:t>0</w:t>
            </w:r>
          </w:p>
        </w:tc>
        <w:tc>
          <w:tcPr>
            <w:tcW w:w="268" w:type="pct"/>
          </w:tcPr>
          <w:p w14:paraId="57A4E58C" w14:textId="77777777" w:rsidR="00247AD2" w:rsidRPr="001045FA" w:rsidRDefault="00247AD2" w:rsidP="001045FA">
            <w:pPr>
              <w:pStyle w:val="BodyText"/>
              <w:rPr>
                <w:sz w:val="20"/>
                <w:szCs w:val="20"/>
              </w:rPr>
            </w:pPr>
            <w:r w:rsidRPr="001045FA">
              <w:rPr>
                <w:sz w:val="20"/>
                <w:szCs w:val="20"/>
              </w:rPr>
              <w:t>0</w:t>
            </w:r>
          </w:p>
        </w:tc>
        <w:tc>
          <w:tcPr>
            <w:tcW w:w="267" w:type="pct"/>
          </w:tcPr>
          <w:p w14:paraId="6C0703D3" w14:textId="77777777" w:rsidR="00247AD2" w:rsidRPr="001045FA" w:rsidRDefault="00247AD2" w:rsidP="001045FA">
            <w:pPr>
              <w:pStyle w:val="BodyText"/>
              <w:rPr>
                <w:sz w:val="20"/>
                <w:szCs w:val="20"/>
              </w:rPr>
            </w:pPr>
            <w:r w:rsidRPr="001045FA">
              <w:rPr>
                <w:sz w:val="20"/>
                <w:szCs w:val="20"/>
              </w:rPr>
              <w:t>0</w:t>
            </w:r>
          </w:p>
        </w:tc>
        <w:tc>
          <w:tcPr>
            <w:tcW w:w="268" w:type="pct"/>
          </w:tcPr>
          <w:p w14:paraId="642A98EE" w14:textId="77777777" w:rsidR="00247AD2" w:rsidRPr="001045FA" w:rsidRDefault="00247AD2" w:rsidP="001045FA">
            <w:pPr>
              <w:pStyle w:val="BodyText"/>
              <w:rPr>
                <w:sz w:val="20"/>
                <w:szCs w:val="20"/>
              </w:rPr>
            </w:pPr>
            <w:r w:rsidRPr="001045FA">
              <w:rPr>
                <w:sz w:val="20"/>
                <w:szCs w:val="20"/>
              </w:rPr>
              <w:t>0</w:t>
            </w:r>
          </w:p>
        </w:tc>
        <w:tc>
          <w:tcPr>
            <w:tcW w:w="262" w:type="pct"/>
          </w:tcPr>
          <w:p w14:paraId="5139D639" w14:textId="77777777" w:rsidR="00247AD2" w:rsidRPr="001045FA" w:rsidRDefault="00247AD2" w:rsidP="001045FA">
            <w:pPr>
              <w:pStyle w:val="BodyText"/>
              <w:rPr>
                <w:sz w:val="20"/>
                <w:szCs w:val="20"/>
              </w:rPr>
            </w:pPr>
            <w:r w:rsidRPr="001045FA">
              <w:rPr>
                <w:sz w:val="20"/>
                <w:szCs w:val="20"/>
              </w:rPr>
              <w:t>0</w:t>
            </w:r>
          </w:p>
        </w:tc>
        <w:tc>
          <w:tcPr>
            <w:tcW w:w="262" w:type="pct"/>
          </w:tcPr>
          <w:p w14:paraId="32DC3AE6" w14:textId="77777777" w:rsidR="00247AD2" w:rsidRPr="001045FA" w:rsidRDefault="00247AD2" w:rsidP="001045FA">
            <w:pPr>
              <w:pStyle w:val="BodyText"/>
              <w:rPr>
                <w:sz w:val="20"/>
                <w:szCs w:val="20"/>
              </w:rPr>
            </w:pPr>
            <w:r w:rsidRPr="001045FA">
              <w:rPr>
                <w:sz w:val="20"/>
                <w:szCs w:val="20"/>
              </w:rPr>
              <w:t>0</w:t>
            </w:r>
          </w:p>
        </w:tc>
        <w:tc>
          <w:tcPr>
            <w:tcW w:w="263" w:type="pct"/>
          </w:tcPr>
          <w:p w14:paraId="45CC5C80" w14:textId="77777777" w:rsidR="00247AD2" w:rsidRPr="001045FA" w:rsidRDefault="00247AD2" w:rsidP="001045FA">
            <w:pPr>
              <w:pStyle w:val="BodyText"/>
              <w:rPr>
                <w:sz w:val="20"/>
                <w:szCs w:val="20"/>
              </w:rPr>
            </w:pPr>
            <w:r w:rsidRPr="001045FA">
              <w:rPr>
                <w:sz w:val="20"/>
                <w:szCs w:val="20"/>
              </w:rPr>
              <w:t>0</w:t>
            </w:r>
          </w:p>
        </w:tc>
        <w:tc>
          <w:tcPr>
            <w:tcW w:w="262" w:type="pct"/>
          </w:tcPr>
          <w:p w14:paraId="4C057743" w14:textId="77777777" w:rsidR="00247AD2" w:rsidRPr="001045FA" w:rsidRDefault="00247AD2" w:rsidP="001045FA">
            <w:pPr>
              <w:pStyle w:val="BodyText"/>
              <w:rPr>
                <w:sz w:val="20"/>
                <w:szCs w:val="20"/>
              </w:rPr>
            </w:pPr>
            <w:r w:rsidRPr="001045FA">
              <w:rPr>
                <w:sz w:val="20"/>
                <w:szCs w:val="20"/>
              </w:rPr>
              <w:t>0</w:t>
            </w:r>
          </w:p>
        </w:tc>
        <w:tc>
          <w:tcPr>
            <w:tcW w:w="262" w:type="pct"/>
          </w:tcPr>
          <w:p w14:paraId="08BD1A3D" w14:textId="77777777" w:rsidR="00247AD2" w:rsidRPr="001045FA" w:rsidRDefault="00247AD2" w:rsidP="001045FA">
            <w:pPr>
              <w:pStyle w:val="BodyText"/>
              <w:rPr>
                <w:sz w:val="20"/>
                <w:szCs w:val="20"/>
              </w:rPr>
            </w:pPr>
            <w:r w:rsidRPr="001045FA">
              <w:rPr>
                <w:sz w:val="20"/>
                <w:szCs w:val="20"/>
              </w:rPr>
              <w:t>0</w:t>
            </w:r>
          </w:p>
        </w:tc>
        <w:tc>
          <w:tcPr>
            <w:tcW w:w="263" w:type="pct"/>
          </w:tcPr>
          <w:p w14:paraId="59A441EB" w14:textId="77777777" w:rsidR="00247AD2" w:rsidRPr="001045FA" w:rsidRDefault="00247AD2" w:rsidP="001045FA">
            <w:pPr>
              <w:pStyle w:val="BodyText"/>
              <w:rPr>
                <w:sz w:val="20"/>
                <w:szCs w:val="20"/>
              </w:rPr>
            </w:pPr>
            <w:r w:rsidRPr="001045FA">
              <w:rPr>
                <w:sz w:val="20"/>
                <w:szCs w:val="20"/>
              </w:rPr>
              <w:t>0</w:t>
            </w:r>
          </w:p>
        </w:tc>
        <w:tc>
          <w:tcPr>
            <w:tcW w:w="312" w:type="pct"/>
          </w:tcPr>
          <w:p w14:paraId="0D81B136" w14:textId="77777777" w:rsidR="00247AD2" w:rsidRPr="001045FA" w:rsidRDefault="00247AD2" w:rsidP="001045FA">
            <w:pPr>
              <w:pStyle w:val="BodyText"/>
              <w:rPr>
                <w:sz w:val="20"/>
                <w:szCs w:val="20"/>
              </w:rPr>
            </w:pPr>
            <w:r w:rsidRPr="001045FA">
              <w:rPr>
                <w:rStyle w:val="01bodybold"/>
                <w:sz w:val="20"/>
                <w:szCs w:val="20"/>
              </w:rPr>
              <w:t>0</w:t>
            </w:r>
          </w:p>
        </w:tc>
      </w:tr>
      <w:tr w:rsidR="006A0585" w:rsidRPr="001045FA" w14:paraId="0D1B8553" w14:textId="77777777" w:rsidTr="006A0585">
        <w:trPr>
          <w:trHeight w:val="396"/>
        </w:trPr>
        <w:tc>
          <w:tcPr>
            <w:tcW w:w="550" w:type="pct"/>
          </w:tcPr>
          <w:p w14:paraId="718EBEE5" w14:textId="77777777" w:rsidR="00247AD2" w:rsidRPr="001045FA" w:rsidRDefault="00247AD2" w:rsidP="001045FA">
            <w:pPr>
              <w:pStyle w:val="BodyText"/>
              <w:rPr>
                <w:sz w:val="20"/>
                <w:szCs w:val="20"/>
              </w:rPr>
            </w:pPr>
            <w:r w:rsidRPr="001045FA">
              <w:rPr>
                <w:sz w:val="20"/>
                <w:szCs w:val="20"/>
              </w:rPr>
              <w:t>SES1</w:t>
            </w:r>
          </w:p>
        </w:tc>
        <w:tc>
          <w:tcPr>
            <w:tcW w:w="287" w:type="pct"/>
          </w:tcPr>
          <w:p w14:paraId="0C3E5AC5" w14:textId="77777777" w:rsidR="00247AD2" w:rsidRPr="001045FA" w:rsidRDefault="00247AD2" w:rsidP="001045FA">
            <w:pPr>
              <w:pStyle w:val="BodyText"/>
              <w:rPr>
                <w:sz w:val="20"/>
                <w:szCs w:val="20"/>
              </w:rPr>
            </w:pPr>
            <w:r w:rsidRPr="001045FA">
              <w:rPr>
                <w:sz w:val="20"/>
                <w:szCs w:val="20"/>
              </w:rPr>
              <w:t>0</w:t>
            </w:r>
          </w:p>
        </w:tc>
        <w:tc>
          <w:tcPr>
            <w:tcW w:w="275" w:type="pct"/>
          </w:tcPr>
          <w:p w14:paraId="4F2CE98B" w14:textId="77777777" w:rsidR="00247AD2" w:rsidRPr="001045FA" w:rsidRDefault="00247AD2" w:rsidP="001045FA">
            <w:pPr>
              <w:pStyle w:val="BodyText"/>
              <w:rPr>
                <w:sz w:val="20"/>
                <w:szCs w:val="20"/>
              </w:rPr>
            </w:pPr>
            <w:r w:rsidRPr="001045FA">
              <w:rPr>
                <w:sz w:val="20"/>
                <w:szCs w:val="20"/>
              </w:rPr>
              <w:t>0</w:t>
            </w:r>
          </w:p>
        </w:tc>
        <w:tc>
          <w:tcPr>
            <w:tcW w:w="287" w:type="pct"/>
          </w:tcPr>
          <w:p w14:paraId="09085942" w14:textId="77777777" w:rsidR="00247AD2" w:rsidRPr="001045FA" w:rsidRDefault="00247AD2" w:rsidP="001045FA">
            <w:pPr>
              <w:pStyle w:val="BodyText"/>
              <w:rPr>
                <w:sz w:val="20"/>
                <w:szCs w:val="20"/>
              </w:rPr>
            </w:pPr>
            <w:r w:rsidRPr="001045FA">
              <w:rPr>
                <w:sz w:val="20"/>
                <w:szCs w:val="20"/>
              </w:rPr>
              <w:t>0</w:t>
            </w:r>
          </w:p>
        </w:tc>
        <w:tc>
          <w:tcPr>
            <w:tcW w:w="312" w:type="pct"/>
          </w:tcPr>
          <w:p w14:paraId="2054F1B3" w14:textId="77777777" w:rsidR="00247AD2" w:rsidRPr="001045FA" w:rsidRDefault="00247AD2" w:rsidP="001045FA">
            <w:pPr>
              <w:pStyle w:val="BodyText"/>
              <w:rPr>
                <w:sz w:val="20"/>
                <w:szCs w:val="20"/>
              </w:rPr>
            </w:pPr>
            <w:r w:rsidRPr="001045FA">
              <w:rPr>
                <w:sz w:val="20"/>
                <w:szCs w:val="20"/>
              </w:rPr>
              <w:t>0</w:t>
            </w:r>
          </w:p>
        </w:tc>
        <w:tc>
          <w:tcPr>
            <w:tcW w:w="287" w:type="pct"/>
          </w:tcPr>
          <w:p w14:paraId="75C926C2" w14:textId="77777777" w:rsidR="00247AD2" w:rsidRPr="001045FA" w:rsidRDefault="00247AD2" w:rsidP="001045FA">
            <w:pPr>
              <w:pStyle w:val="BodyText"/>
              <w:rPr>
                <w:sz w:val="20"/>
                <w:szCs w:val="20"/>
              </w:rPr>
            </w:pPr>
            <w:r w:rsidRPr="001045FA">
              <w:rPr>
                <w:sz w:val="20"/>
                <w:szCs w:val="20"/>
              </w:rPr>
              <w:t>0</w:t>
            </w:r>
          </w:p>
        </w:tc>
        <w:tc>
          <w:tcPr>
            <w:tcW w:w="313" w:type="pct"/>
          </w:tcPr>
          <w:p w14:paraId="40E0CC4C" w14:textId="77777777" w:rsidR="00247AD2" w:rsidRPr="001045FA" w:rsidRDefault="00247AD2" w:rsidP="001045FA">
            <w:pPr>
              <w:pStyle w:val="BodyText"/>
              <w:rPr>
                <w:sz w:val="20"/>
                <w:szCs w:val="20"/>
              </w:rPr>
            </w:pPr>
            <w:r w:rsidRPr="001045FA">
              <w:rPr>
                <w:sz w:val="20"/>
                <w:szCs w:val="20"/>
              </w:rPr>
              <w:t>0</w:t>
            </w:r>
          </w:p>
        </w:tc>
        <w:tc>
          <w:tcPr>
            <w:tcW w:w="268" w:type="pct"/>
          </w:tcPr>
          <w:p w14:paraId="0B0A6823" w14:textId="77777777" w:rsidR="00247AD2" w:rsidRPr="001045FA" w:rsidRDefault="00247AD2" w:rsidP="001045FA">
            <w:pPr>
              <w:pStyle w:val="BodyText"/>
              <w:rPr>
                <w:sz w:val="20"/>
                <w:szCs w:val="20"/>
              </w:rPr>
            </w:pPr>
            <w:r w:rsidRPr="001045FA">
              <w:rPr>
                <w:sz w:val="20"/>
                <w:szCs w:val="20"/>
              </w:rPr>
              <w:t>0</w:t>
            </w:r>
          </w:p>
        </w:tc>
        <w:tc>
          <w:tcPr>
            <w:tcW w:w="267" w:type="pct"/>
          </w:tcPr>
          <w:p w14:paraId="2949C91A" w14:textId="77777777" w:rsidR="00247AD2" w:rsidRPr="001045FA" w:rsidRDefault="00247AD2" w:rsidP="001045FA">
            <w:pPr>
              <w:pStyle w:val="BodyText"/>
              <w:rPr>
                <w:sz w:val="20"/>
                <w:szCs w:val="20"/>
              </w:rPr>
            </w:pPr>
            <w:r w:rsidRPr="001045FA">
              <w:rPr>
                <w:sz w:val="20"/>
                <w:szCs w:val="20"/>
              </w:rPr>
              <w:t>0</w:t>
            </w:r>
          </w:p>
        </w:tc>
        <w:tc>
          <w:tcPr>
            <w:tcW w:w="268" w:type="pct"/>
          </w:tcPr>
          <w:p w14:paraId="0EB4C1BD" w14:textId="77777777" w:rsidR="00247AD2" w:rsidRPr="001045FA" w:rsidRDefault="00247AD2" w:rsidP="001045FA">
            <w:pPr>
              <w:pStyle w:val="BodyText"/>
              <w:rPr>
                <w:sz w:val="20"/>
                <w:szCs w:val="20"/>
              </w:rPr>
            </w:pPr>
            <w:r w:rsidRPr="001045FA">
              <w:rPr>
                <w:sz w:val="20"/>
                <w:szCs w:val="20"/>
              </w:rPr>
              <w:t>0</w:t>
            </w:r>
          </w:p>
        </w:tc>
        <w:tc>
          <w:tcPr>
            <w:tcW w:w="262" w:type="pct"/>
          </w:tcPr>
          <w:p w14:paraId="47793A97" w14:textId="77777777" w:rsidR="00247AD2" w:rsidRPr="001045FA" w:rsidRDefault="00247AD2" w:rsidP="001045FA">
            <w:pPr>
              <w:pStyle w:val="BodyText"/>
              <w:rPr>
                <w:sz w:val="20"/>
                <w:szCs w:val="20"/>
              </w:rPr>
            </w:pPr>
            <w:r w:rsidRPr="001045FA">
              <w:rPr>
                <w:sz w:val="20"/>
                <w:szCs w:val="20"/>
              </w:rPr>
              <w:t>0</w:t>
            </w:r>
          </w:p>
        </w:tc>
        <w:tc>
          <w:tcPr>
            <w:tcW w:w="262" w:type="pct"/>
          </w:tcPr>
          <w:p w14:paraId="10C97EE9" w14:textId="77777777" w:rsidR="00247AD2" w:rsidRPr="001045FA" w:rsidRDefault="00247AD2" w:rsidP="001045FA">
            <w:pPr>
              <w:pStyle w:val="BodyText"/>
              <w:rPr>
                <w:sz w:val="20"/>
                <w:szCs w:val="20"/>
              </w:rPr>
            </w:pPr>
            <w:r w:rsidRPr="001045FA">
              <w:rPr>
                <w:sz w:val="20"/>
                <w:szCs w:val="20"/>
              </w:rPr>
              <w:t>0</w:t>
            </w:r>
          </w:p>
        </w:tc>
        <w:tc>
          <w:tcPr>
            <w:tcW w:w="263" w:type="pct"/>
          </w:tcPr>
          <w:p w14:paraId="1D167222" w14:textId="77777777" w:rsidR="00247AD2" w:rsidRPr="001045FA" w:rsidRDefault="00247AD2" w:rsidP="001045FA">
            <w:pPr>
              <w:pStyle w:val="BodyText"/>
              <w:rPr>
                <w:sz w:val="20"/>
                <w:szCs w:val="20"/>
              </w:rPr>
            </w:pPr>
            <w:r w:rsidRPr="001045FA">
              <w:rPr>
                <w:sz w:val="20"/>
                <w:szCs w:val="20"/>
              </w:rPr>
              <w:t>0</w:t>
            </w:r>
          </w:p>
        </w:tc>
        <w:tc>
          <w:tcPr>
            <w:tcW w:w="262" w:type="pct"/>
          </w:tcPr>
          <w:p w14:paraId="012552C1" w14:textId="77777777" w:rsidR="00247AD2" w:rsidRPr="001045FA" w:rsidRDefault="00247AD2" w:rsidP="001045FA">
            <w:pPr>
              <w:pStyle w:val="BodyText"/>
              <w:rPr>
                <w:sz w:val="20"/>
                <w:szCs w:val="20"/>
              </w:rPr>
            </w:pPr>
            <w:r w:rsidRPr="001045FA">
              <w:rPr>
                <w:sz w:val="20"/>
                <w:szCs w:val="20"/>
              </w:rPr>
              <w:t>0</w:t>
            </w:r>
          </w:p>
        </w:tc>
        <w:tc>
          <w:tcPr>
            <w:tcW w:w="262" w:type="pct"/>
          </w:tcPr>
          <w:p w14:paraId="0FE465C5" w14:textId="77777777" w:rsidR="00247AD2" w:rsidRPr="001045FA" w:rsidRDefault="00247AD2" w:rsidP="001045FA">
            <w:pPr>
              <w:pStyle w:val="BodyText"/>
              <w:rPr>
                <w:sz w:val="20"/>
                <w:szCs w:val="20"/>
              </w:rPr>
            </w:pPr>
            <w:r w:rsidRPr="001045FA">
              <w:rPr>
                <w:sz w:val="20"/>
                <w:szCs w:val="20"/>
              </w:rPr>
              <w:t>0</w:t>
            </w:r>
          </w:p>
        </w:tc>
        <w:tc>
          <w:tcPr>
            <w:tcW w:w="263" w:type="pct"/>
          </w:tcPr>
          <w:p w14:paraId="4820FE20" w14:textId="77777777" w:rsidR="00247AD2" w:rsidRPr="001045FA" w:rsidRDefault="00247AD2" w:rsidP="001045FA">
            <w:pPr>
              <w:pStyle w:val="BodyText"/>
              <w:rPr>
                <w:sz w:val="20"/>
                <w:szCs w:val="20"/>
              </w:rPr>
            </w:pPr>
            <w:r w:rsidRPr="001045FA">
              <w:rPr>
                <w:sz w:val="20"/>
                <w:szCs w:val="20"/>
              </w:rPr>
              <w:t>0</w:t>
            </w:r>
          </w:p>
        </w:tc>
        <w:tc>
          <w:tcPr>
            <w:tcW w:w="312" w:type="pct"/>
          </w:tcPr>
          <w:p w14:paraId="34C1E283" w14:textId="77777777" w:rsidR="00247AD2" w:rsidRPr="001045FA" w:rsidRDefault="00247AD2" w:rsidP="001045FA">
            <w:pPr>
              <w:pStyle w:val="BodyText"/>
              <w:rPr>
                <w:sz w:val="20"/>
                <w:szCs w:val="20"/>
              </w:rPr>
            </w:pPr>
            <w:r w:rsidRPr="001045FA">
              <w:rPr>
                <w:rStyle w:val="01bodybold"/>
                <w:sz w:val="20"/>
                <w:szCs w:val="20"/>
              </w:rPr>
              <w:t>0</w:t>
            </w:r>
          </w:p>
        </w:tc>
      </w:tr>
      <w:tr w:rsidR="006A0585" w:rsidRPr="001045FA" w14:paraId="321D5771" w14:textId="77777777" w:rsidTr="006A0585">
        <w:trPr>
          <w:trHeight w:val="396"/>
        </w:trPr>
        <w:tc>
          <w:tcPr>
            <w:tcW w:w="550" w:type="pct"/>
          </w:tcPr>
          <w:p w14:paraId="73D66A6F" w14:textId="77777777" w:rsidR="00247AD2" w:rsidRPr="001045FA" w:rsidRDefault="00247AD2" w:rsidP="001045FA">
            <w:pPr>
              <w:pStyle w:val="BodyText"/>
              <w:rPr>
                <w:sz w:val="20"/>
                <w:szCs w:val="20"/>
              </w:rPr>
            </w:pPr>
            <w:r w:rsidRPr="001045FA">
              <w:rPr>
                <w:sz w:val="20"/>
                <w:szCs w:val="20"/>
              </w:rPr>
              <w:t>EL2</w:t>
            </w:r>
          </w:p>
        </w:tc>
        <w:tc>
          <w:tcPr>
            <w:tcW w:w="287" w:type="pct"/>
          </w:tcPr>
          <w:p w14:paraId="03BE27C1" w14:textId="77777777" w:rsidR="00247AD2" w:rsidRPr="001045FA" w:rsidRDefault="00247AD2" w:rsidP="001045FA">
            <w:pPr>
              <w:pStyle w:val="BodyText"/>
              <w:rPr>
                <w:sz w:val="20"/>
                <w:szCs w:val="20"/>
              </w:rPr>
            </w:pPr>
            <w:r w:rsidRPr="001045FA">
              <w:rPr>
                <w:sz w:val="20"/>
                <w:szCs w:val="20"/>
              </w:rPr>
              <w:t>1</w:t>
            </w:r>
          </w:p>
        </w:tc>
        <w:tc>
          <w:tcPr>
            <w:tcW w:w="275" w:type="pct"/>
          </w:tcPr>
          <w:p w14:paraId="3107BB4E" w14:textId="77777777" w:rsidR="00247AD2" w:rsidRPr="001045FA" w:rsidRDefault="00247AD2" w:rsidP="001045FA">
            <w:pPr>
              <w:pStyle w:val="BodyText"/>
              <w:rPr>
                <w:sz w:val="20"/>
                <w:szCs w:val="20"/>
              </w:rPr>
            </w:pPr>
            <w:r w:rsidRPr="001045FA">
              <w:rPr>
                <w:sz w:val="20"/>
                <w:szCs w:val="20"/>
              </w:rPr>
              <w:t>0</w:t>
            </w:r>
          </w:p>
        </w:tc>
        <w:tc>
          <w:tcPr>
            <w:tcW w:w="287" w:type="pct"/>
          </w:tcPr>
          <w:p w14:paraId="10A96EEA" w14:textId="77777777" w:rsidR="00247AD2" w:rsidRPr="001045FA" w:rsidRDefault="00247AD2" w:rsidP="001045FA">
            <w:pPr>
              <w:pStyle w:val="BodyText"/>
              <w:rPr>
                <w:sz w:val="20"/>
                <w:szCs w:val="20"/>
              </w:rPr>
            </w:pPr>
            <w:r w:rsidRPr="001045FA">
              <w:rPr>
                <w:sz w:val="20"/>
                <w:szCs w:val="20"/>
              </w:rPr>
              <w:t>1</w:t>
            </w:r>
          </w:p>
        </w:tc>
        <w:tc>
          <w:tcPr>
            <w:tcW w:w="312" w:type="pct"/>
          </w:tcPr>
          <w:p w14:paraId="4F10B6BD" w14:textId="77777777" w:rsidR="00247AD2" w:rsidRPr="001045FA" w:rsidRDefault="00247AD2" w:rsidP="001045FA">
            <w:pPr>
              <w:pStyle w:val="BodyText"/>
              <w:rPr>
                <w:sz w:val="20"/>
                <w:szCs w:val="20"/>
              </w:rPr>
            </w:pPr>
            <w:r w:rsidRPr="001045FA">
              <w:rPr>
                <w:sz w:val="20"/>
                <w:szCs w:val="20"/>
              </w:rPr>
              <w:t>2</w:t>
            </w:r>
          </w:p>
        </w:tc>
        <w:tc>
          <w:tcPr>
            <w:tcW w:w="287" w:type="pct"/>
          </w:tcPr>
          <w:p w14:paraId="4F3F3F2F" w14:textId="77777777" w:rsidR="00247AD2" w:rsidRPr="001045FA" w:rsidRDefault="00247AD2" w:rsidP="001045FA">
            <w:pPr>
              <w:pStyle w:val="BodyText"/>
              <w:rPr>
                <w:sz w:val="20"/>
                <w:szCs w:val="20"/>
              </w:rPr>
            </w:pPr>
            <w:r w:rsidRPr="001045FA">
              <w:rPr>
                <w:sz w:val="20"/>
                <w:szCs w:val="20"/>
              </w:rPr>
              <w:t>2</w:t>
            </w:r>
          </w:p>
        </w:tc>
        <w:tc>
          <w:tcPr>
            <w:tcW w:w="313" w:type="pct"/>
          </w:tcPr>
          <w:p w14:paraId="4867D5B3" w14:textId="77777777" w:rsidR="00247AD2" w:rsidRPr="001045FA" w:rsidRDefault="00247AD2" w:rsidP="001045FA">
            <w:pPr>
              <w:pStyle w:val="BodyText"/>
              <w:rPr>
                <w:sz w:val="20"/>
                <w:szCs w:val="20"/>
              </w:rPr>
            </w:pPr>
            <w:r w:rsidRPr="001045FA">
              <w:rPr>
                <w:sz w:val="20"/>
                <w:szCs w:val="20"/>
              </w:rPr>
              <w:t>4</w:t>
            </w:r>
          </w:p>
        </w:tc>
        <w:tc>
          <w:tcPr>
            <w:tcW w:w="268" w:type="pct"/>
          </w:tcPr>
          <w:p w14:paraId="527E15E2" w14:textId="77777777" w:rsidR="00247AD2" w:rsidRPr="001045FA" w:rsidRDefault="00247AD2" w:rsidP="001045FA">
            <w:pPr>
              <w:pStyle w:val="BodyText"/>
              <w:rPr>
                <w:sz w:val="20"/>
                <w:szCs w:val="20"/>
              </w:rPr>
            </w:pPr>
            <w:r w:rsidRPr="001045FA">
              <w:rPr>
                <w:sz w:val="20"/>
                <w:szCs w:val="20"/>
              </w:rPr>
              <w:t>0</w:t>
            </w:r>
          </w:p>
        </w:tc>
        <w:tc>
          <w:tcPr>
            <w:tcW w:w="267" w:type="pct"/>
          </w:tcPr>
          <w:p w14:paraId="4A1A617B" w14:textId="77777777" w:rsidR="00247AD2" w:rsidRPr="001045FA" w:rsidRDefault="00247AD2" w:rsidP="001045FA">
            <w:pPr>
              <w:pStyle w:val="BodyText"/>
              <w:rPr>
                <w:sz w:val="20"/>
                <w:szCs w:val="20"/>
              </w:rPr>
            </w:pPr>
            <w:r w:rsidRPr="001045FA">
              <w:rPr>
                <w:sz w:val="20"/>
                <w:szCs w:val="20"/>
              </w:rPr>
              <w:t>0</w:t>
            </w:r>
          </w:p>
        </w:tc>
        <w:tc>
          <w:tcPr>
            <w:tcW w:w="268" w:type="pct"/>
          </w:tcPr>
          <w:p w14:paraId="711A987A" w14:textId="77777777" w:rsidR="00247AD2" w:rsidRPr="001045FA" w:rsidRDefault="00247AD2" w:rsidP="001045FA">
            <w:pPr>
              <w:pStyle w:val="BodyText"/>
              <w:rPr>
                <w:sz w:val="20"/>
                <w:szCs w:val="20"/>
              </w:rPr>
            </w:pPr>
            <w:r w:rsidRPr="001045FA">
              <w:rPr>
                <w:sz w:val="20"/>
                <w:szCs w:val="20"/>
              </w:rPr>
              <w:t>0</w:t>
            </w:r>
          </w:p>
        </w:tc>
        <w:tc>
          <w:tcPr>
            <w:tcW w:w="262" w:type="pct"/>
          </w:tcPr>
          <w:p w14:paraId="245876A2" w14:textId="77777777" w:rsidR="00247AD2" w:rsidRPr="001045FA" w:rsidRDefault="00247AD2" w:rsidP="001045FA">
            <w:pPr>
              <w:pStyle w:val="BodyText"/>
              <w:rPr>
                <w:sz w:val="20"/>
                <w:szCs w:val="20"/>
              </w:rPr>
            </w:pPr>
            <w:r w:rsidRPr="001045FA">
              <w:rPr>
                <w:sz w:val="20"/>
                <w:szCs w:val="20"/>
              </w:rPr>
              <w:t>0</w:t>
            </w:r>
          </w:p>
        </w:tc>
        <w:tc>
          <w:tcPr>
            <w:tcW w:w="262" w:type="pct"/>
          </w:tcPr>
          <w:p w14:paraId="70CBF77F" w14:textId="77777777" w:rsidR="00247AD2" w:rsidRPr="001045FA" w:rsidRDefault="00247AD2" w:rsidP="001045FA">
            <w:pPr>
              <w:pStyle w:val="BodyText"/>
              <w:rPr>
                <w:sz w:val="20"/>
                <w:szCs w:val="20"/>
              </w:rPr>
            </w:pPr>
            <w:r w:rsidRPr="001045FA">
              <w:rPr>
                <w:sz w:val="20"/>
                <w:szCs w:val="20"/>
              </w:rPr>
              <w:t>0</w:t>
            </w:r>
          </w:p>
        </w:tc>
        <w:tc>
          <w:tcPr>
            <w:tcW w:w="263" w:type="pct"/>
          </w:tcPr>
          <w:p w14:paraId="5BE2AA63" w14:textId="77777777" w:rsidR="00247AD2" w:rsidRPr="001045FA" w:rsidRDefault="00247AD2" w:rsidP="001045FA">
            <w:pPr>
              <w:pStyle w:val="BodyText"/>
              <w:rPr>
                <w:sz w:val="20"/>
                <w:szCs w:val="20"/>
              </w:rPr>
            </w:pPr>
            <w:r w:rsidRPr="001045FA">
              <w:rPr>
                <w:sz w:val="20"/>
                <w:szCs w:val="20"/>
              </w:rPr>
              <w:t>0</w:t>
            </w:r>
          </w:p>
        </w:tc>
        <w:tc>
          <w:tcPr>
            <w:tcW w:w="262" w:type="pct"/>
          </w:tcPr>
          <w:p w14:paraId="21AF7D7F" w14:textId="77777777" w:rsidR="00247AD2" w:rsidRPr="001045FA" w:rsidRDefault="00247AD2" w:rsidP="001045FA">
            <w:pPr>
              <w:pStyle w:val="BodyText"/>
              <w:rPr>
                <w:sz w:val="20"/>
                <w:szCs w:val="20"/>
              </w:rPr>
            </w:pPr>
            <w:r w:rsidRPr="001045FA">
              <w:rPr>
                <w:sz w:val="20"/>
                <w:szCs w:val="20"/>
              </w:rPr>
              <w:t>0</w:t>
            </w:r>
          </w:p>
        </w:tc>
        <w:tc>
          <w:tcPr>
            <w:tcW w:w="262" w:type="pct"/>
          </w:tcPr>
          <w:p w14:paraId="646E2955" w14:textId="77777777" w:rsidR="00247AD2" w:rsidRPr="001045FA" w:rsidRDefault="00247AD2" w:rsidP="001045FA">
            <w:pPr>
              <w:pStyle w:val="BodyText"/>
              <w:rPr>
                <w:sz w:val="20"/>
                <w:szCs w:val="20"/>
              </w:rPr>
            </w:pPr>
            <w:r w:rsidRPr="001045FA">
              <w:rPr>
                <w:sz w:val="20"/>
                <w:szCs w:val="20"/>
              </w:rPr>
              <w:t>0</w:t>
            </w:r>
          </w:p>
        </w:tc>
        <w:tc>
          <w:tcPr>
            <w:tcW w:w="263" w:type="pct"/>
          </w:tcPr>
          <w:p w14:paraId="7134848F" w14:textId="77777777" w:rsidR="00247AD2" w:rsidRPr="001045FA" w:rsidRDefault="00247AD2" w:rsidP="001045FA">
            <w:pPr>
              <w:pStyle w:val="BodyText"/>
              <w:rPr>
                <w:sz w:val="20"/>
                <w:szCs w:val="20"/>
              </w:rPr>
            </w:pPr>
            <w:r w:rsidRPr="001045FA">
              <w:rPr>
                <w:sz w:val="20"/>
                <w:szCs w:val="20"/>
              </w:rPr>
              <w:t>0</w:t>
            </w:r>
          </w:p>
        </w:tc>
        <w:tc>
          <w:tcPr>
            <w:tcW w:w="312" w:type="pct"/>
          </w:tcPr>
          <w:p w14:paraId="06CE4442" w14:textId="77777777" w:rsidR="00247AD2" w:rsidRPr="001045FA" w:rsidRDefault="00247AD2" w:rsidP="001045FA">
            <w:pPr>
              <w:pStyle w:val="BodyText"/>
              <w:rPr>
                <w:sz w:val="20"/>
                <w:szCs w:val="20"/>
              </w:rPr>
            </w:pPr>
            <w:r w:rsidRPr="001045FA">
              <w:rPr>
                <w:rStyle w:val="01bodybold"/>
                <w:sz w:val="20"/>
                <w:szCs w:val="20"/>
              </w:rPr>
              <w:t>5</w:t>
            </w:r>
          </w:p>
        </w:tc>
      </w:tr>
      <w:tr w:rsidR="006A0585" w:rsidRPr="001045FA" w14:paraId="7D0CD60A" w14:textId="77777777" w:rsidTr="006A0585">
        <w:trPr>
          <w:trHeight w:val="396"/>
        </w:trPr>
        <w:tc>
          <w:tcPr>
            <w:tcW w:w="550" w:type="pct"/>
          </w:tcPr>
          <w:p w14:paraId="2AB05E1F" w14:textId="77777777" w:rsidR="00247AD2" w:rsidRPr="001045FA" w:rsidRDefault="00247AD2" w:rsidP="001045FA">
            <w:pPr>
              <w:pStyle w:val="BodyText"/>
              <w:rPr>
                <w:sz w:val="20"/>
                <w:szCs w:val="20"/>
              </w:rPr>
            </w:pPr>
            <w:r w:rsidRPr="001045FA">
              <w:rPr>
                <w:sz w:val="20"/>
                <w:szCs w:val="20"/>
              </w:rPr>
              <w:t>EL1</w:t>
            </w:r>
          </w:p>
        </w:tc>
        <w:tc>
          <w:tcPr>
            <w:tcW w:w="287" w:type="pct"/>
          </w:tcPr>
          <w:p w14:paraId="4B179D75" w14:textId="77777777" w:rsidR="00247AD2" w:rsidRPr="001045FA" w:rsidRDefault="00247AD2" w:rsidP="001045FA">
            <w:pPr>
              <w:pStyle w:val="BodyText"/>
              <w:rPr>
                <w:sz w:val="20"/>
                <w:szCs w:val="20"/>
              </w:rPr>
            </w:pPr>
            <w:r w:rsidRPr="001045FA">
              <w:rPr>
                <w:sz w:val="20"/>
                <w:szCs w:val="20"/>
              </w:rPr>
              <w:t>6</w:t>
            </w:r>
          </w:p>
        </w:tc>
        <w:tc>
          <w:tcPr>
            <w:tcW w:w="275" w:type="pct"/>
          </w:tcPr>
          <w:p w14:paraId="6400754E" w14:textId="77777777" w:rsidR="00247AD2" w:rsidRPr="001045FA" w:rsidRDefault="00247AD2" w:rsidP="001045FA">
            <w:pPr>
              <w:pStyle w:val="BodyText"/>
              <w:rPr>
                <w:sz w:val="20"/>
                <w:szCs w:val="20"/>
              </w:rPr>
            </w:pPr>
            <w:r w:rsidRPr="001045FA">
              <w:rPr>
                <w:sz w:val="20"/>
                <w:szCs w:val="20"/>
              </w:rPr>
              <w:t>1</w:t>
            </w:r>
          </w:p>
        </w:tc>
        <w:tc>
          <w:tcPr>
            <w:tcW w:w="287" w:type="pct"/>
          </w:tcPr>
          <w:p w14:paraId="00A12F72" w14:textId="77777777" w:rsidR="00247AD2" w:rsidRPr="001045FA" w:rsidRDefault="00247AD2" w:rsidP="001045FA">
            <w:pPr>
              <w:pStyle w:val="BodyText"/>
              <w:rPr>
                <w:sz w:val="20"/>
                <w:szCs w:val="20"/>
              </w:rPr>
            </w:pPr>
            <w:r w:rsidRPr="001045FA">
              <w:rPr>
                <w:sz w:val="20"/>
                <w:szCs w:val="20"/>
              </w:rPr>
              <w:t>7</w:t>
            </w:r>
          </w:p>
        </w:tc>
        <w:tc>
          <w:tcPr>
            <w:tcW w:w="312" w:type="pct"/>
          </w:tcPr>
          <w:p w14:paraId="42A5D06D" w14:textId="77777777" w:rsidR="00247AD2" w:rsidRPr="001045FA" w:rsidRDefault="00247AD2" w:rsidP="001045FA">
            <w:pPr>
              <w:pStyle w:val="BodyText"/>
              <w:rPr>
                <w:sz w:val="20"/>
                <w:szCs w:val="20"/>
              </w:rPr>
            </w:pPr>
            <w:r w:rsidRPr="001045FA">
              <w:rPr>
                <w:sz w:val="20"/>
                <w:szCs w:val="20"/>
              </w:rPr>
              <w:t>4</w:t>
            </w:r>
          </w:p>
        </w:tc>
        <w:tc>
          <w:tcPr>
            <w:tcW w:w="287" w:type="pct"/>
          </w:tcPr>
          <w:p w14:paraId="6E39BF49" w14:textId="77777777" w:rsidR="00247AD2" w:rsidRPr="001045FA" w:rsidRDefault="00247AD2" w:rsidP="001045FA">
            <w:pPr>
              <w:pStyle w:val="BodyText"/>
              <w:rPr>
                <w:sz w:val="20"/>
                <w:szCs w:val="20"/>
              </w:rPr>
            </w:pPr>
            <w:r w:rsidRPr="001045FA">
              <w:rPr>
                <w:sz w:val="20"/>
                <w:szCs w:val="20"/>
              </w:rPr>
              <w:t>4</w:t>
            </w:r>
          </w:p>
        </w:tc>
        <w:tc>
          <w:tcPr>
            <w:tcW w:w="313" w:type="pct"/>
          </w:tcPr>
          <w:p w14:paraId="386C4915" w14:textId="77777777" w:rsidR="00247AD2" w:rsidRPr="001045FA" w:rsidRDefault="00247AD2" w:rsidP="001045FA">
            <w:pPr>
              <w:pStyle w:val="BodyText"/>
              <w:rPr>
                <w:sz w:val="20"/>
                <w:szCs w:val="20"/>
              </w:rPr>
            </w:pPr>
            <w:r w:rsidRPr="001045FA">
              <w:rPr>
                <w:sz w:val="20"/>
                <w:szCs w:val="20"/>
              </w:rPr>
              <w:t>8</w:t>
            </w:r>
          </w:p>
        </w:tc>
        <w:tc>
          <w:tcPr>
            <w:tcW w:w="268" w:type="pct"/>
          </w:tcPr>
          <w:p w14:paraId="2D3C8452" w14:textId="77777777" w:rsidR="00247AD2" w:rsidRPr="001045FA" w:rsidRDefault="00247AD2" w:rsidP="001045FA">
            <w:pPr>
              <w:pStyle w:val="BodyText"/>
              <w:rPr>
                <w:sz w:val="20"/>
                <w:szCs w:val="20"/>
              </w:rPr>
            </w:pPr>
            <w:r w:rsidRPr="001045FA">
              <w:rPr>
                <w:sz w:val="20"/>
                <w:szCs w:val="20"/>
              </w:rPr>
              <w:t>2</w:t>
            </w:r>
          </w:p>
        </w:tc>
        <w:tc>
          <w:tcPr>
            <w:tcW w:w="267" w:type="pct"/>
          </w:tcPr>
          <w:p w14:paraId="05AD0187" w14:textId="77777777" w:rsidR="00247AD2" w:rsidRPr="001045FA" w:rsidRDefault="00247AD2" w:rsidP="001045FA">
            <w:pPr>
              <w:pStyle w:val="BodyText"/>
              <w:rPr>
                <w:sz w:val="20"/>
                <w:szCs w:val="20"/>
              </w:rPr>
            </w:pPr>
            <w:r w:rsidRPr="001045FA">
              <w:rPr>
                <w:sz w:val="20"/>
                <w:szCs w:val="20"/>
              </w:rPr>
              <w:t>0</w:t>
            </w:r>
          </w:p>
        </w:tc>
        <w:tc>
          <w:tcPr>
            <w:tcW w:w="268" w:type="pct"/>
          </w:tcPr>
          <w:p w14:paraId="5920534F" w14:textId="77777777" w:rsidR="00247AD2" w:rsidRPr="001045FA" w:rsidRDefault="00247AD2" w:rsidP="001045FA">
            <w:pPr>
              <w:pStyle w:val="BodyText"/>
              <w:rPr>
                <w:sz w:val="20"/>
                <w:szCs w:val="20"/>
              </w:rPr>
            </w:pPr>
            <w:r w:rsidRPr="001045FA">
              <w:rPr>
                <w:sz w:val="20"/>
                <w:szCs w:val="20"/>
              </w:rPr>
              <w:t>2</w:t>
            </w:r>
          </w:p>
        </w:tc>
        <w:tc>
          <w:tcPr>
            <w:tcW w:w="262" w:type="pct"/>
          </w:tcPr>
          <w:p w14:paraId="4828F18A" w14:textId="77777777" w:rsidR="00247AD2" w:rsidRPr="001045FA" w:rsidRDefault="00247AD2" w:rsidP="001045FA">
            <w:pPr>
              <w:pStyle w:val="BodyText"/>
              <w:rPr>
                <w:sz w:val="20"/>
                <w:szCs w:val="20"/>
              </w:rPr>
            </w:pPr>
            <w:r w:rsidRPr="001045FA">
              <w:rPr>
                <w:sz w:val="20"/>
                <w:szCs w:val="20"/>
              </w:rPr>
              <w:t>0</w:t>
            </w:r>
          </w:p>
        </w:tc>
        <w:tc>
          <w:tcPr>
            <w:tcW w:w="262" w:type="pct"/>
          </w:tcPr>
          <w:p w14:paraId="65C70DED" w14:textId="77777777" w:rsidR="00247AD2" w:rsidRPr="001045FA" w:rsidRDefault="00247AD2" w:rsidP="001045FA">
            <w:pPr>
              <w:pStyle w:val="BodyText"/>
              <w:rPr>
                <w:sz w:val="20"/>
                <w:szCs w:val="20"/>
              </w:rPr>
            </w:pPr>
            <w:r w:rsidRPr="001045FA">
              <w:rPr>
                <w:sz w:val="20"/>
                <w:szCs w:val="20"/>
              </w:rPr>
              <w:t>0</w:t>
            </w:r>
          </w:p>
        </w:tc>
        <w:tc>
          <w:tcPr>
            <w:tcW w:w="263" w:type="pct"/>
          </w:tcPr>
          <w:p w14:paraId="206E324A" w14:textId="77777777" w:rsidR="00247AD2" w:rsidRPr="001045FA" w:rsidRDefault="00247AD2" w:rsidP="001045FA">
            <w:pPr>
              <w:pStyle w:val="BodyText"/>
              <w:rPr>
                <w:sz w:val="20"/>
                <w:szCs w:val="20"/>
              </w:rPr>
            </w:pPr>
            <w:r w:rsidRPr="001045FA">
              <w:rPr>
                <w:sz w:val="20"/>
                <w:szCs w:val="20"/>
              </w:rPr>
              <w:t>0</w:t>
            </w:r>
          </w:p>
        </w:tc>
        <w:tc>
          <w:tcPr>
            <w:tcW w:w="262" w:type="pct"/>
          </w:tcPr>
          <w:p w14:paraId="3E8BF7A8" w14:textId="77777777" w:rsidR="00247AD2" w:rsidRPr="001045FA" w:rsidRDefault="00247AD2" w:rsidP="001045FA">
            <w:pPr>
              <w:pStyle w:val="BodyText"/>
              <w:rPr>
                <w:sz w:val="20"/>
                <w:szCs w:val="20"/>
              </w:rPr>
            </w:pPr>
            <w:r w:rsidRPr="001045FA">
              <w:rPr>
                <w:sz w:val="20"/>
                <w:szCs w:val="20"/>
              </w:rPr>
              <w:t>0</w:t>
            </w:r>
          </w:p>
        </w:tc>
        <w:tc>
          <w:tcPr>
            <w:tcW w:w="262" w:type="pct"/>
          </w:tcPr>
          <w:p w14:paraId="1AA8B968" w14:textId="77777777" w:rsidR="00247AD2" w:rsidRPr="001045FA" w:rsidRDefault="00247AD2" w:rsidP="001045FA">
            <w:pPr>
              <w:pStyle w:val="BodyText"/>
              <w:rPr>
                <w:sz w:val="20"/>
                <w:szCs w:val="20"/>
              </w:rPr>
            </w:pPr>
            <w:r w:rsidRPr="001045FA">
              <w:rPr>
                <w:sz w:val="20"/>
                <w:szCs w:val="20"/>
              </w:rPr>
              <w:t>0</w:t>
            </w:r>
          </w:p>
        </w:tc>
        <w:tc>
          <w:tcPr>
            <w:tcW w:w="263" w:type="pct"/>
          </w:tcPr>
          <w:p w14:paraId="55DD884C" w14:textId="77777777" w:rsidR="00247AD2" w:rsidRPr="001045FA" w:rsidRDefault="00247AD2" w:rsidP="001045FA">
            <w:pPr>
              <w:pStyle w:val="BodyText"/>
              <w:rPr>
                <w:sz w:val="20"/>
                <w:szCs w:val="20"/>
              </w:rPr>
            </w:pPr>
            <w:r w:rsidRPr="001045FA">
              <w:rPr>
                <w:sz w:val="20"/>
                <w:szCs w:val="20"/>
              </w:rPr>
              <w:t>0</w:t>
            </w:r>
          </w:p>
        </w:tc>
        <w:tc>
          <w:tcPr>
            <w:tcW w:w="312" w:type="pct"/>
          </w:tcPr>
          <w:p w14:paraId="2EC2AA52" w14:textId="77777777" w:rsidR="00247AD2" w:rsidRPr="001045FA" w:rsidRDefault="00247AD2" w:rsidP="001045FA">
            <w:pPr>
              <w:pStyle w:val="BodyText"/>
              <w:rPr>
                <w:sz w:val="20"/>
                <w:szCs w:val="20"/>
              </w:rPr>
            </w:pPr>
            <w:r w:rsidRPr="001045FA">
              <w:rPr>
                <w:rStyle w:val="01bodybold"/>
                <w:sz w:val="20"/>
                <w:szCs w:val="20"/>
              </w:rPr>
              <w:t>17</w:t>
            </w:r>
          </w:p>
        </w:tc>
      </w:tr>
      <w:tr w:rsidR="006A0585" w:rsidRPr="001045FA" w14:paraId="276CF900" w14:textId="77777777" w:rsidTr="006A0585">
        <w:trPr>
          <w:trHeight w:val="396"/>
        </w:trPr>
        <w:tc>
          <w:tcPr>
            <w:tcW w:w="550" w:type="pct"/>
          </w:tcPr>
          <w:p w14:paraId="707C3E0F" w14:textId="77777777" w:rsidR="00247AD2" w:rsidRPr="001045FA" w:rsidRDefault="00247AD2" w:rsidP="001045FA">
            <w:pPr>
              <w:pStyle w:val="BodyText"/>
              <w:rPr>
                <w:sz w:val="20"/>
                <w:szCs w:val="20"/>
              </w:rPr>
            </w:pPr>
            <w:r w:rsidRPr="001045FA">
              <w:rPr>
                <w:sz w:val="20"/>
                <w:szCs w:val="20"/>
              </w:rPr>
              <w:t>APS6</w:t>
            </w:r>
          </w:p>
        </w:tc>
        <w:tc>
          <w:tcPr>
            <w:tcW w:w="287" w:type="pct"/>
          </w:tcPr>
          <w:p w14:paraId="6965AC2C" w14:textId="77777777" w:rsidR="00247AD2" w:rsidRPr="001045FA" w:rsidRDefault="00247AD2" w:rsidP="001045FA">
            <w:pPr>
              <w:pStyle w:val="BodyText"/>
              <w:rPr>
                <w:sz w:val="20"/>
                <w:szCs w:val="20"/>
              </w:rPr>
            </w:pPr>
            <w:r w:rsidRPr="001045FA">
              <w:rPr>
                <w:sz w:val="20"/>
                <w:szCs w:val="20"/>
              </w:rPr>
              <w:t>6</w:t>
            </w:r>
          </w:p>
        </w:tc>
        <w:tc>
          <w:tcPr>
            <w:tcW w:w="275" w:type="pct"/>
          </w:tcPr>
          <w:p w14:paraId="7C8B1562" w14:textId="77777777" w:rsidR="00247AD2" w:rsidRPr="001045FA" w:rsidRDefault="00247AD2" w:rsidP="001045FA">
            <w:pPr>
              <w:pStyle w:val="BodyText"/>
              <w:rPr>
                <w:sz w:val="20"/>
                <w:szCs w:val="20"/>
              </w:rPr>
            </w:pPr>
            <w:r w:rsidRPr="001045FA">
              <w:rPr>
                <w:sz w:val="20"/>
                <w:szCs w:val="20"/>
              </w:rPr>
              <w:t>2</w:t>
            </w:r>
          </w:p>
        </w:tc>
        <w:tc>
          <w:tcPr>
            <w:tcW w:w="287" w:type="pct"/>
          </w:tcPr>
          <w:p w14:paraId="7EC04509" w14:textId="77777777" w:rsidR="00247AD2" w:rsidRPr="001045FA" w:rsidRDefault="00247AD2" w:rsidP="001045FA">
            <w:pPr>
              <w:pStyle w:val="BodyText"/>
              <w:rPr>
                <w:sz w:val="20"/>
                <w:szCs w:val="20"/>
              </w:rPr>
            </w:pPr>
            <w:r w:rsidRPr="001045FA">
              <w:rPr>
                <w:sz w:val="20"/>
                <w:szCs w:val="20"/>
              </w:rPr>
              <w:t>8</w:t>
            </w:r>
          </w:p>
        </w:tc>
        <w:tc>
          <w:tcPr>
            <w:tcW w:w="312" w:type="pct"/>
          </w:tcPr>
          <w:p w14:paraId="312574F7" w14:textId="77777777" w:rsidR="00247AD2" w:rsidRPr="001045FA" w:rsidRDefault="00247AD2" w:rsidP="001045FA">
            <w:pPr>
              <w:pStyle w:val="BodyText"/>
              <w:rPr>
                <w:sz w:val="20"/>
                <w:szCs w:val="20"/>
              </w:rPr>
            </w:pPr>
            <w:r w:rsidRPr="001045FA">
              <w:rPr>
                <w:sz w:val="20"/>
                <w:szCs w:val="20"/>
              </w:rPr>
              <w:t>7</w:t>
            </w:r>
          </w:p>
        </w:tc>
        <w:tc>
          <w:tcPr>
            <w:tcW w:w="287" w:type="pct"/>
          </w:tcPr>
          <w:p w14:paraId="0504E39A" w14:textId="77777777" w:rsidR="00247AD2" w:rsidRPr="001045FA" w:rsidRDefault="00247AD2" w:rsidP="001045FA">
            <w:pPr>
              <w:pStyle w:val="BodyText"/>
              <w:rPr>
                <w:sz w:val="20"/>
                <w:szCs w:val="20"/>
              </w:rPr>
            </w:pPr>
            <w:r w:rsidRPr="001045FA">
              <w:rPr>
                <w:sz w:val="20"/>
                <w:szCs w:val="20"/>
              </w:rPr>
              <w:t>3</w:t>
            </w:r>
          </w:p>
        </w:tc>
        <w:tc>
          <w:tcPr>
            <w:tcW w:w="313" w:type="pct"/>
          </w:tcPr>
          <w:p w14:paraId="279C4371" w14:textId="77777777" w:rsidR="00247AD2" w:rsidRPr="001045FA" w:rsidRDefault="00247AD2" w:rsidP="001045FA">
            <w:pPr>
              <w:pStyle w:val="BodyText"/>
              <w:rPr>
                <w:sz w:val="20"/>
                <w:szCs w:val="20"/>
              </w:rPr>
            </w:pPr>
            <w:r w:rsidRPr="001045FA">
              <w:rPr>
                <w:sz w:val="20"/>
                <w:szCs w:val="20"/>
              </w:rPr>
              <w:t>10</w:t>
            </w:r>
          </w:p>
        </w:tc>
        <w:tc>
          <w:tcPr>
            <w:tcW w:w="268" w:type="pct"/>
          </w:tcPr>
          <w:p w14:paraId="30D41E3E" w14:textId="77777777" w:rsidR="00247AD2" w:rsidRPr="001045FA" w:rsidRDefault="00247AD2" w:rsidP="001045FA">
            <w:pPr>
              <w:pStyle w:val="BodyText"/>
              <w:rPr>
                <w:sz w:val="20"/>
                <w:szCs w:val="20"/>
              </w:rPr>
            </w:pPr>
            <w:r w:rsidRPr="001045FA">
              <w:rPr>
                <w:sz w:val="20"/>
                <w:szCs w:val="20"/>
              </w:rPr>
              <w:t>0</w:t>
            </w:r>
          </w:p>
        </w:tc>
        <w:tc>
          <w:tcPr>
            <w:tcW w:w="267" w:type="pct"/>
          </w:tcPr>
          <w:p w14:paraId="54990258" w14:textId="77777777" w:rsidR="00247AD2" w:rsidRPr="001045FA" w:rsidRDefault="00247AD2" w:rsidP="001045FA">
            <w:pPr>
              <w:pStyle w:val="BodyText"/>
              <w:rPr>
                <w:sz w:val="20"/>
                <w:szCs w:val="20"/>
              </w:rPr>
            </w:pPr>
            <w:r w:rsidRPr="001045FA">
              <w:rPr>
                <w:sz w:val="20"/>
                <w:szCs w:val="20"/>
              </w:rPr>
              <w:t>0</w:t>
            </w:r>
          </w:p>
        </w:tc>
        <w:tc>
          <w:tcPr>
            <w:tcW w:w="268" w:type="pct"/>
          </w:tcPr>
          <w:p w14:paraId="0CFBD14C" w14:textId="77777777" w:rsidR="00247AD2" w:rsidRPr="001045FA" w:rsidRDefault="00247AD2" w:rsidP="001045FA">
            <w:pPr>
              <w:pStyle w:val="BodyText"/>
              <w:rPr>
                <w:sz w:val="20"/>
                <w:szCs w:val="20"/>
              </w:rPr>
            </w:pPr>
            <w:r w:rsidRPr="001045FA">
              <w:rPr>
                <w:sz w:val="20"/>
                <w:szCs w:val="20"/>
              </w:rPr>
              <w:t>0</w:t>
            </w:r>
          </w:p>
        </w:tc>
        <w:tc>
          <w:tcPr>
            <w:tcW w:w="262" w:type="pct"/>
          </w:tcPr>
          <w:p w14:paraId="33991698" w14:textId="77777777" w:rsidR="00247AD2" w:rsidRPr="001045FA" w:rsidRDefault="00247AD2" w:rsidP="001045FA">
            <w:pPr>
              <w:pStyle w:val="BodyText"/>
              <w:rPr>
                <w:sz w:val="20"/>
                <w:szCs w:val="20"/>
              </w:rPr>
            </w:pPr>
            <w:r w:rsidRPr="001045FA">
              <w:rPr>
                <w:sz w:val="20"/>
                <w:szCs w:val="20"/>
              </w:rPr>
              <w:t>0</w:t>
            </w:r>
          </w:p>
        </w:tc>
        <w:tc>
          <w:tcPr>
            <w:tcW w:w="262" w:type="pct"/>
          </w:tcPr>
          <w:p w14:paraId="130491B9" w14:textId="77777777" w:rsidR="00247AD2" w:rsidRPr="001045FA" w:rsidRDefault="00247AD2" w:rsidP="001045FA">
            <w:pPr>
              <w:pStyle w:val="BodyText"/>
              <w:rPr>
                <w:sz w:val="20"/>
                <w:szCs w:val="20"/>
              </w:rPr>
            </w:pPr>
            <w:r w:rsidRPr="001045FA">
              <w:rPr>
                <w:sz w:val="20"/>
                <w:szCs w:val="20"/>
              </w:rPr>
              <w:t>0</w:t>
            </w:r>
          </w:p>
        </w:tc>
        <w:tc>
          <w:tcPr>
            <w:tcW w:w="263" w:type="pct"/>
          </w:tcPr>
          <w:p w14:paraId="31572B24" w14:textId="77777777" w:rsidR="00247AD2" w:rsidRPr="001045FA" w:rsidRDefault="00247AD2" w:rsidP="001045FA">
            <w:pPr>
              <w:pStyle w:val="BodyText"/>
              <w:rPr>
                <w:sz w:val="20"/>
                <w:szCs w:val="20"/>
              </w:rPr>
            </w:pPr>
            <w:r w:rsidRPr="001045FA">
              <w:rPr>
                <w:sz w:val="20"/>
                <w:szCs w:val="20"/>
              </w:rPr>
              <w:t>0</w:t>
            </w:r>
          </w:p>
        </w:tc>
        <w:tc>
          <w:tcPr>
            <w:tcW w:w="262" w:type="pct"/>
          </w:tcPr>
          <w:p w14:paraId="781EE21C" w14:textId="77777777" w:rsidR="00247AD2" w:rsidRPr="001045FA" w:rsidRDefault="00247AD2" w:rsidP="001045FA">
            <w:pPr>
              <w:pStyle w:val="BodyText"/>
              <w:rPr>
                <w:sz w:val="20"/>
                <w:szCs w:val="20"/>
              </w:rPr>
            </w:pPr>
            <w:r w:rsidRPr="001045FA">
              <w:rPr>
                <w:sz w:val="20"/>
                <w:szCs w:val="20"/>
              </w:rPr>
              <w:t>0</w:t>
            </w:r>
          </w:p>
        </w:tc>
        <w:tc>
          <w:tcPr>
            <w:tcW w:w="262" w:type="pct"/>
          </w:tcPr>
          <w:p w14:paraId="53D54ACD" w14:textId="77777777" w:rsidR="00247AD2" w:rsidRPr="001045FA" w:rsidRDefault="00247AD2" w:rsidP="001045FA">
            <w:pPr>
              <w:pStyle w:val="BodyText"/>
              <w:rPr>
                <w:sz w:val="20"/>
                <w:szCs w:val="20"/>
              </w:rPr>
            </w:pPr>
            <w:r w:rsidRPr="001045FA">
              <w:rPr>
                <w:sz w:val="20"/>
                <w:szCs w:val="20"/>
              </w:rPr>
              <w:t>0</w:t>
            </w:r>
          </w:p>
        </w:tc>
        <w:tc>
          <w:tcPr>
            <w:tcW w:w="263" w:type="pct"/>
          </w:tcPr>
          <w:p w14:paraId="38A3736A" w14:textId="77777777" w:rsidR="00247AD2" w:rsidRPr="001045FA" w:rsidRDefault="00247AD2" w:rsidP="001045FA">
            <w:pPr>
              <w:pStyle w:val="BodyText"/>
              <w:rPr>
                <w:sz w:val="20"/>
                <w:szCs w:val="20"/>
              </w:rPr>
            </w:pPr>
            <w:r w:rsidRPr="001045FA">
              <w:rPr>
                <w:sz w:val="20"/>
                <w:szCs w:val="20"/>
              </w:rPr>
              <w:t>0</w:t>
            </w:r>
          </w:p>
        </w:tc>
        <w:tc>
          <w:tcPr>
            <w:tcW w:w="312" w:type="pct"/>
          </w:tcPr>
          <w:p w14:paraId="718F7449" w14:textId="77777777" w:rsidR="00247AD2" w:rsidRPr="001045FA" w:rsidRDefault="00247AD2" w:rsidP="001045FA">
            <w:pPr>
              <w:pStyle w:val="BodyText"/>
              <w:rPr>
                <w:sz w:val="20"/>
                <w:szCs w:val="20"/>
              </w:rPr>
            </w:pPr>
            <w:r w:rsidRPr="001045FA">
              <w:rPr>
                <w:rStyle w:val="01bodybold"/>
                <w:sz w:val="20"/>
                <w:szCs w:val="20"/>
              </w:rPr>
              <w:t>18</w:t>
            </w:r>
          </w:p>
        </w:tc>
      </w:tr>
      <w:tr w:rsidR="006A0585" w:rsidRPr="001045FA" w14:paraId="473BB718" w14:textId="77777777" w:rsidTr="006A0585">
        <w:trPr>
          <w:trHeight w:val="396"/>
        </w:trPr>
        <w:tc>
          <w:tcPr>
            <w:tcW w:w="550" w:type="pct"/>
          </w:tcPr>
          <w:p w14:paraId="1A993ECF" w14:textId="77777777" w:rsidR="00247AD2" w:rsidRPr="001045FA" w:rsidRDefault="00247AD2" w:rsidP="001045FA">
            <w:pPr>
              <w:pStyle w:val="BodyText"/>
              <w:rPr>
                <w:sz w:val="20"/>
                <w:szCs w:val="20"/>
              </w:rPr>
            </w:pPr>
            <w:r w:rsidRPr="001045FA">
              <w:rPr>
                <w:sz w:val="20"/>
                <w:szCs w:val="20"/>
              </w:rPr>
              <w:t>APS5</w:t>
            </w:r>
          </w:p>
        </w:tc>
        <w:tc>
          <w:tcPr>
            <w:tcW w:w="287" w:type="pct"/>
          </w:tcPr>
          <w:p w14:paraId="040B3B75" w14:textId="77777777" w:rsidR="00247AD2" w:rsidRPr="001045FA" w:rsidRDefault="00247AD2" w:rsidP="001045FA">
            <w:pPr>
              <w:pStyle w:val="BodyText"/>
              <w:rPr>
                <w:sz w:val="20"/>
                <w:szCs w:val="20"/>
              </w:rPr>
            </w:pPr>
            <w:r w:rsidRPr="001045FA">
              <w:rPr>
                <w:sz w:val="20"/>
                <w:szCs w:val="20"/>
              </w:rPr>
              <w:t>7</w:t>
            </w:r>
          </w:p>
        </w:tc>
        <w:tc>
          <w:tcPr>
            <w:tcW w:w="275" w:type="pct"/>
          </w:tcPr>
          <w:p w14:paraId="3DF4AA15" w14:textId="77777777" w:rsidR="00247AD2" w:rsidRPr="001045FA" w:rsidRDefault="00247AD2" w:rsidP="001045FA">
            <w:pPr>
              <w:pStyle w:val="BodyText"/>
              <w:rPr>
                <w:sz w:val="20"/>
                <w:szCs w:val="20"/>
              </w:rPr>
            </w:pPr>
            <w:r w:rsidRPr="001045FA">
              <w:rPr>
                <w:sz w:val="20"/>
                <w:szCs w:val="20"/>
              </w:rPr>
              <w:t>0</w:t>
            </w:r>
          </w:p>
        </w:tc>
        <w:tc>
          <w:tcPr>
            <w:tcW w:w="287" w:type="pct"/>
          </w:tcPr>
          <w:p w14:paraId="6E2DB268" w14:textId="77777777" w:rsidR="00247AD2" w:rsidRPr="001045FA" w:rsidRDefault="00247AD2" w:rsidP="001045FA">
            <w:pPr>
              <w:pStyle w:val="BodyText"/>
              <w:rPr>
                <w:sz w:val="20"/>
                <w:szCs w:val="20"/>
              </w:rPr>
            </w:pPr>
            <w:r w:rsidRPr="001045FA">
              <w:rPr>
                <w:sz w:val="20"/>
                <w:szCs w:val="20"/>
              </w:rPr>
              <w:t>7</w:t>
            </w:r>
          </w:p>
        </w:tc>
        <w:tc>
          <w:tcPr>
            <w:tcW w:w="312" w:type="pct"/>
          </w:tcPr>
          <w:p w14:paraId="6A222442" w14:textId="77777777" w:rsidR="00247AD2" w:rsidRPr="001045FA" w:rsidRDefault="00247AD2" w:rsidP="001045FA">
            <w:pPr>
              <w:pStyle w:val="BodyText"/>
              <w:rPr>
                <w:sz w:val="20"/>
                <w:szCs w:val="20"/>
              </w:rPr>
            </w:pPr>
            <w:r w:rsidRPr="001045FA">
              <w:rPr>
                <w:sz w:val="20"/>
                <w:szCs w:val="20"/>
              </w:rPr>
              <w:t>1</w:t>
            </w:r>
          </w:p>
        </w:tc>
        <w:tc>
          <w:tcPr>
            <w:tcW w:w="287" w:type="pct"/>
          </w:tcPr>
          <w:p w14:paraId="3AD5E825" w14:textId="77777777" w:rsidR="00247AD2" w:rsidRPr="001045FA" w:rsidRDefault="00247AD2" w:rsidP="001045FA">
            <w:pPr>
              <w:pStyle w:val="BodyText"/>
              <w:rPr>
                <w:sz w:val="20"/>
                <w:szCs w:val="20"/>
              </w:rPr>
            </w:pPr>
            <w:r w:rsidRPr="001045FA">
              <w:rPr>
                <w:sz w:val="20"/>
                <w:szCs w:val="20"/>
              </w:rPr>
              <w:t>4</w:t>
            </w:r>
          </w:p>
        </w:tc>
        <w:tc>
          <w:tcPr>
            <w:tcW w:w="313" w:type="pct"/>
          </w:tcPr>
          <w:p w14:paraId="3B37AA0F" w14:textId="77777777" w:rsidR="00247AD2" w:rsidRPr="001045FA" w:rsidRDefault="00247AD2" w:rsidP="001045FA">
            <w:pPr>
              <w:pStyle w:val="BodyText"/>
              <w:rPr>
                <w:sz w:val="20"/>
                <w:szCs w:val="20"/>
              </w:rPr>
            </w:pPr>
            <w:r w:rsidRPr="001045FA">
              <w:rPr>
                <w:sz w:val="20"/>
                <w:szCs w:val="20"/>
              </w:rPr>
              <w:t>5</w:t>
            </w:r>
          </w:p>
        </w:tc>
        <w:tc>
          <w:tcPr>
            <w:tcW w:w="268" w:type="pct"/>
          </w:tcPr>
          <w:p w14:paraId="6183DA63" w14:textId="77777777" w:rsidR="00247AD2" w:rsidRPr="001045FA" w:rsidRDefault="00247AD2" w:rsidP="001045FA">
            <w:pPr>
              <w:pStyle w:val="BodyText"/>
              <w:rPr>
                <w:sz w:val="20"/>
                <w:szCs w:val="20"/>
              </w:rPr>
            </w:pPr>
            <w:r w:rsidRPr="001045FA">
              <w:rPr>
                <w:sz w:val="20"/>
                <w:szCs w:val="20"/>
              </w:rPr>
              <w:t>0</w:t>
            </w:r>
          </w:p>
        </w:tc>
        <w:tc>
          <w:tcPr>
            <w:tcW w:w="267" w:type="pct"/>
          </w:tcPr>
          <w:p w14:paraId="1A5DF91C" w14:textId="77777777" w:rsidR="00247AD2" w:rsidRPr="001045FA" w:rsidRDefault="00247AD2" w:rsidP="001045FA">
            <w:pPr>
              <w:pStyle w:val="BodyText"/>
              <w:rPr>
                <w:sz w:val="20"/>
                <w:szCs w:val="20"/>
              </w:rPr>
            </w:pPr>
            <w:r w:rsidRPr="001045FA">
              <w:rPr>
                <w:sz w:val="20"/>
                <w:szCs w:val="20"/>
              </w:rPr>
              <w:t>0</w:t>
            </w:r>
          </w:p>
        </w:tc>
        <w:tc>
          <w:tcPr>
            <w:tcW w:w="268" w:type="pct"/>
          </w:tcPr>
          <w:p w14:paraId="222A654A" w14:textId="77777777" w:rsidR="00247AD2" w:rsidRPr="001045FA" w:rsidRDefault="00247AD2" w:rsidP="001045FA">
            <w:pPr>
              <w:pStyle w:val="BodyText"/>
              <w:rPr>
                <w:sz w:val="20"/>
                <w:szCs w:val="20"/>
              </w:rPr>
            </w:pPr>
            <w:r w:rsidRPr="001045FA">
              <w:rPr>
                <w:sz w:val="20"/>
                <w:szCs w:val="20"/>
              </w:rPr>
              <w:t>0</w:t>
            </w:r>
          </w:p>
        </w:tc>
        <w:tc>
          <w:tcPr>
            <w:tcW w:w="262" w:type="pct"/>
          </w:tcPr>
          <w:p w14:paraId="4F7C919D" w14:textId="77777777" w:rsidR="00247AD2" w:rsidRPr="001045FA" w:rsidRDefault="00247AD2" w:rsidP="001045FA">
            <w:pPr>
              <w:pStyle w:val="BodyText"/>
              <w:rPr>
                <w:sz w:val="20"/>
                <w:szCs w:val="20"/>
              </w:rPr>
            </w:pPr>
            <w:r w:rsidRPr="001045FA">
              <w:rPr>
                <w:sz w:val="20"/>
                <w:szCs w:val="20"/>
              </w:rPr>
              <w:t>0</w:t>
            </w:r>
          </w:p>
        </w:tc>
        <w:tc>
          <w:tcPr>
            <w:tcW w:w="262" w:type="pct"/>
          </w:tcPr>
          <w:p w14:paraId="78EB03AE" w14:textId="77777777" w:rsidR="00247AD2" w:rsidRPr="001045FA" w:rsidRDefault="00247AD2" w:rsidP="001045FA">
            <w:pPr>
              <w:pStyle w:val="BodyText"/>
              <w:rPr>
                <w:sz w:val="20"/>
                <w:szCs w:val="20"/>
              </w:rPr>
            </w:pPr>
            <w:r w:rsidRPr="001045FA">
              <w:rPr>
                <w:sz w:val="20"/>
                <w:szCs w:val="20"/>
              </w:rPr>
              <w:t>0</w:t>
            </w:r>
          </w:p>
        </w:tc>
        <w:tc>
          <w:tcPr>
            <w:tcW w:w="263" w:type="pct"/>
          </w:tcPr>
          <w:p w14:paraId="6AF92DA2" w14:textId="77777777" w:rsidR="00247AD2" w:rsidRPr="001045FA" w:rsidRDefault="00247AD2" w:rsidP="001045FA">
            <w:pPr>
              <w:pStyle w:val="BodyText"/>
              <w:rPr>
                <w:sz w:val="20"/>
                <w:szCs w:val="20"/>
              </w:rPr>
            </w:pPr>
            <w:r w:rsidRPr="001045FA">
              <w:rPr>
                <w:sz w:val="20"/>
                <w:szCs w:val="20"/>
              </w:rPr>
              <w:t>0</w:t>
            </w:r>
          </w:p>
        </w:tc>
        <w:tc>
          <w:tcPr>
            <w:tcW w:w="262" w:type="pct"/>
          </w:tcPr>
          <w:p w14:paraId="745890C4" w14:textId="77777777" w:rsidR="00247AD2" w:rsidRPr="001045FA" w:rsidRDefault="00247AD2" w:rsidP="001045FA">
            <w:pPr>
              <w:pStyle w:val="BodyText"/>
              <w:rPr>
                <w:sz w:val="20"/>
                <w:szCs w:val="20"/>
              </w:rPr>
            </w:pPr>
            <w:r w:rsidRPr="001045FA">
              <w:rPr>
                <w:sz w:val="20"/>
                <w:szCs w:val="20"/>
              </w:rPr>
              <w:t>0</w:t>
            </w:r>
          </w:p>
        </w:tc>
        <w:tc>
          <w:tcPr>
            <w:tcW w:w="262" w:type="pct"/>
          </w:tcPr>
          <w:p w14:paraId="04B6A538" w14:textId="77777777" w:rsidR="00247AD2" w:rsidRPr="001045FA" w:rsidRDefault="00247AD2" w:rsidP="001045FA">
            <w:pPr>
              <w:pStyle w:val="BodyText"/>
              <w:rPr>
                <w:sz w:val="20"/>
                <w:szCs w:val="20"/>
              </w:rPr>
            </w:pPr>
            <w:r w:rsidRPr="001045FA">
              <w:rPr>
                <w:sz w:val="20"/>
                <w:szCs w:val="20"/>
              </w:rPr>
              <w:t>0</w:t>
            </w:r>
          </w:p>
        </w:tc>
        <w:tc>
          <w:tcPr>
            <w:tcW w:w="263" w:type="pct"/>
          </w:tcPr>
          <w:p w14:paraId="6DED0C1D" w14:textId="77777777" w:rsidR="00247AD2" w:rsidRPr="001045FA" w:rsidRDefault="00247AD2" w:rsidP="001045FA">
            <w:pPr>
              <w:pStyle w:val="BodyText"/>
              <w:rPr>
                <w:sz w:val="20"/>
                <w:szCs w:val="20"/>
              </w:rPr>
            </w:pPr>
            <w:r w:rsidRPr="001045FA">
              <w:rPr>
                <w:sz w:val="20"/>
                <w:szCs w:val="20"/>
              </w:rPr>
              <w:t>0</w:t>
            </w:r>
          </w:p>
        </w:tc>
        <w:tc>
          <w:tcPr>
            <w:tcW w:w="312" w:type="pct"/>
          </w:tcPr>
          <w:p w14:paraId="39F6AC45" w14:textId="77777777" w:rsidR="00247AD2" w:rsidRPr="001045FA" w:rsidRDefault="00247AD2" w:rsidP="001045FA">
            <w:pPr>
              <w:pStyle w:val="BodyText"/>
              <w:rPr>
                <w:sz w:val="20"/>
                <w:szCs w:val="20"/>
              </w:rPr>
            </w:pPr>
            <w:r w:rsidRPr="001045FA">
              <w:rPr>
                <w:rStyle w:val="01bodybold"/>
                <w:sz w:val="20"/>
                <w:szCs w:val="20"/>
              </w:rPr>
              <w:t>12</w:t>
            </w:r>
          </w:p>
        </w:tc>
      </w:tr>
      <w:tr w:rsidR="006A0585" w:rsidRPr="001045FA" w14:paraId="4772F317" w14:textId="77777777" w:rsidTr="006A0585">
        <w:trPr>
          <w:trHeight w:val="396"/>
        </w:trPr>
        <w:tc>
          <w:tcPr>
            <w:tcW w:w="550" w:type="pct"/>
          </w:tcPr>
          <w:p w14:paraId="58EC005D" w14:textId="77777777" w:rsidR="00247AD2" w:rsidRPr="001045FA" w:rsidRDefault="00247AD2" w:rsidP="001045FA">
            <w:pPr>
              <w:pStyle w:val="BodyText"/>
              <w:rPr>
                <w:sz w:val="20"/>
                <w:szCs w:val="20"/>
              </w:rPr>
            </w:pPr>
            <w:r w:rsidRPr="001045FA">
              <w:rPr>
                <w:sz w:val="20"/>
                <w:szCs w:val="20"/>
              </w:rPr>
              <w:t>APS4</w:t>
            </w:r>
          </w:p>
        </w:tc>
        <w:tc>
          <w:tcPr>
            <w:tcW w:w="287" w:type="pct"/>
          </w:tcPr>
          <w:p w14:paraId="70D6D828" w14:textId="77777777" w:rsidR="00247AD2" w:rsidRPr="001045FA" w:rsidRDefault="00247AD2" w:rsidP="001045FA">
            <w:pPr>
              <w:pStyle w:val="BodyText"/>
              <w:rPr>
                <w:sz w:val="20"/>
                <w:szCs w:val="20"/>
              </w:rPr>
            </w:pPr>
            <w:r w:rsidRPr="001045FA">
              <w:rPr>
                <w:sz w:val="20"/>
                <w:szCs w:val="20"/>
              </w:rPr>
              <w:t>13</w:t>
            </w:r>
          </w:p>
        </w:tc>
        <w:tc>
          <w:tcPr>
            <w:tcW w:w="275" w:type="pct"/>
          </w:tcPr>
          <w:p w14:paraId="7D2F77B4" w14:textId="77777777" w:rsidR="00247AD2" w:rsidRPr="001045FA" w:rsidRDefault="00247AD2" w:rsidP="001045FA">
            <w:pPr>
              <w:pStyle w:val="BodyText"/>
              <w:rPr>
                <w:sz w:val="20"/>
                <w:szCs w:val="20"/>
              </w:rPr>
            </w:pPr>
            <w:r w:rsidRPr="001045FA">
              <w:rPr>
                <w:sz w:val="20"/>
                <w:szCs w:val="20"/>
              </w:rPr>
              <w:t>4</w:t>
            </w:r>
          </w:p>
        </w:tc>
        <w:tc>
          <w:tcPr>
            <w:tcW w:w="287" w:type="pct"/>
          </w:tcPr>
          <w:p w14:paraId="21103A4A" w14:textId="77777777" w:rsidR="00247AD2" w:rsidRPr="001045FA" w:rsidRDefault="00247AD2" w:rsidP="001045FA">
            <w:pPr>
              <w:pStyle w:val="BodyText"/>
              <w:rPr>
                <w:sz w:val="20"/>
                <w:szCs w:val="20"/>
              </w:rPr>
            </w:pPr>
            <w:r w:rsidRPr="001045FA">
              <w:rPr>
                <w:sz w:val="20"/>
                <w:szCs w:val="20"/>
              </w:rPr>
              <w:t>17</w:t>
            </w:r>
          </w:p>
        </w:tc>
        <w:tc>
          <w:tcPr>
            <w:tcW w:w="312" w:type="pct"/>
          </w:tcPr>
          <w:p w14:paraId="0698F324" w14:textId="77777777" w:rsidR="00247AD2" w:rsidRPr="001045FA" w:rsidRDefault="00247AD2" w:rsidP="001045FA">
            <w:pPr>
              <w:pStyle w:val="BodyText"/>
              <w:rPr>
                <w:sz w:val="20"/>
                <w:szCs w:val="20"/>
              </w:rPr>
            </w:pPr>
            <w:r w:rsidRPr="001045FA">
              <w:rPr>
                <w:sz w:val="20"/>
                <w:szCs w:val="20"/>
              </w:rPr>
              <w:t>31</w:t>
            </w:r>
          </w:p>
        </w:tc>
        <w:tc>
          <w:tcPr>
            <w:tcW w:w="287" w:type="pct"/>
          </w:tcPr>
          <w:p w14:paraId="34B45FC8" w14:textId="77777777" w:rsidR="00247AD2" w:rsidRPr="001045FA" w:rsidRDefault="00247AD2" w:rsidP="001045FA">
            <w:pPr>
              <w:pStyle w:val="BodyText"/>
              <w:rPr>
                <w:sz w:val="20"/>
                <w:szCs w:val="20"/>
              </w:rPr>
            </w:pPr>
            <w:r w:rsidRPr="001045FA">
              <w:rPr>
                <w:sz w:val="20"/>
                <w:szCs w:val="20"/>
              </w:rPr>
              <w:t>11</w:t>
            </w:r>
          </w:p>
        </w:tc>
        <w:tc>
          <w:tcPr>
            <w:tcW w:w="313" w:type="pct"/>
          </w:tcPr>
          <w:p w14:paraId="06CB3BE0" w14:textId="77777777" w:rsidR="00247AD2" w:rsidRPr="001045FA" w:rsidRDefault="00247AD2" w:rsidP="001045FA">
            <w:pPr>
              <w:pStyle w:val="BodyText"/>
              <w:rPr>
                <w:sz w:val="20"/>
                <w:szCs w:val="20"/>
              </w:rPr>
            </w:pPr>
            <w:r w:rsidRPr="001045FA">
              <w:rPr>
                <w:sz w:val="20"/>
                <w:szCs w:val="20"/>
              </w:rPr>
              <w:t>42</w:t>
            </w:r>
          </w:p>
        </w:tc>
        <w:tc>
          <w:tcPr>
            <w:tcW w:w="268" w:type="pct"/>
          </w:tcPr>
          <w:p w14:paraId="3DC4A70A" w14:textId="77777777" w:rsidR="00247AD2" w:rsidRPr="001045FA" w:rsidRDefault="00247AD2" w:rsidP="001045FA">
            <w:pPr>
              <w:pStyle w:val="BodyText"/>
              <w:rPr>
                <w:sz w:val="20"/>
                <w:szCs w:val="20"/>
              </w:rPr>
            </w:pPr>
            <w:r w:rsidRPr="001045FA">
              <w:rPr>
                <w:sz w:val="20"/>
                <w:szCs w:val="20"/>
              </w:rPr>
              <w:t>1</w:t>
            </w:r>
          </w:p>
        </w:tc>
        <w:tc>
          <w:tcPr>
            <w:tcW w:w="267" w:type="pct"/>
          </w:tcPr>
          <w:p w14:paraId="3C48F9FC" w14:textId="77777777" w:rsidR="00247AD2" w:rsidRPr="001045FA" w:rsidRDefault="00247AD2" w:rsidP="001045FA">
            <w:pPr>
              <w:pStyle w:val="BodyText"/>
              <w:rPr>
                <w:sz w:val="20"/>
                <w:szCs w:val="20"/>
              </w:rPr>
            </w:pPr>
            <w:r w:rsidRPr="001045FA">
              <w:rPr>
                <w:sz w:val="20"/>
                <w:szCs w:val="20"/>
              </w:rPr>
              <w:t>0</w:t>
            </w:r>
          </w:p>
        </w:tc>
        <w:tc>
          <w:tcPr>
            <w:tcW w:w="268" w:type="pct"/>
          </w:tcPr>
          <w:p w14:paraId="56AAF9BC" w14:textId="77777777" w:rsidR="00247AD2" w:rsidRPr="001045FA" w:rsidRDefault="00247AD2" w:rsidP="001045FA">
            <w:pPr>
              <w:pStyle w:val="BodyText"/>
              <w:rPr>
                <w:sz w:val="20"/>
                <w:szCs w:val="20"/>
              </w:rPr>
            </w:pPr>
            <w:r w:rsidRPr="001045FA">
              <w:rPr>
                <w:sz w:val="20"/>
                <w:szCs w:val="20"/>
              </w:rPr>
              <w:t>1</w:t>
            </w:r>
          </w:p>
        </w:tc>
        <w:tc>
          <w:tcPr>
            <w:tcW w:w="262" w:type="pct"/>
          </w:tcPr>
          <w:p w14:paraId="783B7C2F" w14:textId="77777777" w:rsidR="00247AD2" w:rsidRPr="001045FA" w:rsidRDefault="00247AD2" w:rsidP="001045FA">
            <w:pPr>
              <w:pStyle w:val="BodyText"/>
              <w:rPr>
                <w:sz w:val="20"/>
                <w:szCs w:val="20"/>
              </w:rPr>
            </w:pPr>
            <w:r w:rsidRPr="001045FA">
              <w:rPr>
                <w:sz w:val="20"/>
                <w:szCs w:val="20"/>
              </w:rPr>
              <w:t>0</w:t>
            </w:r>
          </w:p>
        </w:tc>
        <w:tc>
          <w:tcPr>
            <w:tcW w:w="262" w:type="pct"/>
          </w:tcPr>
          <w:p w14:paraId="1D17FD94" w14:textId="77777777" w:rsidR="00247AD2" w:rsidRPr="001045FA" w:rsidRDefault="00247AD2" w:rsidP="001045FA">
            <w:pPr>
              <w:pStyle w:val="BodyText"/>
              <w:rPr>
                <w:sz w:val="20"/>
                <w:szCs w:val="20"/>
              </w:rPr>
            </w:pPr>
            <w:r w:rsidRPr="001045FA">
              <w:rPr>
                <w:sz w:val="20"/>
                <w:szCs w:val="20"/>
              </w:rPr>
              <w:t>0</w:t>
            </w:r>
          </w:p>
        </w:tc>
        <w:tc>
          <w:tcPr>
            <w:tcW w:w="263" w:type="pct"/>
          </w:tcPr>
          <w:p w14:paraId="3C67DCD3" w14:textId="77777777" w:rsidR="00247AD2" w:rsidRPr="001045FA" w:rsidRDefault="00247AD2" w:rsidP="001045FA">
            <w:pPr>
              <w:pStyle w:val="BodyText"/>
              <w:rPr>
                <w:sz w:val="20"/>
                <w:szCs w:val="20"/>
              </w:rPr>
            </w:pPr>
            <w:r w:rsidRPr="001045FA">
              <w:rPr>
                <w:sz w:val="20"/>
                <w:szCs w:val="20"/>
              </w:rPr>
              <w:t>0</w:t>
            </w:r>
          </w:p>
        </w:tc>
        <w:tc>
          <w:tcPr>
            <w:tcW w:w="262" w:type="pct"/>
          </w:tcPr>
          <w:p w14:paraId="778F5E1F" w14:textId="77777777" w:rsidR="00247AD2" w:rsidRPr="001045FA" w:rsidRDefault="00247AD2" w:rsidP="001045FA">
            <w:pPr>
              <w:pStyle w:val="BodyText"/>
              <w:rPr>
                <w:sz w:val="20"/>
                <w:szCs w:val="20"/>
              </w:rPr>
            </w:pPr>
            <w:r w:rsidRPr="001045FA">
              <w:rPr>
                <w:sz w:val="20"/>
                <w:szCs w:val="20"/>
              </w:rPr>
              <w:t>0</w:t>
            </w:r>
          </w:p>
        </w:tc>
        <w:tc>
          <w:tcPr>
            <w:tcW w:w="262" w:type="pct"/>
          </w:tcPr>
          <w:p w14:paraId="521AB270" w14:textId="77777777" w:rsidR="00247AD2" w:rsidRPr="001045FA" w:rsidRDefault="00247AD2" w:rsidP="001045FA">
            <w:pPr>
              <w:pStyle w:val="BodyText"/>
              <w:rPr>
                <w:sz w:val="20"/>
                <w:szCs w:val="20"/>
              </w:rPr>
            </w:pPr>
            <w:r w:rsidRPr="001045FA">
              <w:rPr>
                <w:sz w:val="20"/>
                <w:szCs w:val="20"/>
              </w:rPr>
              <w:t>0</w:t>
            </w:r>
          </w:p>
        </w:tc>
        <w:tc>
          <w:tcPr>
            <w:tcW w:w="263" w:type="pct"/>
          </w:tcPr>
          <w:p w14:paraId="653C512C" w14:textId="77777777" w:rsidR="00247AD2" w:rsidRPr="001045FA" w:rsidRDefault="00247AD2" w:rsidP="001045FA">
            <w:pPr>
              <w:pStyle w:val="BodyText"/>
              <w:rPr>
                <w:sz w:val="20"/>
                <w:szCs w:val="20"/>
              </w:rPr>
            </w:pPr>
            <w:r w:rsidRPr="001045FA">
              <w:rPr>
                <w:sz w:val="20"/>
                <w:szCs w:val="20"/>
              </w:rPr>
              <w:t>0</w:t>
            </w:r>
          </w:p>
        </w:tc>
        <w:tc>
          <w:tcPr>
            <w:tcW w:w="312" w:type="pct"/>
          </w:tcPr>
          <w:p w14:paraId="5602E0B2" w14:textId="77777777" w:rsidR="00247AD2" w:rsidRPr="001045FA" w:rsidRDefault="00247AD2" w:rsidP="001045FA">
            <w:pPr>
              <w:pStyle w:val="BodyText"/>
              <w:rPr>
                <w:sz w:val="20"/>
                <w:szCs w:val="20"/>
              </w:rPr>
            </w:pPr>
            <w:r w:rsidRPr="001045FA">
              <w:rPr>
                <w:rStyle w:val="01bodybold"/>
                <w:sz w:val="20"/>
                <w:szCs w:val="20"/>
              </w:rPr>
              <w:t>60</w:t>
            </w:r>
          </w:p>
        </w:tc>
      </w:tr>
      <w:tr w:rsidR="006A0585" w:rsidRPr="001045FA" w14:paraId="128FC0BE" w14:textId="77777777" w:rsidTr="006A0585">
        <w:trPr>
          <w:trHeight w:val="396"/>
        </w:trPr>
        <w:tc>
          <w:tcPr>
            <w:tcW w:w="550" w:type="pct"/>
          </w:tcPr>
          <w:p w14:paraId="1FE49ED0" w14:textId="77777777" w:rsidR="00247AD2" w:rsidRPr="001045FA" w:rsidRDefault="00247AD2" w:rsidP="001045FA">
            <w:pPr>
              <w:pStyle w:val="BodyText"/>
              <w:rPr>
                <w:sz w:val="20"/>
                <w:szCs w:val="20"/>
              </w:rPr>
            </w:pPr>
            <w:r w:rsidRPr="001045FA">
              <w:rPr>
                <w:sz w:val="20"/>
                <w:szCs w:val="20"/>
              </w:rPr>
              <w:t>APS3</w:t>
            </w:r>
          </w:p>
        </w:tc>
        <w:tc>
          <w:tcPr>
            <w:tcW w:w="287" w:type="pct"/>
          </w:tcPr>
          <w:p w14:paraId="20AD42CB" w14:textId="77777777" w:rsidR="00247AD2" w:rsidRPr="001045FA" w:rsidRDefault="00247AD2" w:rsidP="001045FA">
            <w:pPr>
              <w:pStyle w:val="BodyText"/>
              <w:rPr>
                <w:sz w:val="20"/>
                <w:szCs w:val="20"/>
              </w:rPr>
            </w:pPr>
            <w:r w:rsidRPr="001045FA">
              <w:rPr>
                <w:sz w:val="20"/>
                <w:szCs w:val="20"/>
              </w:rPr>
              <w:t>6</w:t>
            </w:r>
          </w:p>
        </w:tc>
        <w:tc>
          <w:tcPr>
            <w:tcW w:w="275" w:type="pct"/>
          </w:tcPr>
          <w:p w14:paraId="31E82630" w14:textId="77777777" w:rsidR="00247AD2" w:rsidRPr="001045FA" w:rsidRDefault="00247AD2" w:rsidP="001045FA">
            <w:pPr>
              <w:pStyle w:val="BodyText"/>
              <w:rPr>
                <w:sz w:val="20"/>
                <w:szCs w:val="20"/>
              </w:rPr>
            </w:pPr>
            <w:r w:rsidRPr="001045FA">
              <w:rPr>
                <w:sz w:val="20"/>
                <w:szCs w:val="20"/>
              </w:rPr>
              <w:t>85</w:t>
            </w:r>
          </w:p>
        </w:tc>
        <w:tc>
          <w:tcPr>
            <w:tcW w:w="287" w:type="pct"/>
          </w:tcPr>
          <w:p w14:paraId="320DBB02" w14:textId="77777777" w:rsidR="00247AD2" w:rsidRPr="001045FA" w:rsidRDefault="00247AD2" w:rsidP="001045FA">
            <w:pPr>
              <w:pStyle w:val="BodyText"/>
              <w:rPr>
                <w:sz w:val="20"/>
                <w:szCs w:val="20"/>
              </w:rPr>
            </w:pPr>
            <w:r w:rsidRPr="001045FA">
              <w:rPr>
                <w:sz w:val="20"/>
                <w:szCs w:val="20"/>
              </w:rPr>
              <w:t>91</w:t>
            </w:r>
          </w:p>
        </w:tc>
        <w:tc>
          <w:tcPr>
            <w:tcW w:w="312" w:type="pct"/>
          </w:tcPr>
          <w:p w14:paraId="53CBFEB6" w14:textId="77777777" w:rsidR="00247AD2" w:rsidRPr="001045FA" w:rsidRDefault="00247AD2" w:rsidP="001045FA">
            <w:pPr>
              <w:pStyle w:val="BodyText"/>
              <w:rPr>
                <w:sz w:val="20"/>
                <w:szCs w:val="20"/>
              </w:rPr>
            </w:pPr>
            <w:r w:rsidRPr="001045FA">
              <w:rPr>
                <w:sz w:val="20"/>
                <w:szCs w:val="20"/>
              </w:rPr>
              <w:t>13</w:t>
            </w:r>
          </w:p>
        </w:tc>
        <w:tc>
          <w:tcPr>
            <w:tcW w:w="287" w:type="pct"/>
          </w:tcPr>
          <w:p w14:paraId="53F774CB" w14:textId="77777777" w:rsidR="00247AD2" w:rsidRPr="001045FA" w:rsidRDefault="00247AD2" w:rsidP="001045FA">
            <w:pPr>
              <w:pStyle w:val="BodyText"/>
              <w:rPr>
                <w:sz w:val="20"/>
                <w:szCs w:val="20"/>
              </w:rPr>
            </w:pPr>
            <w:r w:rsidRPr="001045FA">
              <w:rPr>
                <w:sz w:val="20"/>
                <w:szCs w:val="20"/>
              </w:rPr>
              <w:t>218</w:t>
            </w:r>
          </w:p>
        </w:tc>
        <w:tc>
          <w:tcPr>
            <w:tcW w:w="313" w:type="pct"/>
          </w:tcPr>
          <w:p w14:paraId="57486011" w14:textId="77777777" w:rsidR="00247AD2" w:rsidRPr="001045FA" w:rsidRDefault="00247AD2" w:rsidP="001045FA">
            <w:pPr>
              <w:pStyle w:val="BodyText"/>
              <w:rPr>
                <w:sz w:val="20"/>
                <w:szCs w:val="20"/>
              </w:rPr>
            </w:pPr>
            <w:r w:rsidRPr="001045FA">
              <w:rPr>
                <w:sz w:val="20"/>
                <w:szCs w:val="20"/>
              </w:rPr>
              <w:t>231</w:t>
            </w:r>
          </w:p>
        </w:tc>
        <w:tc>
          <w:tcPr>
            <w:tcW w:w="268" w:type="pct"/>
          </w:tcPr>
          <w:p w14:paraId="0E9A6197" w14:textId="77777777" w:rsidR="00247AD2" w:rsidRPr="001045FA" w:rsidRDefault="00247AD2" w:rsidP="001045FA">
            <w:pPr>
              <w:pStyle w:val="BodyText"/>
              <w:rPr>
                <w:sz w:val="20"/>
                <w:szCs w:val="20"/>
              </w:rPr>
            </w:pPr>
            <w:r w:rsidRPr="001045FA">
              <w:rPr>
                <w:sz w:val="20"/>
                <w:szCs w:val="20"/>
              </w:rPr>
              <w:t>0</w:t>
            </w:r>
          </w:p>
        </w:tc>
        <w:tc>
          <w:tcPr>
            <w:tcW w:w="267" w:type="pct"/>
          </w:tcPr>
          <w:p w14:paraId="539EA988" w14:textId="77777777" w:rsidR="00247AD2" w:rsidRPr="001045FA" w:rsidRDefault="00247AD2" w:rsidP="001045FA">
            <w:pPr>
              <w:pStyle w:val="BodyText"/>
              <w:rPr>
                <w:sz w:val="20"/>
                <w:szCs w:val="20"/>
              </w:rPr>
            </w:pPr>
            <w:r w:rsidRPr="001045FA">
              <w:rPr>
                <w:sz w:val="20"/>
                <w:szCs w:val="20"/>
              </w:rPr>
              <w:t>1</w:t>
            </w:r>
          </w:p>
        </w:tc>
        <w:tc>
          <w:tcPr>
            <w:tcW w:w="268" w:type="pct"/>
          </w:tcPr>
          <w:p w14:paraId="08DAB1C8" w14:textId="77777777" w:rsidR="00247AD2" w:rsidRPr="001045FA" w:rsidRDefault="00247AD2" w:rsidP="001045FA">
            <w:pPr>
              <w:pStyle w:val="BodyText"/>
              <w:rPr>
                <w:sz w:val="20"/>
                <w:szCs w:val="20"/>
              </w:rPr>
            </w:pPr>
            <w:r w:rsidRPr="001045FA">
              <w:rPr>
                <w:sz w:val="20"/>
                <w:szCs w:val="20"/>
              </w:rPr>
              <w:t>1</w:t>
            </w:r>
          </w:p>
        </w:tc>
        <w:tc>
          <w:tcPr>
            <w:tcW w:w="262" w:type="pct"/>
          </w:tcPr>
          <w:p w14:paraId="48E3044C" w14:textId="77777777" w:rsidR="00247AD2" w:rsidRPr="001045FA" w:rsidRDefault="00247AD2" w:rsidP="001045FA">
            <w:pPr>
              <w:pStyle w:val="BodyText"/>
              <w:rPr>
                <w:sz w:val="20"/>
                <w:szCs w:val="20"/>
              </w:rPr>
            </w:pPr>
            <w:r w:rsidRPr="001045FA">
              <w:rPr>
                <w:sz w:val="20"/>
                <w:szCs w:val="20"/>
              </w:rPr>
              <w:t>0</w:t>
            </w:r>
          </w:p>
        </w:tc>
        <w:tc>
          <w:tcPr>
            <w:tcW w:w="262" w:type="pct"/>
          </w:tcPr>
          <w:p w14:paraId="4828ABC1" w14:textId="77777777" w:rsidR="00247AD2" w:rsidRPr="001045FA" w:rsidRDefault="00247AD2" w:rsidP="001045FA">
            <w:pPr>
              <w:pStyle w:val="BodyText"/>
              <w:rPr>
                <w:sz w:val="20"/>
                <w:szCs w:val="20"/>
              </w:rPr>
            </w:pPr>
            <w:r w:rsidRPr="001045FA">
              <w:rPr>
                <w:sz w:val="20"/>
                <w:szCs w:val="20"/>
              </w:rPr>
              <w:t>0</w:t>
            </w:r>
          </w:p>
        </w:tc>
        <w:tc>
          <w:tcPr>
            <w:tcW w:w="263" w:type="pct"/>
          </w:tcPr>
          <w:p w14:paraId="5B51E447" w14:textId="77777777" w:rsidR="00247AD2" w:rsidRPr="001045FA" w:rsidRDefault="00247AD2" w:rsidP="001045FA">
            <w:pPr>
              <w:pStyle w:val="BodyText"/>
              <w:rPr>
                <w:sz w:val="20"/>
                <w:szCs w:val="20"/>
              </w:rPr>
            </w:pPr>
            <w:r w:rsidRPr="001045FA">
              <w:rPr>
                <w:sz w:val="20"/>
                <w:szCs w:val="20"/>
              </w:rPr>
              <w:t>0</w:t>
            </w:r>
          </w:p>
        </w:tc>
        <w:tc>
          <w:tcPr>
            <w:tcW w:w="262" w:type="pct"/>
          </w:tcPr>
          <w:p w14:paraId="6FAF5779" w14:textId="77777777" w:rsidR="00247AD2" w:rsidRPr="001045FA" w:rsidRDefault="00247AD2" w:rsidP="001045FA">
            <w:pPr>
              <w:pStyle w:val="BodyText"/>
              <w:rPr>
                <w:sz w:val="20"/>
                <w:szCs w:val="20"/>
              </w:rPr>
            </w:pPr>
            <w:r w:rsidRPr="001045FA">
              <w:rPr>
                <w:sz w:val="20"/>
                <w:szCs w:val="20"/>
              </w:rPr>
              <w:t>0</w:t>
            </w:r>
          </w:p>
        </w:tc>
        <w:tc>
          <w:tcPr>
            <w:tcW w:w="262" w:type="pct"/>
          </w:tcPr>
          <w:p w14:paraId="34BBBB70" w14:textId="77777777" w:rsidR="00247AD2" w:rsidRPr="001045FA" w:rsidRDefault="00247AD2" w:rsidP="001045FA">
            <w:pPr>
              <w:pStyle w:val="BodyText"/>
              <w:rPr>
                <w:sz w:val="20"/>
                <w:szCs w:val="20"/>
              </w:rPr>
            </w:pPr>
            <w:r w:rsidRPr="001045FA">
              <w:rPr>
                <w:sz w:val="20"/>
                <w:szCs w:val="20"/>
              </w:rPr>
              <w:t>0</w:t>
            </w:r>
          </w:p>
        </w:tc>
        <w:tc>
          <w:tcPr>
            <w:tcW w:w="263" w:type="pct"/>
          </w:tcPr>
          <w:p w14:paraId="2112828B" w14:textId="77777777" w:rsidR="00247AD2" w:rsidRPr="001045FA" w:rsidRDefault="00247AD2" w:rsidP="001045FA">
            <w:pPr>
              <w:pStyle w:val="BodyText"/>
              <w:rPr>
                <w:sz w:val="20"/>
                <w:szCs w:val="20"/>
              </w:rPr>
            </w:pPr>
            <w:r w:rsidRPr="001045FA">
              <w:rPr>
                <w:sz w:val="20"/>
                <w:szCs w:val="20"/>
              </w:rPr>
              <w:t>0</w:t>
            </w:r>
          </w:p>
        </w:tc>
        <w:tc>
          <w:tcPr>
            <w:tcW w:w="312" w:type="pct"/>
          </w:tcPr>
          <w:p w14:paraId="5E26D394" w14:textId="77777777" w:rsidR="00247AD2" w:rsidRPr="001045FA" w:rsidRDefault="00247AD2" w:rsidP="001045FA">
            <w:pPr>
              <w:pStyle w:val="BodyText"/>
              <w:rPr>
                <w:sz w:val="20"/>
                <w:szCs w:val="20"/>
              </w:rPr>
            </w:pPr>
            <w:r w:rsidRPr="001045FA">
              <w:rPr>
                <w:rStyle w:val="01bodybold"/>
                <w:sz w:val="20"/>
                <w:szCs w:val="20"/>
              </w:rPr>
              <w:t>323</w:t>
            </w:r>
          </w:p>
        </w:tc>
      </w:tr>
      <w:tr w:rsidR="006A0585" w:rsidRPr="001045FA" w14:paraId="3B893F36" w14:textId="77777777" w:rsidTr="006A0585">
        <w:trPr>
          <w:trHeight w:val="396"/>
        </w:trPr>
        <w:tc>
          <w:tcPr>
            <w:tcW w:w="550" w:type="pct"/>
          </w:tcPr>
          <w:p w14:paraId="2FE1E2AF" w14:textId="77777777" w:rsidR="00247AD2" w:rsidRPr="001045FA" w:rsidRDefault="00247AD2" w:rsidP="001045FA">
            <w:pPr>
              <w:pStyle w:val="BodyText"/>
              <w:rPr>
                <w:sz w:val="20"/>
                <w:szCs w:val="20"/>
              </w:rPr>
            </w:pPr>
            <w:r w:rsidRPr="001045FA">
              <w:rPr>
                <w:sz w:val="20"/>
                <w:szCs w:val="20"/>
              </w:rPr>
              <w:t>APS2</w:t>
            </w:r>
          </w:p>
        </w:tc>
        <w:tc>
          <w:tcPr>
            <w:tcW w:w="287" w:type="pct"/>
          </w:tcPr>
          <w:p w14:paraId="07C22D1E" w14:textId="77777777" w:rsidR="00247AD2" w:rsidRPr="001045FA" w:rsidRDefault="00247AD2" w:rsidP="001045FA">
            <w:pPr>
              <w:pStyle w:val="BodyText"/>
              <w:rPr>
                <w:sz w:val="20"/>
                <w:szCs w:val="20"/>
              </w:rPr>
            </w:pPr>
            <w:r w:rsidRPr="001045FA">
              <w:rPr>
                <w:sz w:val="20"/>
                <w:szCs w:val="20"/>
              </w:rPr>
              <w:t>0</w:t>
            </w:r>
          </w:p>
        </w:tc>
        <w:tc>
          <w:tcPr>
            <w:tcW w:w="275" w:type="pct"/>
          </w:tcPr>
          <w:p w14:paraId="3F498DB3" w14:textId="77777777" w:rsidR="00247AD2" w:rsidRPr="001045FA" w:rsidRDefault="00247AD2" w:rsidP="001045FA">
            <w:pPr>
              <w:pStyle w:val="BodyText"/>
              <w:rPr>
                <w:sz w:val="20"/>
                <w:szCs w:val="20"/>
              </w:rPr>
            </w:pPr>
            <w:r w:rsidRPr="001045FA">
              <w:rPr>
                <w:sz w:val="20"/>
                <w:szCs w:val="20"/>
              </w:rPr>
              <w:t>0</w:t>
            </w:r>
          </w:p>
        </w:tc>
        <w:tc>
          <w:tcPr>
            <w:tcW w:w="287" w:type="pct"/>
          </w:tcPr>
          <w:p w14:paraId="03CDCF8B" w14:textId="77777777" w:rsidR="00247AD2" w:rsidRPr="001045FA" w:rsidRDefault="00247AD2" w:rsidP="001045FA">
            <w:pPr>
              <w:pStyle w:val="BodyText"/>
              <w:rPr>
                <w:sz w:val="20"/>
                <w:szCs w:val="20"/>
              </w:rPr>
            </w:pPr>
            <w:r w:rsidRPr="001045FA">
              <w:rPr>
                <w:sz w:val="20"/>
                <w:szCs w:val="20"/>
              </w:rPr>
              <w:t>0</w:t>
            </w:r>
          </w:p>
        </w:tc>
        <w:tc>
          <w:tcPr>
            <w:tcW w:w="312" w:type="pct"/>
          </w:tcPr>
          <w:p w14:paraId="099FADDD" w14:textId="77777777" w:rsidR="00247AD2" w:rsidRPr="001045FA" w:rsidRDefault="00247AD2" w:rsidP="001045FA">
            <w:pPr>
              <w:pStyle w:val="BodyText"/>
              <w:rPr>
                <w:sz w:val="20"/>
                <w:szCs w:val="20"/>
              </w:rPr>
            </w:pPr>
            <w:r w:rsidRPr="001045FA">
              <w:rPr>
                <w:sz w:val="20"/>
                <w:szCs w:val="20"/>
              </w:rPr>
              <w:t>0</w:t>
            </w:r>
          </w:p>
        </w:tc>
        <w:tc>
          <w:tcPr>
            <w:tcW w:w="287" w:type="pct"/>
          </w:tcPr>
          <w:p w14:paraId="4DDDAAC3" w14:textId="77777777" w:rsidR="00247AD2" w:rsidRPr="001045FA" w:rsidRDefault="00247AD2" w:rsidP="001045FA">
            <w:pPr>
              <w:pStyle w:val="BodyText"/>
              <w:rPr>
                <w:sz w:val="20"/>
                <w:szCs w:val="20"/>
              </w:rPr>
            </w:pPr>
            <w:r w:rsidRPr="001045FA">
              <w:rPr>
                <w:sz w:val="20"/>
                <w:szCs w:val="20"/>
              </w:rPr>
              <w:t>0</w:t>
            </w:r>
          </w:p>
        </w:tc>
        <w:tc>
          <w:tcPr>
            <w:tcW w:w="313" w:type="pct"/>
          </w:tcPr>
          <w:p w14:paraId="4BECCC83" w14:textId="77777777" w:rsidR="00247AD2" w:rsidRPr="001045FA" w:rsidRDefault="00247AD2" w:rsidP="001045FA">
            <w:pPr>
              <w:pStyle w:val="BodyText"/>
              <w:rPr>
                <w:sz w:val="20"/>
                <w:szCs w:val="20"/>
              </w:rPr>
            </w:pPr>
            <w:r w:rsidRPr="001045FA">
              <w:rPr>
                <w:sz w:val="20"/>
                <w:szCs w:val="20"/>
              </w:rPr>
              <w:t>0</w:t>
            </w:r>
          </w:p>
        </w:tc>
        <w:tc>
          <w:tcPr>
            <w:tcW w:w="268" w:type="pct"/>
          </w:tcPr>
          <w:p w14:paraId="566E96FA" w14:textId="77777777" w:rsidR="00247AD2" w:rsidRPr="001045FA" w:rsidRDefault="00247AD2" w:rsidP="001045FA">
            <w:pPr>
              <w:pStyle w:val="BodyText"/>
              <w:rPr>
                <w:sz w:val="20"/>
                <w:szCs w:val="20"/>
              </w:rPr>
            </w:pPr>
            <w:r w:rsidRPr="001045FA">
              <w:rPr>
                <w:sz w:val="20"/>
                <w:szCs w:val="20"/>
              </w:rPr>
              <w:t>0</w:t>
            </w:r>
          </w:p>
        </w:tc>
        <w:tc>
          <w:tcPr>
            <w:tcW w:w="267" w:type="pct"/>
          </w:tcPr>
          <w:p w14:paraId="6BA2E968" w14:textId="77777777" w:rsidR="00247AD2" w:rsidRPr="001045FA" w:rsidRDefault="00247AD2" w:rsidP="001045FA">
            <w:pPr>
              <w:pStyle w:val="BodyText"/>
              <w:rPr>
                <w:sz w:val="20"/>
                <w:szCs w:val="20"/>
              </w:rPr>
            </w:pPr>
            <w:r w:rsidRPr="001045FA">
              <w:rPr>
                <w:sz w:val="20"/>
                <w:szCs w:val="20"/>
              </w:rPr>
              <w:t>0</w:t>
            </w:r>
          </w:p>
        </w:tc>
        <w:tc>
          <w:tcPr>
            <w:tcW w:w="268" w:type="pct"/>
          </w:tcPr>
          <w:p w14:paraId="63E12CE5" w14:textId="77777777" w:rsidR="00247AD2" w:rsidRPr="001045FA" w:rsidRDefault="00247AD2" w:rsidP="001045FA">
            <w:pPr>
              <w:pStyle w:val="BodyText"/>
              <w:rPr>
                <w:sz w:val="20"/>
                <w:szCs w:val="20"/>
              </w:rPr>
            </w:pPr>
            <w:r w:rsidRPr="001045FA">
              <w:rPr>
                <w:sz w:val="20"/>
                <w:szCs w:val="20"/>
              </w:rPr>
              <w:t>0</w:t>
            </w:r>
          </w:p>
        </w:tc>
        <w:tc>
          <w:tcPr>
            <w:tcW w:w="262" w:type="pct"/>
          </w:tcPr>
          <w:p w14:paraId="50843F9B" w14:textId="77777777" w:rsidR="00247AD2" w:rsidRPr="001045FA" w:rsidRDefault="00247AD2" w:rsidP="001045FA">
            <w:pPr>
              <w:pStyle w:val="BodyText"/>
              <w:rPr>
                <w:sz w:val="20"/>
                <w:szCs w:val="20"/>
              </w:rPr>
            </w:pPr>
            <w:r w:rsidRPr="001045FA">
              <w:rPr>
                <w:sz w:val="20"/>
                <w:szCs w:val="20"/>
              </w:rPr>
              <w:t>0</w:t>
            </w:r>
          </w:p>
        </w:tc>
        <w:tc>
          <w:tcPr>
            <w:tcW w:w="262" w:type="pct"/>
          </w:tcPr>
          <w:p w14:paraId="7C890528" w14:textId="77777777" w:rsidR="00247AD2" w:rsidRPr="001045FA" w:rsidRDefault="00247AD2" w:rsidP="001045FA">
            <w:pPr>
              <w:pStyle w:val="BodyText"/>
              <w:rPr>
                <w:sz w:val="20"/>
                <w:szCs w:val="20"/>
              </w:rPr>
            </w:pPr>
            <w:r w:rsidRPr="001045FA">
              <w:rPr>
                <w:sz w:val="20"/>
                <w:szCs w:val="20"/>
              </w:rPr>
              <w:t>0</w:t>
            </w:r>
          </w:p>
        </w:tc>
        <w:tc>
          <w:tcPr>
            <w:tcW w:w="263" w:type="pct"/>
          </w:tcPr>
          <w:p w14:paraId="2F97C64B" w14:textId="77777777" w:rsidR="00247AD2" w:rsidRPr="001045FA" w:rsidRDefault="00247AD2" w:rsidP="001045FA">
            <w:pPr>
              <w:pStyle w:val="BodyText"/>
              <w:rPr>
                <w:sz w:val="20"/>
                <w:szCs w:val="20"/>
              </w:rPr>
            </w:pPr>
            <w:r w:rsidRPr="001045FA">
              <w:rPr>
                <w:sz w:val="20"/>
                <w:szCs w:val="20"/>
              </w:rPr>
              <w:t>0</w:t>
            </w:r>
          </w:p>
        </w:tc>
        <w:tc>
          <w:tcPr>
            <w:tcW w:w="262" w:type="pct"/>
          </w:tcPr>
          <w:p w14:paraId="6C9F0156" w14:textId="77777777" w:rsidR="00247AD2" w:rsidRPr="001045FA" w:rsidRDefault="00247AD2" w:rsidP="001045FA">
            <w:pPr>
              <w:pStyle w:val="BodyText"/>
              <w:rPr>
                <w:sz w:val="20"/>
                <w:szCs w:val="20"/>
              </w:rPr>
            </w:pPr>
            <w:r w:rsidRPr="001045FA">
              <w:rPr>
                <w:sz w:val="20"/>
                <w:szCs w:val="20"/>
              </w:rPr>
              <w:t>0</w:t>
            </w:r>
          </w:p>
        </w:tc>
        <w:tc>
          <w:tcPr>
            <w:tcW w:w="262" w:type="pct"/>
          </w:tcPr>
          <w:p w14:paraId="2B033522" w14:textId="77777777" w:rsidR="00247AD2" w:rsidRPr="001045FA" w:rsidRDefault="00247AD2" w:rsidP="001045FA">
            <w:pPr>
              <w:pStyle w:val="BodyText"/>
              <w:rPr>
                <w:sz w:val="20"/>
                <w:szCs w:val="20"/>
              </w:rPr>
            </w:pPr>
            <w:r w:rsidRPr="001045FA">
              <w:rPr>
                <w:sz w:val="20"/>
                <w:szCs w:val="20"/>
              </w:rPr>
              <w:t>0</w:t>
            </w:r>
          </w:p>
        </w:tc>
        <w:tc>
          <w:tcPr>
            <w:tcW w:w="263" w:type="pct"/>
          </w:tcPr>
          <w:p w14:paraId="351A1A9D" w14:textId="77777777" w:rsidR="00247AD2" w:rsidRPr="001045FA" w:rsidRDefault="00247AD2" w:rsidP="001045FA">
            <w:pPr>
              <w:pStyle w:val="BodyText"/>
              <w:rPr>
                <w:sz w:val="20"/>
                <w:szCs w:val="20"/>
              </w:rPr>
            </w:pPr>
            <w:r w:rsidRPr="001045FA">
              <w:rPr>
                <w:sz w:val="20"/>
                <w:szCs w:val="20"/>
              </w:rPr>
              <w:t>0</w:t>
            </w:r>
          </w:p>
        </w:tc>
        <w:tc>
          <w:tcPr>
            <w:tcW w:w="312" w:type="pct"/>
          </w:tcPr>
          <w:p w14:paraId="457BDAE4" w14:textId="77777777" w:rsidR="00247AD2" w:rsidRPr="001045FA" w:rsidRDefault="00247AD2" w:rsidP="001045FA">
            <w:pPr>
              <w:pStyle w:val="BodyText"/>
              <w:rPr>
                <w:sz w:val="20"/>
                <w:szCs w:val="20"/>
              </w:rPr>
            </w:pPr>
            <w:r w:rsidRPr="001045FA">
              <w:rPr>
                <w:rStyle w:val="01bodybold"/>
                <w:sz w:val="20"/>
                <w:szCs w:val="20"/>
              </w:rPr>
              <w:t>0</w:t>
            </w:r>
          </w:p>
        </w:tc>
      </w:tr>
      <w:tr w:rsidR="006A0585" w:rsidRPr="001045FA" w14:paraId="3439F8ED" w14:textId="77777777" w:rsidTr="006A0585">
        <w:trPr>
          <w:trHeight w:val="396"/>
        </w:trPr>
        <w:tc>
          <w:tcPr>
            <w:tcW w:w="550" w:type="pct"/>
          </w:tcPr>
          <w:p w14:paraId="1B4AC10D" w14:textId="77777777" w:rsidR="00247AD2" w:rsidRPr="001045FA" w:rsidRDefault="00247AD2" w:rsidP="001045FA">
            <w:pPr>
              <w:pStyle w:val="BodyText"/>
              <w:rPr>
                <w:sz w:val="20"/>
                <w:szCs w:val="20"/>
              </w:rPr>
            </w:pPr>
            <w:r w:rsidRPr="001045FA">
              <w:rPr>
                <w:sz w:val="20"/>
                <w:szCs w:val="20"/>
              </w:rPr>
              <w:lastRenderedPageBreak/>
              <w:t>APS1</w:t>
            </w:r>
          </w:p>
        </w:tc>
        <w:tc>
          <w:tcPr>
            <w:tcW w:w="287" w:type="pct"/>
          </w:tcPr>
          <w:p w14:paraId="1DDCDFAC" w14:textId="77777777" w:rsidR="00247AD2" w:rsidRPr="001045FA" w:rsidRDefault="00247AD2" w:rsidP="001045FA">
            <w:pPr>
              <w:pStyle w:val="BodyText"/>
              <w:rPr>
                <w:sz w:val="20"/>
                <w:szCs w:val="20"/>
              </w:rPr>
            </w:pPr>
            <w:r w:rsidRPr="001045FA">
              <w:rPr>
                <w:sz w:val="20"/>
                <w:szCs w:val="20"/>
              </w:rPr>
              <w:t>0</w:t>
            </w:r>
          </w:p>
        </w:tc>
        <w:tc>
          <w:tcPr>
            <w:tcW w:w="275" w:type="pct"/>
          </w:tcPr>
          <w:p w14:paraId="3D7D9C0E" w14:textId="77777777" w:rsidR="00247AD2" w:rsidRPr="001045FA" w:rsidRDefault="00247AD2" w:rsidP="001045FA">
            <w:pPr>
              <w:pStyle w:val="BodyText"/>
              <w:rPr>
                <w:sz w:val="20"/>
                <w:szCs w:val="20"/>
              </w:rPr>
            </w:pPr>
            <w:r w:rsidRPr="001045FA">
              <w:rPr>
                <w:sz w:val="20"/>
                <w:szCs w:val="20"/>
              </w:rPr>
              <w:t>0</w:t>
            </w:r>
          </w:p>
        </w:tc>
        <w:tc>
          <w:tcPr>
            <w:tcW w:w="287" w:type="pct"/>
          </w:tcPr>
          <w:p w14:paraId="16D8A55F" w14:textId="77777777" w:rsidR="00247AD2" w:rsidRPr="001045FA" w:rsidRDefault="00247AD2" w:rsidP="001045FA">
            <w:pPr>
              <w:pStyle w:val="BodyText"/>
              <w:rPr>
                <w:sz w:val="20"/>
                <w:szCs w:val="20"/>
              </w:rPr>
            </w:pPr>
            <w:r w:rsidRPr="001045FA">
              <w:rPr>
                <w:sz w:val="20"/>
                <w:szCs w:val="20"/>
              </w:rPr>
              <w:t>0</w:t>
            </w:r>
          </w:p>
        </w:tc>
        <w:tc>
          <w:tcPr>
            <w:tcW w:w="312" w:type="pct"/>
          </w:tcPr>
          <w:p w14:paraId="104CF0A7" w14:textId="77777777" w:rsidR="00247AD2" w:rsidRPr="001045FA" w:rsidRDefault="00247AD2" w:rsidP="001045FA">
            <w:pPr>
              <w:pStyle w:val="BodyText"/>
              <w:rPr>
                <w:sz w:val="20"/>
                <w:szCs w:val="20"/>
              </w:rPr>
            </w:pPr>
            <w:r w:rsidRPr="001045FA">
              <w:rPr>
                <w:sz w:val="20"/>
                <w:szCs w:val="20"/>
              </w:rPr>
              <w:t>2</w:t>
            </w:r>
          </w:p>
        </w:tc>
        <w:tc>
          <w:tcPr>
            <w:tcW w:w="287" w:type="pct"/>
          </w:tcPr>
          <w:p w14:paraId="72B8E08D" w14:textId="77777777" w:rsidR="00247AD2" w:rsidRPr="001045FA" w:rsidRDefault="00247AD2" w:rsidP="001045FA">
            <w:pPr>
              <w:pStyle w:val="BodyText"/>
              <w:rPr>
                <w:sz w:val="20"/>
                <w:szCs w:val="20"/>
              </w:rPr>
            </w:pPr>
            <w:r w:rsidRPr="001045FA">
              <w:rPr>
                <w:sz w:val="20"/>
                <w:szCs w:val="20"/>
              </w:rPr>
              <w:t>0</w:t>
            </w:r>
          </w:p>
        </w:tc>
        <w:tc>
          <w:tcPr>
            <w:tcW w:w="313" w:type="pct"/>
          </w:tcPr>
          <w:p w14:paraId="398B6FAB" w14:textId="77777777" w:rsidR="00247AD2" w:rsidRPr="001045FA" w:rsidRDefault="00247AD2" w:rsidP="001045FA">
            <w:pPr>
              <w:pStyle w:val="BodyText"/>
              <w:rPr>
                <w:sz w:val="20"/>
                <w:szCs w:val="20"/>
              </w:rPr>
            </w:pPr>
            <w:r w:rsidRPr="001045FA">
              <w:rPr>
                <w:sz w:val="20"/>
                <w:szCs w:val="20"/>
              </w:rPr>
              <w:t>2</w:t>
            </w:r>
          </w:p>
        </w:tc>
        <w:tc>
          <w:tcPr>
            <w:tcW w:w="268" w:type="pct"/>
          </w:tcPr>
          <w:p w14:paraId="3547C312" w14:textId="77777777" w:rsidR="00247AD2" w:rsidRPr="001045FA" w:rsidRDefault="00247AD2" w:rsidP="001045FA">
            <w:pPr>
              <w:pStyle w:val="BodyText"/>
              <w:rPr>
                <w:sz w:val="20"/>
                <w:szCs w:val="20"/>
              </w:rPr>
            </w:pPr>
            <w:r w:rsidRPr="001045FA">
              <w:rPr>
                <w:sz w:val="20"/>
                <w:szCs w:val="20"/>
              </w:rPr>
              <w:t>0</w:t>
            </w:r>
          </w:p>
        </w:tc>
        <w:tc>
          <w:tcPr>
            <w:tcW w:w="267" w:type="pct"/>
          </w:tcPr>
          <w:p w14:paraId="1D135C1D" w14:textId="77777777" w:rsidR="00247AD2" w:rsidRPr="001045FA" w:rsidRDefault="00247AD2" w:rsidP="001045FA">
            <w:pPr>
              <w:pStyle w:val="BodyText"/>
              <w:rPr>
                <w:sz w:val="20"/>
                <w:szCs w:val="20"/>
              </w:rPr>
            </w:pPr>
            <w:r w:rsidRPr="001045FA">
              <w:rPr>
                <w:sz w:val="20"/>
                <w:szCs w:val="20"/>
              </w:rPr>
              <w:t>0</w:t>
            </w:r>
          </w:p>
        </w:tc>
        <w:tc>
          <w:tcPr>
            <w:tcW w:w="268" w:type="pct"/>
          </w:tcPr>
          <w:p w14:paraId="0AC17E75" w14:textId="77777777" w:rsidR="00247AD2" w:rsidRPr="001045FA" w:rsidRDefault="00247AD2" w:rsidP="001045FA">
            <w:pPr>
              <w:pStyle w:val="BodyText"/>
              <w:rPr>
                <w:sz w:val="20"/>
                <w:szCs w:val="20"/>
              </w:rPr>
            </w:pPr>
            <w:r w:rsidRPr="001045FA">
              <w:rPr>
                <w:sz w:val="20"/>
                <w:szCs w:val="20"/>
              </w:rPr>
              <w:t>0</w:t>
            </w:r>
          </w:p>
        </w:tc>
        <w:tc>
          <w:tcPr>
            <w:tcW w:w="262" w:type="pct"/>
          </w:tcPr>
          <w:p w14:paraId="3C1D11A4" w14:textId="77777777" w:rsidR="00247AD2" w:rsidRPr="001045FA" w:rsidRDefault="00247AD2" w:rsidP="001045FA">
            <w:pPr>
              <w:pStyle w:val="BodyText"/>
              <w:rPr>
                <w:sz w:val="20"/>
                <w:szCs w:val="20"/>
              </w:rPr>
            </w:pPr>
            <w:r w:rsidRPr="001045FA">
              <w:rPr>
                <w:sz w:val="20"/>
                <w:szCs w:val="20"/>
              </w:rPr>
              <w:t>0</w:t>
            </w:r>
          </w:p>
        </w:tc>
        <w:tc>
          <w:tcPr>
            <w:tcW w:w="262" w:type="pct"/>
          </w:tcPr>
          <w:p w14:paraId="423A90D4" w14:textId="77777777" w:rsidR="00247AD2" w:rsidRPr="001045FA" w:rsidRDefault="00247AD2" w:rsidP="001045FA">
            <w:pPr>
              <w:pStyle w:val="BodyText"/>
              <w:rPr>
                <w:sz w:val="20"/>
                <w:szCs w:val="20"/>
              </w:rPr>
            </w:pPr>
            <w:r w:rsidRPr="001045FA">
              <w:rPr>
                <w:sz w:val="20"/>
                <w:szCs w:val="20"/>
              </w:rPr>
              <w:t>0</w:t>
            </w:r>
          </w:p>
        </w:tc>
        <w:tc>
          <w:tcPr>
            <w:tcW w:w="263" w:type="pct"/>
          </w:tcPr>
          <w:p w14:paraId="5BD2DD18" w14:textId="77777777" w:rsidR="00247AD2" w:rsidRPr="001045FA" w:rsidRDefault="00247AD2" w:rsidP="001045FA">
            <w:pPr>
              <w:pStyle w:val="BodyText"/>
              <w:rPr>
                <w:sz w:val="20"/>
                <w:szCs w:val="20"/>
              </w:rPr>
            </w:pPr>
            <w:r w:rsidRPr="001045FA">
              <w:rPr>
                <w:sz w:val="20"/>
                <w:szCs w:val="20"/>
              </w:rPr>
              <w:t>0</w:t>
            </w:r>
          </w:p>
        </w:tc>
        <w:tc>
          <w:tcPr>
            <w:tcW w:w="262" w:type="pct"/>
          </w:tcPr>
          <w:p w14:paraId="4378D7E1" w14:textId="77777777" w:rsidR="00247AD2" w:rsidRPr="001045FA" w:rsidRDefault="00247AD2" w:rsidP="001045FA">
            <w:pPr>
              <w:pStyle w:val="BodyText"/>
              <w:rPr>
                <w:sz w:val="20"/>
                <w:szCs w:val="20"/>
              </w:rPr>
            </w:pPr>
            <w:r w:rsidRPr="001045FA">
              <w:rPr>
                <w:sz w:val="20"/>
                <w:szCs w:val="20"/>
              </w:rPr>
              <w:t>0</w:t>
            </w:r>
          </w:p>
        </w:tc>
        <w:tc>
          <w:tcPr>
            <w:tcW w:w="262" w:type="pct"/>
          </w:tcPr>
          <w:p w14:paraId="0DFEBDBD" w14:textId="77777777" w:rsidR="00247AD2" w:rsidRPr="001045FA" w:rsidRDefault="00247AD2" w:rsidP="001045FA">
            <w:pPr>
              <w:pStyle w:val="BodyText"/>
              <w:rPr>
                <w:sz w:val="20"/>
                <w:szCs w:val="20"/>
              </w:rPr>
            </w:pPr>
            <w:r w:rsidRPr="001045FA">
              <w:rPr>
                <w:sz w:val="20"/>
                <w:szCs w:val="20"/>
              </w:rPr>
              <w:t>0</w:t>
            </w:r>
          </w:p>
        </w:tc>
        <w:tc>
          <w:tcPr>
            <w:tcW w:w="263" w:type="pct"/>
          </w:tcPr>
          <w:p w14:paraId="00C1BDD3" w14:textId="77777777" w:rsidR="00247AD2" w:rsidRPr="001045FA" w:rsidRDefault="00247AD2" w:rsidP="001045FA">
            <w:pPr>
              <w:pStyle w:val="BodyText"/>
              <w:rPr>
                <w:sz w:val="20"/>
                <w:szCs w:val="20"/>
              </w:rPr>
            </w:pPr>
            <w:r w:rsidRPr="001045FA">
              <w:rPr>
                <w:sz w:val="20"/>
                <w:szCs w:val="20"/>
              </w:rPr>
              <w:t>0</w:t>
            </w:r>
          </w:p>
        </w:tc>
        <w:tc>
          <w:tcPr>
            <w:tcW w:w="312" w:type="pct"/>
          </w:tcPr>
          <w:p w14:paraId="239C0A0A" w14:textId="77777777" w:rsidR="00247AD2" w:rsidRPr="001045FA" w:rsidRDefault="00247AD2" w:rsidP="001045FA">
            <w:pPr>
              <w:pStyle w:val="BodyText"/>
              <w:rPr>
                <w:sz w:val="20"/>
                <w:szCs w:val="20"/>
              </w:rPr>
            </w:pPr>
            <w:r w:rsidRPr="001045FA">
              <w:rPr>
                <w:rStyle w:val="01bodybold"/>
                <w:sz w:val="20"/>
                <w:szCs w:val="20"/>
              </w:rPr>
              <w:t>2</w:t>
            </w:r>
          </w:p>
        </w:tc>
      </w:tr>
      <w:tr w:rsidR="006A0585" w:rsidRPr="001045FA" w14:paraId="416B9E09" w14:textId="77777777" w:rsidTr="006A0585">
        <w:trPr>
          <w:trHeight w:val="396"/>
        </w:trPr>
        <w:tc>
          <w:tcPr>
            <w:tcW w:w="550" w:type="pct"/>
          </w:tcPr>
          <w:p w14:paraId="2F0F7287" w14:textId="77777777" w:rsidR="00247AD2" w:rsidRPr="001045FA" w:rsidRDefault="00247AD2" w:rsidP="001045FA">
            <w:pPr>
              <w:pStyle w:val="BodyText"/>
              <w:rPr>
                <w:sz w:val="20"/>
                <w:szCs w:val="20"/>
              </w:rPr>
            </w:pPr>
            <w:r w:rsidRPr="001045FA">
              <w:rPr>
                <w:sz w:val="20"/>
                <w:szCs w:val="20"/>
              </w:rPr>
              <w:t>Other</w:t>
            </w:r>
          </w:p>
        </w:tc>
        <w:tc>
          <w:tcPr>
            <w:tcW w:w="287" w:type="pct"/>
          </w:tcPr>
          <w:p w14:paraId="7EA97FBD" w14:textId="77777777" w:rsidR="00247AD2" w:rsidRPr="001045FA" w:rsidRDefault="00247AD2" w:rsidP="001045FA">
            <w:pPr>
              <w:pStyle w:val="BodyText"/>
              <w:rPr>
                <w:sz w:val="20"/>
                <w:szCs w:val="20"/>
              </w:rPr>
            </w:pPr>
            <w:r w:rsidRPr="001045FA">
              <w:rPr>
                <w:sz w:val="20"/>
                <w:szCs w:val="20"/>
              </w:rPr>
              <w:t>0</w:t>
            </w:r>
          </w:p>
        </w:tc>
        <w:tc>
          <w:tcPr>
            <w:tcW w:w="275" w:type="pct"/>
          </w:tcPr>
          <w:p w14:paraId="47968449" w14:textId="77777777" w:rsidR="00247AD2" w:rsidRPr="001045FA" w:rsidRDefault="00247AD2" w:rsidP="001045FA">
            <w:pPr>
              <w:pStyle w:val="BodyText"/>
              <w:rPr>
                <w:sz w:val="20"/>
                <w:szCs w:val="20"/>
              </w:rPr>
            </w:pPr>
            <w:r w:rsidRPr="001045FA">
              <w:rPr>
                <w:sz w:val="20"/>
                <w:szCs w:val="20"/>
              </w:rPr>
              <w:t>0</w:t>
            </w:r>
          </w:p>
        </w:tc>
        <w:tc>
          <w:tcPr>
            <w:tcW w:w="287" w:type="pct"/>
          </w:tcPr>
          <w:p w14:paraId="745DC819" w14:textId="77777777" w:rsidR="00247AD2" w:rsidRPr="001045FA" w:rsidRDefault="00247AD2" w:rsidP="001045FA">
            <w:pPr>
              <w:pStyle w:val="BodyText"/>
              <w:rPr>
                <w:sz w:val="20"/>
                <w:szCs w:val="20"/>
              </w:rPr>
            </w:pPr>
            <w:r w:rsidRPr="001045FA">
              <w:rPr>
                <w:sz w:val="20"/>
                <w:szCs w:val="20"/>
              </w:rPr>
              <w:t>0</w:t>
            </w:r>
          </w:p>
        </w:tc>
        <w:tc>
          <w:tcPr>
            <w:tcW w:w="312" w:type="pct"/>
          </w:tcPr>
          <w:p w14:paraId="4CD25048" w14:textId="77777777" w:rsidR="00247AD2" w:rsidRPr="001045FA" w:rsidRDefault="00247AD2" w:rsidP="001045FA">
            <w:pPr>
              <w:pStyle w:val="BodyText"/>
              <w:rPr>
                <w:sz w:val="20"/>
                <w:szCs w:val="20"/>
              </w:rPr>
            </w:pPr>
            <w:r w:rsidRPr="001045FA">
              <w:rPr>
                <w:sz w:val="20"/>
                <w:szCs w:val="20"/>
              </w:rPr>
              <w:t>0</w:t>
            </w:r>
          </w:p>
        </w:tc>
        <w:tc>
          <w:tcPr>
            <w:tcW w:w="287" w:type="pct"/>
          </w:tcPr>
          <w:p w14:paraId="3B5EB4E5" w14:textId="77777777" w:rsidR="00247AD2" w:rsidRPr="001045FA" w:rsidRDefault="00247AD2" w:rsidP="001045FA">
            <w:pPr>
              <w:pStyle w:val="BodyText"/>
              <w:rPr>
                <w:sz w:val="20"/>
                <w:szCs w:val="20"/>
              </w:rPr>
            </w:pPr>
            <w:r w:rsidRPr="001045FA">
              <w:rPr>
                <w:sz w:val="20"/>
                <w:szCs w:val="20"/>
              </w:rPr>
              <w:t>0</w:t>
            </w:r>
          </w:p>
        </w:tc>
        <w:tc>
          <w:tcPr>
            <w:tcW w:w="313" w:type="pct"/>
          </w:tcPr>
          <w:p w14:paraId="3B4E8DC2" w14:textId="77777777" w:rsidR="00247AD2" w:rsidRPr="001045FA" w:rsidRDefault="00247AD2" w:rsidP="001045FA">
            <w:pPr>
              <w:pStyle w:val="BodyText"/>
              <w:rPr>
                <w:sz w:val="20"/>
                <w:szCs w:val="20"/>
              </w:rPr>
            </w:pPr>
            <w:r w:rsidRPr="001045FA">
              <w:rPr>
                <w:sz w:val="20"/>
                <w:szCs w:val="20"/>
              </w:rPr>
              <w:t>0</w:t>
            </w:r>
          </w:p>
        </w:tc>
        <w:tc>
          <w:tcPr>
            <w:tcW w:w="268" w:type="pct"/>
          </w:tcPr>
          <w:p w14:paraId="4FA119C7" w14:textId="77777777" w:rsidR="00247AD2" w:rsidRPr="001045FA" w:rsidRDefault="00247AD2" w:rsidP="001045FA">
            <w:pPr>
              <w:pStyle w:val="BodyText"/>
              <w:rPr>
                <w:sz w:val="20"/>
                <w:szCs w:val="20"/>
              </w:rPr>
            </w:pPr>
            <w:r w:rsidRPr="001045FA">
              <w:rPr>
                <w:sz w:val="20"/>
                <w:szCs w:val="20"/>
              </w:rPr>
              <w:t>0</w:t>
            </w:r>
          </w:p>
        </w:tc>
        <w:tc>
          <w:tcPr>
            <w:tcW w:w="267" w:type="pct"/>
          </w:tcPr>
          <w:p w14:paraId="7266BA03" w14:textId="77777777" w:rsidR="00247AD2" w:rsidRPr="001045FA" w:rsidRDefault="00247AD2" w:rsidP="001045FA">
            <w:pPr>
              <w:pStyle w:val="BodyText"/>
              <w:rPr>
                <w:sz w:val="20"/>
                <w:szCs w:val="20"/>
              </w:rPr>
            </w:pPr>
            <w:r w:rsidRPr="001045FA">
              <w:rPr>
                <w:sz w:val="20"/>
                <w:szCs w:val="20"/>
              </w:rPr>
              <w:t>0</w:t>
            </w:r>
          </w:p>
        </w:tc>
        <w:tc>
          <w:tcPr>
            <w:tcW w:w="268" w:type="pct"/>
          </w:tcPr>
          <w:p w14:paraId="69FAF34F" w14:textId="77777777" w:rsidR="00247AD2" w:rsidRPr="001045FA" w:rsidRDefault="00247AD2" w:rsidP="001045FA">
            <w:pPr>
              <w:pStyle w:val="BodyText"/>
              <w:rPr>
                <w:sz w:val="20"/>
                <w:szCs w:val="20"/>
              </w:rPr>
            </w:pPr>
            <w:r w:rsidRPr="001045FA">
              <w:rPr>
                <w:sz w:val="20"/>
                <w:szCs w:val="20"/>
              </w:rPr>
              <w:t>0</w:t>
            </w:r>
          </w:p>
        </w:tc>
        <w:tc>
          <w:tcPr>
            <w:tcW w:w="262" w:type="pct"/>
          </w:tcPr>
          <w:p w14:paraId="5B54FF08" w14:textId="77777777" w:rsidR="00247AD2" w:rsidRPr="001045FA" w:rsidRDefault="00247AD2" w:rsidP="001045FA">
            <w:pPr>
              <w:pStyle w:val="BodyText"/>
              <w:rPr>
                <w:sz w:val="20"/>
                <w:szCs w:val="20"/>
              </w:rPr>
            </w:pPr>
            <w:r w:rsidRPr="001045FA">
              <w:rPr>
                <w:sz w:val="20"/>
                <w:szCs w:val="20"/>
              </w:rPr>
              <w:t>0</w:t>
            </w:r>
          </w:p>
        </w:tc>
        <w:tc>
          <w:tcPr>
            <w:tcW w:w="262" w:type="pct"/>
          </w:tcPr>
          <w:p w14:paraId="66C8ADDF" w14:textId="77777777" w:rsidR="00247AD2" w:rsidRPr="001045FA" w:rsidRDefault="00247AD2" w:rsidP="001045FA">
            <w:pPr>
              <w:pStyle w:val="BodyText"/>
              <w:rPr>
                <w:sz w:val="20"/>
                <w:szCs w:val="20"/>
              </w:rPr>
            </w:pPr>
            <w:r w:rsidRPr="001045FA">
              <w:rPr>
                <w:sz w:val="20"/>
                <w:szCs w:val="20"/>
              </w:rPr>
              <w:t>0</w:t>
            </w:r>
          </w:p>
        </w:tc>
        <w:tc>
          <w:tcPr>
            <w:tcW w:w="263" w:type="pct"/>
          </w:tcPr>
          <w:p w14:paraId="3BC3274B" w14:textId="77777777" w:rsidR="00247AD2" w:rsidRPr="001045FA" w:rsidRDefault="00247AD2" w:rsidP="001045FA">
            <w:pPr>
              <w:pStyle w:val="BodyText"/>
              <w:rPr>
                <w:sz w:val="20"/>
                <w:szCs w:val="20"/>
              </w:rPr>
            </w:pPr>
            <w:r w:rsidRPr="001045FA">
              <w:rPr>
                <w:sz w:val="20"/>
                <w:szCs w:val="20"/>
              </w:rPr>
              <w:t>0</w:t>
            </w:r>
          </w:p>
        </w:tc>
        <w:tc>
          <w:tcPr>
            <w:tcW w:w="262" w:type="pct"/>
          </w:tcPr>
          <w:p w14:paraId="48C73592" w14:textId="77777777" w:rsidR="00247AD2" w:rsidRPr="001045FA" w:rsidRDefault="00247AD2" w:rsidP="001045FA">
            <w:pPr>
              <w:pStyle w:val="BodyText"/>
              <w:rPr>
                <w:sz w:val="20"/>
                <w:szCs w:val="20"/>
              </w:rPr>
            </w:pPr>
            <w:r w:rsidRPr="001045FA">
              <w:rPr>
                <w:sz w:val="20"/>
                <w:szCs w:val="20"/>
              </w:rPr>
              <w:t>0</w:t>
            </w:r>
          </w:p>
        </w:tc>
        <w:tc>
          <w:tcPr>
            <w:tcW w:w="262" w:type="pct"/>
          </w:tcPr>
          <w:p w14:paraId="1D5F0D44" w14:textId="77777777" w:rsidR="00247AD2" w:rsidRPr="001045FA" w:rsidRDefault="00247AD2" w:rsidP="001045FA">
            <w:pPr>
              <w:pStyle w:val="BodyText"/>
              <w:rPr>
                <w:sz w:val="20"/>
                <w:szCs w:val="20"/>
              </w:rPr>
            </w:pPr>
            <w:r w:rsidRPr="001045FA">
              <w:rPr>
                <w:sz w:val="20"/>
                <w:szCs w:val="20"/>
              </w:rPr>
              <w:t>0</w:t>
            </w:r>
          </w:p>
        </w:tc>
        <w:tc>
          <w:tcPr>
            <w:tcW w:w="263" w:type="pct"/>
          </w:tcPr>
          <w:p w14:paraId="628C9A68" w14:textId="77777777" w:rsidR="00247AD2" w:rsidRPr="001045FA" w:rsidRDefault="00247AD2" w:rsidP="001045FA">
            <w:pPr>
              <w:pStyle w:val="BodyText"/>
              <w:rPr>
                <w:sz w:val="20"/>
                <w:szCs w:val="20"/>
              </w:rPr>
            </w:pPr>
            <w:r w:rsidRPr="001045FA">
              <w:rPr>
                <w:sz w:val="20"/>
                <w:szCs w:val="20"/>
              </w:rPr>
              <w:t>0</w:t>
            </w:r>
          </w:p>
        </w:tc>
        <w:tc>
          <w:tcPr>
            <w:tcW w:w="312" w:type="pct"/>
          </w:tcPr>
          <w:p w14:paraId="470C642B" w14:textId="77777777" w:rsidR="00247AD2" w:rsidRPr="001045FA" w:rsidRDefault="00247AD2" w:rsidP="001045FA">
            <w:pPr>
              <w:pStyle w:val="BodyText"/>
              <w:rPr>
                <w:sz w:val="20"/>
                <w:szCs w:val="20"/>
              </w:rPr>
            </w:pPr>
            <w:r w:rsidRPr="001045FA">
              <w:rPr>
                <w:rStyle w:val="01bodybold"/>
                <w:sz w:val="20"/>
                <w:szCs w:val="20"/>
              </w:rPr>
              <w:t xml:space="preserve">0 </w:t>
            </w:r>
          </w:p>
        </w:tc>
      </w:tr>
      <w:tr w:rsidR="006A0585" w:rsidRPr="001045FA" w14:paraId="4B924E0D" w14:textId="77777777" w:rsidTr="006A0585">
        <w:trPr>
          <w:trHeight w:val="396"/>
        </w:trPr>
        <w:tc>
          <w:tcPr>
            <w:tcW w:w="550" w:type="pct"/>
          </w:tcPr>
          <w:p w14:paraId="589AA5FF" w14:textId="77777777" w:rsidR="00247AD2" w:rsidRPr="001045FA" w:rsidRDefault="00247AD2" w:rsidP="001045FA">
            <w:pPr>
              <w:pStyle w:val="BodyText"/>
              <w:rPr>
                <w:sz w:val="20"/>
                <w:szCs w:val="20"/>
              </w:rPr>
            </w:pPr>
            <w:r w:rsidRPr="001045FA">
              <w:rPr>
                <w:rStyle w:val="01bodybold"/>
                <w:sz w:val="20"/>
                <w:szCs w:val="20"/>
              </w:rPr>
              <w:t>Total</w:t>
            </w:r>
          </w:p>
        </w:tc>
        <w:tc>
          <w:tcPr>
            <w:tcW w:w="287" w:type="pct"/>
          </w:tcPr>
          <w:p w14:paraId="3FDF029A" w14:textId="77777777" w:rsidR="00247AD2" w:rsidRPr="001045FA" w:rsidRDefault="00247AD2" w:rsidP="001045FA">
            <w:pPr>
              <w:pStyle w:val="BodyText"/>
              <w:rPr>
                <w:sz w:val="20"/>
                <w:szCs w:val="20"/>
              </w:rPr>
            </w:pPr>
            <w:r w:rsidRPr="001045FA">
              <w:rPr>
                <w:rStyle w:val="01bodybold"/>
                <w:sz w:val="20"/>
                <w:szCs w:val="20"/>
              </w:rPr>
              <w:t>39</w:t>
            </w:r>
          </w:p>
        </w:tc>
        <w:tc>
          <w:tcPr>
            <w:tcW w:w="275" w:type="pct"/>
          </w:tcPr>
          <w:p w14:paraId="6973950D" w14:textId="77777777" w:rsidR="00247AD2" w:rsidRPr="001045FA" w:rsidRDefault="00247AD2" w:rsidP="001045FA">
            <w:pPr>
              <w:pStyle w:val="BodyText"/>
              <w:rPr>
                <w:sz w:val="20"/>
                <w:szCs w:val="20"/>
              </w:rPr>
            </w:pPr>
            <w:r w:rsidRPr="001045FA">
              <w:rPr>
                <w:rStyle w:val="01bodybold"/>
                <w:sz w:val="20"/>
                <w:szCs w:val="20"/>
              </w:rPr>
              <w:t>92</w:t>
            </w:r>
          </w:p>
        </w:tc>
        <w:tc>
          <w:tcPr>
            <w:tcW w:w="287" w:type="pct"/>
          </w:tcPr>
          <w:p w14:paraId="1229FC07" w14:textId="77777777" w:rsidR="00247AD2" w:rsidRPr="001045FA" w:rsidRDefault="00247AD2" w:rsidP="001045FA">
            <w:pPr>
              <w:pStyle w:val="BodyText"/>
              <w:rPr>
                <w:sz w:val="20"/>
                <w:szCs w:val="20"/>
              </w:rPr>
            </w:pPr>
            <w:r w:rsidRPr="001045FA">
              <w:rPr>
                <w:rStyle w:val="01bodybold"/>
                <w:sz w:val="20"/>
                <w:szCs w:val="20"/>
              </w:rPr>
              <w:t>131</w:t>
            </w:r>
          </w:p>
        </w:tc>
        <w:tc>
          <w:tcPr>
            <w:tcW w:w="312" w:type="pct"/>
          </w:tcPr>
          <w:p w14:paraId="6FB64606" w14:textId="77777777" w:rsidR="00247AD2" w:rsidRPr="001045FA" w:rsidRDefault="00247AD2" w:rsidP="001045FA">
            <w:pPr>
              <w:pStyle w:val="BodyText"/>
              <w:rPr>
                <w:sz w:val="20"/>
                <w:szCs w:val="20"/>
              </w:rPr>
            </w:pPr>
            <w:r w:rsidRPr="001045FA">
              <w:rPr>
                <w:rStyle w:val="01bodybold"/>
                <w:sz w:val="20"/>
                <w:szCs w:val="20"/>
              </w:rPr>
              <w:t>60</w:t>
            </w:r>
          </w:p>
        </w:tc>
        <w:tc>
          <w:tcPr>
            <w:tcW w:w="287" w:type="pct"/>
          </w:tcPr>
          <w:p w14:paraId="3EA937D6" w14:textId="77777777" w:rsidR="00247AD2" w:rsidRPr="001045FA" w:rsidRDefault="00247AD2" w:rsidP="001045FA">
            <w:pPr>
              <w:pStyle w:val="BodyText"/>
              <w:rPr>
                <w:sz w:val="20"/>
                <w:szCs w:val="20"/>
              </w:rPr>
            </w:pPr>
            <w:r w:rsidRPr="001045FA">
              <w:rPr>
                <w:rStyle w:val="01bodybold"/>
                <w:sz w:val="20"/>
                <w:szCs w:val="20"/>
              </w:rPr>
              <w:t>242</w:t>
            </w:r>
          </w:p>
        </w:tc>
        <w:tc>
          <w:tcPr>
            <w:tcW w:w="313" w:type="pct"/>
          </w:tcPr>
          <w:p w14:paraId="7CCFD6B1" w14:textId="77777777" w:rsidR="00247AD2" w:rsidRPr="001045FA" w:rsidRDefault="00247AD2" w:rsidP="001045FA">
            <w:pPr>
              <w:pStyle w:val="BodyText"/>
              <w:rPr>
                <w:sz w:val="20"/>
                <w:szCs w:val="20"/>
              </w:rPr>
            </w:pPr>
            <w:r w:rsidRPr="001045FA">
              <w:rPr>
                <w:rStyle w:val="01bodybold"/>
                <w:sz w:val="20"/>
                <w:szCs w:val="20"/>
              </w:rPr>
              <w:t>302</w:t>
            </w:r>
          </w:p>
        </w:tc>
        <w:tc>
          <w:tcPr>
            <w:tcW w:w="268" w:type="pct"/>
          </w:tcPr>
          <w:p w14:paraId="4C6C4F38" w14:textId="77777777" w:rsidR="00247AD2" w:rsidRPr="001045FA" w:rsidRDefault="00247AD2" w:rsidP="001045FA">
            <w:pPr>
              <w:pStyle w:val="BodyText"/>
              <w:rPr>
                <w:sz w:val="20"/>
                <w:szCs w:val="20"/>
              </w:rPr>
            </w:pPr>
            <w:r w:rsidRPr="001045FA">
              <w:rPr>
                <w:rStyle w:val="01bodybold"/>
                <w:sz w:val="20"/>
                <w:szCs w:val="20"/>
              </w:rPr>
              <w:t>3</w:t>
            </w:r>
          </w:p>
        </w:tc>
        <w:tc>
          <w:tcPr>
            <w:tcW w:w="267" w:type="pct"/>
          </w:tcPr>
          <w:p w14:paraId="7227E830" w14:textId="77777777" w:rsidR="00247AD2" w:rsidRPr="001045FA" w:rsidRDefault="00247AD2" w:rsidP="001045FA">
            <w:pPr>
              <w:pStyle w:val="BodyText"/>
              <w:rPr>
                <w:sz w:val="20"/>
                <w:szCs w:val="20"/>
              </w:rPr>
            </w:pPr>
            <w:r w:rsidRPr="001045FA">
              <w:rPr>
                <w:rStyle w:val="01bodybold"/>
                <w:sz w:val="20"/>
                <w:szCs w:val="20"/>
              </w:rPr>
              <w:t>1</w:t>
            </w:r>
          </w:p>
        </w:tc>
        <w:tc>
          <w:tcPr>
            <w:tcW w:w="268" w:type="pct"/>
          </w:tcPr>
          <w:p w14:paraId="00037945" w14:textId="77777777" w:rsidR="00247AD2" w:rsidRPr="001045FA" w:rsidRDefault="00247AD2" w:rsidP="001045FA">
            <w:pPr>
              <w:pStyle w:val="BodyText"/>
              <w:rPr>
                <w:sz w:val="20"/>
                <w:szCs w:val="20"/>
              </w:rPr>
            </w:pPr>
            <w:r w:rsidRPr="001045FA">
              <w:rPr>
                <w:rStyle w:val="01bodybold"/>
                <w:sz w:val="20"/>
                <w:szCs w:val="20"/>
              </w:rPr>
              <w:t>4</w:t>
            </w:r>
          </w:p>
        </w:tc>
        <w:tc>
          <w:tcPr>
            <w:tcW w:w="262" w:type="pct"/>
          </w:tcPr>
          <w:p w14:paraId="204FFB0C" w14:textId="77777777" w:rsidR="00247AD2" w:rsidRPr="001045FA" w:rsidRDefault="00247AD2" w:rsidP="001045FA">
            <w:pPr>
              <w:pStyle w:val="BodyText"/>
              <w:rPr>
                <w:sz w:val="20"/>
                <w:szCs w:val="20"/>
              </w:rPr>
            </w:pPr>
            <w:r w:rsidRPr="001045FA">
              <w:rPr>
                <w:rStyle w:val="01bodybold"/>
                <w:sz w:val="20"/>
                <w:szCs w:val="20"/>
              </w:rPr>
              <w:t>0</w:t>
            </w:r>
          </w:p>
        </w:tc>
        <w:tc>
          <w:tcPr>
            <w:tcW w:w="262" w:type="pct"/>
          </w:tcPr>
          <w:p w14:paraId="375ED0EE" w14:textId="77777777" w:rsidR="00247AD2" w:rsidRPr="001045FA" w:rsidRDefault="00247AD2" w:rsidP="001045FA">
            <w:pPr>
              <w:pStyle w:val="BodyText"/>
              <w:rPr>
                <w:sz w:val="20"/>
                <w:szCs w:val="20"/>
              </w:rPr>
            </w:pPr>
            <w:r w:rsidRPr="001045FA">
              <w:rPr>
                <w:rStyle w:val="01bodybold"/>
                <w:sz w:val="20"/>
                <w:szCs w:val="20"/>
              </w:rPr>
              <w:t>0</w:t>
            </w:r>
          </w:p>
        </w:tc>
        <w:tc>
          <w:tcPr>
            <w:tcW w:w="263" w:type="pct"/>
          </w:tcPr>
          <w:p w14:paraId="4B820C65" w14:textId="77777777" w:rsidR="00247AD2" w:rsidRPr="001045FA" w:rsidRDefault="00247AD2" w:rsidP="001045FA">
            <w:pPr>
              <w:pStyle w:val="BodyText"/>
              <w:rPr>
                <w:sz w:val="20"/>
                <w:szCs w:val="20"/>
              </w:rPr>
            </w:pPr>
            <w:r w:rsidRPr="001045FA">
              <w:rPr>
                <w:rStyle w:val="01bodybold"/>
                <w:sz w:val="20"/>
                <w:szCs w:val="20"/>
              </w:rPr>
              <w:t>0</w:t>
            </w:r>
          </w:p>
        </w:tc>
        <w:tc>
          <w:tcPr>
            <w:tcW w:w="262" w:type="pct"/>
          </w:tcPr>
          <w:p w14:paraId="57225D40" w14:textId="77777777" w:rsidR="00247AD2" w:rsidRPr="001045FA" w:rsidRDefault="00247AD2" w:rsidP="001045FA">
            <w:pPr>
              <w:pStyle w:val="BodyText"/>
              <w:rPr>
                <w:sz w:val="20"/>
                <w:szCs w:val="20"/>
              </w:rPr>
            </w:pPr>
            <w:r w:rsidRPr="001045FA">
              <w:rPr>
                <w:rStyle w:val="01bodybold"/>
                <w:sz w:val="20"/>
                <w:szCs w:val="20"/>
              </w:rPr>
              <w:t>0</w:t>
            </w:r>
          </w:p>
        </w:tc>
        <w:tc>
          <w:tcPr>
            <w:tcW w:w="262" w:type="pct"/>
          </w:tcPr>
          <w:p w14:paraId="5C6042EE" w14:textId="77777777" w:rsidR="00247AD2" w:rsidRPr="001045FA" w:rsidRDefault="00247AD2" w:rsidP="001045FA">
            <w:pPr>
              <w:pStyle w:val="BodyText"/>
              <w:rPr>
                <w:sz w:val="20"/>
                <w:szCs w:val="20"/>
              </w:rPr>
            </w:pPr>
            <w:r w:rsidRPr="001045FA">
              <w:rPr>
                <w:rStyle w:val="01bodybold"/>
                <w:sz w:val="20"/>
                <w:szCs w:val="20"/>
              </w:rPr>
              <w:t>0</w:t>
            </w:r>
          </w:p>
        </w:tc>
        <w:tc>
          <w:tcPr>
            <w:tcW w:w="263" w:type="pct"/>
          </w:tcPr>
          <w:p w14:paraId="73F486C4" w14:textId="77777777" w:rsidR="00247AD2" w:rsidRPr="001045FA" w:rsidRDefault="00247AD2" w:rsidP="001045FA">
            <w:pPr>
              <w:pStyle w:val="BodyText"/>
              <w:rPr>
                <w:sz w:val="20"/>
                <w:szCs w:val="20"/>
              </w:rPr>
            </w:pPr>
            <w:r w:rsidRPr="001045FA">
              <w:rPr>
                <w:rStyle w:val="01bodybold"/>
                <w:sz w:val="20"/>
                <w:szCs w:val="20"/>
              </w:rPr>
              <w:t>0</w:t>
            </w:r>
          </w:p>
        </w:tc>
        <w:tc>
          <w:tcPr>
            <w:tcW w:w="312" w:type="pct"/>
          </w:tcPr>
          <w:p w14:paraId="06E2F309" w14:textId="77777777" w:rsidR="00247AD2" w:rsidRPr="001045FA" w:rsidRDefault="00247AD2" w:rsidP="001045FA">
            <w:pPr>
              <w:pStyle w:val="BodyText"/>
              <w:rPr>
                <w:sz w:val="20"/>
                <w:szCs w:val="20"/>
              </w:rPr>
            </w:pPr>
            <w:r w:rsidRPr="001045FA">
              <w:rPr>
                <w:rStyle w:val="01bodybold"/>
                <w:sz w:val="20"/>
                <w:szCs w:val="20"/>
              </w:rPr>
              <w:t xml:space="preserve">437 </w:t>
            </w:r>
          </w:p>
        </w:tc>
      </w:tr>
    </w:tbl>
    <w:p w14:paraId="2D25E126" w14:textId="7396C9EF" w:rsidR="00247AD2" w:rsidRDefault="001D2CCD" w:rsidP="001D2CCD">
      <w:pPr>
        <w:pStyle w:val="ProductCode"/>
      </w:pPr>
      <w:r w:rsidRPr="001D2CCD">
        <w:rPr>
          <w:rFonts w:ascii="Roboto-Regular" w:eastAsiaTheme="minorEastAsia" w:hAnsi="Roboto-Regular" w:cs="Roboto-Regular"/>
          <w:color w:val="000000"/>
          <w:sz w:val="16"/>
          <w:szCs w:val="16"/>
          <w:lang w:val="en-GB" w:eastAsia="en-AU"/>
          <w14:ligatures w14:val="standardContextual"/>
        </w:rPr>
        <w:t>(a</w:t>
      </w:r>
      <w:r>
        <w:t xml:space="preserve">) </w:t>
      </w:r>
      <w:r w:rsidR="00247AD2">
        <w:t xml:space="preserve">Non-ongoing employees include irregular/intermittent staff. </w:t>
      </w:r>
    </w:p>
    <w:p w14:paraId="213B46EC" w14:textId="1365DA0A" w:rsidR="00247AD2" w:rsidRPr="001D2CCD" w:rsidRDefault="001D2CCD" w:rsidP="001D2CCD">
      <w:pPr>
        <w:pStyle w:val="BodyText"/>
        <w:rPr>
          <w:b/>
          <w:bCs/>
        </w:rPr>
      </w:pPr>
      <w:r w:rsidRPr="001D2CCD">
        <w:rPr>
          <w:b/>
          <w:bCs/>
        </w:rPr>
        <w:t>Table 69:</w:t>
      </w:r>
      <w:r w:rsidR="00247AD2" w:rsidRPr="001D2CCD">
        <w:rPr>
          <w:b/>
          <w:bCs/>
        </w:rPr>
        <w:t xml:space="preserve"> Australian Public Service Act non-ongoing employees 2023–24</w:t>
      </w:r>
      <w:r w:rsidR="00247AD2" w:rsidRPr="001D2CCD">
        <w:rPr>
          <w:b/>
          <w:bCs/>
          <w:vertAlign w:val="superscript"/>
        </w:rPr>
        <w:t>(a)</w:t>
      </w:r>
      <w:r w:rsidR="00247AD2" w:rsidRPr="001D2CCD">
        <w:rPr>
          <w:b/>
          <w:bCs/>
        </w:rPr>
        <w:t xml:space="preserve"> (as at 30 June 2024)</w:t>
      </w:r>
    </w:p>
    <w:tbl>
      <w:tblPr>
        <w:tblStyle w:val="TableGrid"/>
        <w:tblW w:w="5000" w:type="pct"/>
        <w:tblLook w:val="04A0" w:firstRow="1" w:lastRow="0" w:firstColumn="1" w:lastColumn="0" w:noHBand="0" w:noVBand="1"/>
        <w:tblCaption w:val="Australian Public Service Act non-ongoing employees 2023–24(a) (as at 30 June 2024)"/>
      </w:tblPr>
      <w:tblGrid>
        <w:gridCol w:w="1300"/>
        <w:gridCol w:w="586"/>
        <w:gridCol w:w="615"/>
        <w:gridCol w:w="634"/>
        <w:gridCol w:w="585"/>
        <w:gridCol w:w="614"/>
        <w:gridCol w:w="633"/>
        <w:gridCol w:w="585"/>
        <w:gridCol w:w="614"/>
        <w:gridCol w:w="633"/>
        <w:gridCol w:w="585"/>
        <w:gridCol w:w="614"/>
        <w:gridCol w:w="633"/>
        <w:gridCol w:w="585"/>
        <w:gridCol w:w="614"/>
        <w:gridCol w:w="633"/>
        <w:gridCol w:w="633"/>
      </w:tblGrid>
      <w:tr w:rsidR="00247AD2" w:rsidRPr="001045FA" w14:paraId="766F8CA7" w14:textId="77777777" w:rsidTr="001045FA">
        <w:trPr>
          <w:trHeight w:val="369"/>
          <w:tblHeader/>
        </w:trPr>
        <w:tc>
          <w:tcPr>
            <w:tcW w:w="550" w:type="pct"/>
          </w:tcPr>
          <w:p w14:paraId="7A1C9696" w14:textId="77777777" w:rsidR="00247AD2" w:rsidRPr="001045FA" w:rsidRDefault="00247AD2" w:rsidP="001045FA">
            <w:pPr>
              <w:pStyle w:val="BodyText"/>
              <w:rPr>
                <w:sz w:val="20"/>
                <w:szCs w:val="20"/>
              </w:rPr>
            </w:pPr>
          </w:p>
        </w:tc>
        <w:tc>
          <w:tcPr>
            <w:tcW w:w="850" w:type="pct"/>
            <w:gridSpan w:val="3"/>
          </w:tcPr>
          <w:p w14:paraId="35C9E3F1" w14:textId="77777777" w:rsidR="00247AD2" w:rsidRPr="001045FA" w:rsidRDefault="00247AD2" w:rsidP="001045FA">
            <w:pPr>
              <w:pStyle w:val="BodyText"/>
              <w:rPr>
                <w:b/>
                <w:bCs/>
                <w:sz w:val="20"/>
                <w:szCs w:val="20"/>
              </w:rPr>
            </w:pPr>
            <w:r w:rsidRPr="001045FA">
              <w:rPr>
                <w:b/>
                <w:bCs/>
                <w:sz w:val="20"/>
                <w:szCs w:val="20"/>
              </w:rPr>
              <w:t>Man/male</w:t>
            </w:r>
          </w:p>
        </w:tc>
        <w:tc>
          <w:tcPr>
            <w:tcW w:w="912" w:type="pct"/>
            <w:gridSpan w:val="3"/>
          </w:tcPr>
          <w:p w14:paraId="1D3A5A50" w14:textId="77777777" w:rsidR="00247AD2" w:rsidRPr="001045FA" w:rsidRDefault="00247AD2" w:rsidP="001045FA">
            <w:pPr>
              <w:pStyle w:val="BodyText"/>
              <w:rPr>
                <w:b/>
                <w:bCs/>
                <w:sz w:val="20"/>
                <w:szCs w:val="20"/>
              </w:rPr>
            </w:pPr>
            <w:r w:rsidRPr="001045FA">
              <w:rPr>
                <w:b/>
                <w:bCs/>
                <w:sz w:val="20"/>
                <w:szCs w:val="20"/>
              </w:rPr>
              <w:t>Woman/female</w:t>
            </w:r>
          </w:p>
        </w:tc>
        <w:tc>
          <w:tcPr>
            <w:tcW w:w="802" w:type="pct"/>
            <w:gridSpan w:val="3"/>
          </w:tcPr>
          <w:p w14:paraId="62A766A8" w14:textId="77777777" w:rsidR="00247AD2" w:rsidRPr="001045FA" w:rsidRDefault="00247AD2" w:rsidP="001045FA">
            <w:pPr>
              <w:pStyle w:val="BodyText"/>
              <w:rPr>
                <w:b/>
                <w:bCs/>
                <w:sz w:val="20"/>
                <w:szCs w:val="20"/>
              </w:rPr>
            </w:pPr>
            <w:r w:rsidRPr="001045FA">
              <w:rPr>
                <w:b/>
                <w:bCs/>
                <w:sz w:val="20"/>
                <w:szCs w:val="20"/>
              </w:rPr>
              <w:t>Non-binary</w:t>
            </w:r>
          </w:p>
        </w:tc>
        <w:tc>
          <w:tcPr>
            <w:tcW w:w="787" w:type="pct"/>
            <w:gridSpan w:val="3"/>
          </w:tcPr>
          <w:p w14:paraId="4B1A32B1" w14:textId="77777777" w:rsidR="00247AD2" w:rsidRPr="001045FA" w:rsidRDefault="00247AD2" w:rsidP="001045FA">
            <w:pPr>
              <w:pStyle w:val="BodyText"/>
              <w:rPr>
                <w:b/>
                <w:bCs/>
                <w:sz w:val="20"/>
                <w:szCs w:val="20"/>
              </w:rPr>
            </w:pPr>
            <w:r w:rsidRPr="001045FA">
              <w:rPr>
                <w:b/>
                <w:bCs/>
                <w:sz w:val="20"/>
                <w:szCs w:val="20"/>
              </w:rPr>
              <w:t>Prefers not to answer</w:t>
            </w:r>
          </w:p>
        </w:tc>
        <w:tc>
          <w:tcPr>
            <w:tcW w:w="787" w:type="pct"/>
            <w:gridSpan w:val="3"/>
          </w:tcPr>
          <w:p w14:paraId="47178D36" w14:textId="77777777" w:rsidR="00247AD2" w:rsidRPr="001045FA" w:rsidRDefault="00247AD2" w:rsidP="001045FA">
            <w:pPr>
              <w:pStyle w:val="BodyText"/>
              <w:rPr>
                <w:b/>
                <w:bCs/>
                <w:sz w:val="20"/>
                <w:szCs w:val="20"/>
              </w:rPr>
            </w:pPr>
            <w:r w:rsidRPr="001045FA">
              <w:rPr>
                <w:b/>
                <w:bCs/>
                <w:sz w:val="20"/>
                <w:szCs w:val="20"/>
              </w:rPr>
              <w:t>Uses a different term</w:t>
            </w:r>
          </w:p>
        </w:tc>
        <w:tc>
          <w:tcPr>
            <w:tcW w:w="312" w:type="pct"/>
          </w:tcPr>
          <w:p w14:paraId="6D913372" w14:textId="77777777" w:rsidR="00247AD2" w:rsidRPr="001045FA" w:rsidRDefault="00247AD2" w:rsidP="001045FA">
            <w:pPr>
              <w:pStyle w:val="BodyText"/>
              <w:rPr>
                <w:sz w:val="20"/>
                <w:szCs w:val="20"/>
              </w:rPr>
            </w:pPr>
            <w:r w:rsidRPr="001045FA">
              <w:rPr>
                <w:rStyle w:val="Bold"/>
                <w:sz w:val="20"/>
                <w:szCs w:val="20"/>
              </w:rPr>
              <w:t>Total</w:t>
            </w:r>
          </w:p>
        </w:tc>
      </w:tr>
      <w:tr w:rsidR="006A0585" w:rsidRPr="001045FA" w14:paraId="7772D665" w14:textId="77777777" w:rsidTr="001045FA">
        <w:trPr>
          <w:trHeight w:val="597"/>
          <w:tblHeader/>
        </w:trPr>
        <w:tc>
          <w:tcPr>
            <w:tcW w:w="550" w:type="pct"/>
          </w:tcPr>
          <w:p w14:paraId="3073E6C5" w14:textId="77777777" w:rsidR="00247AD2" w:rsidRPr="001045FA" w:rsidRDefault="00247AD2" w:rsidP="001045FA">
            <w:pPr>
              <w:pStyle w:val="BodyText"/>
              <w:rPr>
                <w:sz w:val="20"/>
                <w:szCs w:val="20"/>
              </w:rPr>
            </w:pPr>
            <w:r w:rsidRPr="001045FA">
              <w:rPr>
                <w:rStyle w:val="Bold"/>
                <w:spacing w:val="-2"/>
                <w:sz w:val="20"/>
                <w:szCs w:val="20"/>
              </w:rPr>
              <w:t>Substantive classification</w:t>
            </w:r>
          </w:p>
        </w:tc>
        <w:tc>
          <w:tcPr>
            <w:tcW w:w="287" w:type="pct"/>
          </w:tcPr>
          <w:p w14:paraId="6968D008" w14:textId="77777777" w:rsidR="00247AD2" w:rsidRPr="001045FA" w:rsidRDefault="00247AD2" w:rsidP="001045FA">
            <w:pPr>
              <w:pStyle w:val="BodyText"/>
              <w:rPr>
                <w:sz w:val="20"/>
                <w:szCs w:val="20"/>
              </w:rPr>
            </w:pPr>
            <w:r w:rsidRPr="001045FA">
              <w:rPr>
                <w:rStyle w:val="Bold"/>
                <w:sz w:val="20"/>
                <w:szCs w:val="20"/>
              </w:rPr>
              <w:t>Full-time</w:t>
            </w:r>
          </w:p>
        </w:tc>
        <w:tc>
          <w:tcPr>
            <w:tcW w:w="275" w:type="pct"/>
          </w:tcPr>
          <w:p w14:paraId="7501B325" w14:textId="77777777" w:rsidR="00247AD2" w:rsidRPr="001045FA" w:rsidRDefault="00247AD2" w:rsidP="001045FA">
            <w:pPr>
              <w:pStyle w:val="BodyText"/>
              <w:rPr>
                <w:sz w:val="20"/>
                <w:szCs w:val="20"/>
              </w:rPr>
            </w:pPr>
            <w:r w:rsidRPr="001045FA">
              <w:rPr>
                <w:rStyle w:val="Bold"/>
                <w:sz w:val="20"/>
                <w:szCs w:val="20"/>
              </w:rPr>
              <w:t>Part-time</w:t>
            </w:r>
          </w:p>
        </w:tc>
        <w:tc>
          <w:tcPr>
            <w:tcW w:w="287" w:type="pct"/>
          </w:tcPr>
          <w:p w14:paraId="5D429663" w14:textId="77777777" w:rsidR="00247AD2" w:rsidRPr="001045FA" w:rsidRDefault="00247AD2" w:rsidP="001045FA">
            <w:pPr>
              <w:pStyle w:val="BodyText"/>
              <w:rPr>
                <w:sz w:val="20"/>
                <w:szCs w:val="20"/>
              </w:rPr>
            </w:pPr>
            <w:r w:rsidRPr="001045FA">
              <w:rPr>
                <w:rStyle w:val="Bold"/>
                <w:sz w:val="20"/>
                <w:szCs w:val="20"/>
              </w:rPr>
              <w:t>Total</w:t>
            </w:r>
          </w:p>
        </w:tc>
        <w:tc>
          <w:tcPr>
            <w:tcW w:w="312" w:type="pct"/>
          </w:tcPr>
          <w:p w14:paraId="5E904F38" w14:textId="77777777" w:rsidR="00247AD2" w:rsidRPr="001045FA" w:rsidRDefault="00247AD2" w:rsidP="001045FA">
            <w:pPr>
              <w:pStyle w:val="BodyText"/>
              <w:rPr>
                <w:sz w:val="20"/>
                <w:szCs w:val="20"/>
              </w:rPr>
            </w:pPr>
            <w:r w:rsidRPr="001045FA">
              <w:rPr>
                <w:rStyle w:val="Bold"/>
                <w:sz w:val="20"/>
                <w:szCs w:val="20"/>
              </w:rPr>
              <w:t>Full-time</w:t>
            </w:r>
          </w:p>
        </w:tc>
        <w:tc>
          <w:tcPr>
            <w:tcW w:w="287" w:type="pct"/>
          </w:tcPr>
          <w:p w14:paraId="613C0FD4" w14:textId="77777777" w:rsidR="00247AD2" w:rsidRPr="001045FA" w:rsidRDefault="00247AD2" w:rsidP="001045FA">
            <w:pPr>
              <w:pStyle w:val="BodyText"/>
              <w:rPr>
                <w:sz w:val="20"/>
                <w:szCs w:val="20"/>
              </w:rPr>
            </w:pPr>
            <w:r w:rsidRPr="001045FA">
              <w:rPr>
                <w:rStyle w:val="Bold"/>
                <w:sz w:val="20"/>
                <w:szCs w:val="20"/>
              </w:rPr>
              <w:t>Part-time</w:t>
            </w:r>
          </w:p>
        </w:tc>
        <w:tc>
          <w:tcPr>
            <w:tcW w:w="313" w:type="pct"/>
          </w:tcPr>
          <w:p w14:paraId="583814DA" w14:textId="77777777" w:rsidR="00247AD2" w:rsidRPr="001045FA" w:rsidRDefault="00247AD2" w:rsidP="001045FA">
            <w:pPr>
              <w:pStyle w:val="BodyText"/>
              <w:rPr>
                <w:sz w:val="20"/>
                <w:szCs w:val="20"/>
              </w:rPr>
            </w:pPr>
            <w:r w:rsidRPr="001045FA">
              <w:rPr>
                <w:rStyle w:val="Bold"/>
                <w:sz w:val="20"/>
                <w:szCs w:val="20"/>
              </w:rPr>
              <w:t>Total</w:t>
            </w:r>
          </w:p>
        </w:tc>
        <w:tc>
          <w:tcPr>
            <w:tcW w:w="268" w:type="pct"/>
          </w:tcPr>
          <w:p w14:paraId="7A84CB0E" w14:textId="77777777" w:rsidR="00247AD2" w:rsidRPr="001045FA" w:rsidRDefault="00247AD2" w:rsidP="001045FA">
            <w:pPr>
              <w:pStyle w:val="BodyText"/>
              <w:rPr>
                <w:sz w:val="20"/>
                <w:szCs w:val="20"/>
              </w:rPr>
            </w:pPr>
            <w:r w:rsidRPr="001045FA">
              <w:rPr>
                <w:rStyle w:val="Bold"/>
                <w:sz w:val="20"/>
                <w:szCs w:val="20"/>
              </w:rPr>
              <w:t>Full-time</w:t>
            </w:r>
          </w:p>
        </w:tc>
        <w:tc>
          <w:tcPr>
            <w:tcW w:w="267" w:type="pct"/>
          </w:tcPr>
          <w:p w14:paraId="536ECC73" w14:textId="77777777" w:rsidR="00247AD2" w:rsidRPr="001045FA" w:rsidRDefault="00247AD2" w:rsidP="001045FA">
            <w:pPr>
              <w:pStyle w:val="BodyText"/>
              <w:rPr>
                <w:sz w:val="20"/>
                <w:szCs w:val="20"/>
              </w:rPr>
            </w:pPr>
            <w:r w:rsidRPr="001045FA">
              <w:rPr>
                <w:rStyle w:val="Bold"/>
                <w:sz w:val="20"/>
                <w:szCs w:val="20"/>
              </w:rPr>
              <w:t>Part-time</w:t>
            </w:r>
          </w:p>
        </w:tc>
        <w:tc>
          <w:tcPr>
            <w:tcW w:w="268" w:type="pct"/>
          </w:tcPr>
          <w:p w14:paraId="5CA63510" w14:textId="77777777" w:rsidR="00247AD2" w:rsidRPr="001045FA" w:rsidRDefault="00247AD2" w:rsidP="001045FA">
            <w:pPr>
              <w:pStyle w:val="BodyText"/>
              <w:rPr>
                <w:sz w:val="20"/>
                <w:szCs w:val="20"/>
              </w:rPr>
            </w:pPr>
            <w:r w:rsidRPr="001045FA">
              <w:rPr>
                <w:rStyle w:val="Bold"/>
                <w:sz w:val="20"/>
                <w:szCs w:val="20"/>
              </w:rPr>
              <w:t>Total</w:t>
            </w:r>
          </w:p>
        </w:tc>
        <w:tc>
          <w:tcPr>
            <w:tcW w:w="262" w:type="pct"/>
          </w:tcPr>
          <w:p w14:paraId="6F4E861E" w14:textId="77777777" w:rsidR="00247AD2" w:rsidRPr="001045FA" w:rsidRDefault="00247AD2" w:rsidP="001045FA">
            <w:pPr>
              <w:pStyle w:val="BodyText"/>
              <w:rPr>
                <w:sz w:val="20"/>
                <w:szCs w:val="20"/>
              </w:rPr>
            </w:pPr>
            <w:r w:rsidRPr="001045FA">
              <w:rPr>
                <w:rStyle w:val="Bold"/>
                <w:sz w:val="20"/>
                <w:szCs w:val="20"/>
              </w:rPr>
              <w:t>Full-time</w:t>
            </w:r>
          </w:p>
        </w:tc>
        <w:tc>
          <w:tcPr>
            <w:tcW w:w="262" w:type="pct"/>
          </w:tcPr>
          <w:p w14:paraId="327C2EE6" w14:textId="77777777" w:rsidR="00247AD2" w:rsidRPr="001045FA" w:rsidRDefault="00247AD2" w:rsidP="001045FA">
            <w:pPr>
              <w:pStyle w:val="BodyText"/>
              <w:rPr>
                <w:sz w:val="20"/>
                <w:szCs w:val="20"/>
              </w:rPr>
            </w:pPr>
            <w:r w:rsidRPr="001045FA">
              <w:rPr>
                <w:rStyle w:val="Bold"/>
                <w:sz w:val="20"/>
                <w:szCs w:val="20"/>
              </w:rPr>
              <w:t>Part-time</w:t>
            </w:r>
          </w:p>
        </w:tc>
        <w:tc>
          <w:tcPr>
            <w:tcW w:w="263" w:type="pct"/>
          </w:tcPr>
          <w:p w14:paraId="61200D16" w14:textId="77777777" w:rsidR="00247AD2" w:rsidRPr="001045FA" w:rsidRDefault="00247AD2" w:rsidP="001045FA">
            <w:pPr>
              <w:pStyle w:val="BodyText"/>
              <w:rPr>
                <w:sz w:val="20"/>
                <w:szCs w:val="20"/>
              </w:rPr>
            </w:pPr>
            <w:r w:rsidRPr="001045FA">
              <w:rPr>
                <w:rStyle w:val="Bold"/>
                <w:sz w:val="20"/>
                <w:szCs w:val="20"/>
              </w:rPr>
              <w:t>Total</w:t>
            </w:r>
          </w:p>
        </w:tc>
        <w:tc>
          <w:tcPr>
            <w:tcW w:w="262" w:type="pct"/>
          </w:tcPr>
          <w:p w14:paraId="25A2F589" w14:textId="77777777" w:rsidR="00247AD2" w:rsidRPr="001045FA" w:rsidRDefault="00247AD2" w:rsidP="001045FA">
            <w:pPr>
              <w:pStyle w:val="BodyText"/>
              <w:rPr>
                <w:sz w:val="20"/>
                <w:szCs w:val="20"/>
              </w:rPr>
            </w:pPr>
            <w:r w:rsidRPr="001045FA">
              <w:rPr>
                <w:rStyle w:val="Bold"/>
                <w:sz w:val="20"/>
                <w:szCs w:val="20"/>
              </w:rPr>
              <w:t>Full-time</w:t>
            </w:r>
          </w:p>
        </w:tc>
        <w:tc>
          <w:tcPr>
            <w:tcW w:w="262" w:type="pct"/>
          </w:tcPr>
          <w:p w14:paraId="77B25BDD" w14:textId="77777777" w:rsidR="00247AD2" w:rsidRPr="001045FA" w:rsidRDefault="00247AD2" w:rsidP="001045FA">
            <w:pPr>
              <w:pStyle w:val="BodyText"/>
              <w:rPr>
                <w:sz w:val="20"/>
                <w:szCs w:val="20"/>
              </w:rPr>
            </w:pPr>
            <w:r w:rsidRPr="001045FA">
              <w:rPr>
                <w:rStyle w:val="Bold"/>
                <w:sz w:val="20"/>
                <w:szCs w:val="20"/>
              </w:rPr>
              <w:t>Part-time</w:t>
            </w:r>
          </w:p>
        </w:tc>
        <w:tc>
          <w:tcPr>
            <w:tcW w:w="263" w:type="pct"/>
          </w:tcPr>
          <w:p w14:paraId="107B17FC" w14:textId="77777777" w:rsidR="00247AD2" w:rsidRPr="001045FA" w:rsidRDefault="00247AD2" w:rsidP="001045FA">
            <w:pPr>
              <w:pStyle w:val="BodyText"/>
              <w:rPr>
                <w:sz w:val="20"/>
                <w:szCs w:val="20"/>
              </w:rPr>
            </w:pPr>
            <w:r w:rsidRPr="001045FA">
              <w:rPr>
                <w:rStyle w:val="Bold"/>
                <w:sz w:val="20"/>
                <w:szCs w:val="20"/>
              </w:rPr>
              <w:t>Total</w:t>
            </w:r>
          </w:p>
        </w:tc>
        <w:tc>
          <w:tcPr>
            <w:tcW w:w="312" w:type="pct"/>
          </w:tcPr>
          <w:p w14:paraId="5D53EB32" w14:textId="77777777" w:rsidR="00247AD2" w:rsidRPr="001045FA" w:rsidRDefault="00247AD2" w:rsidP="001045FA">
            <w:pPr>
              <w:pStyle w:val="BodyText"/>
              <w:rPr>
                <w:sz w:val="20"/>
                <w:szCs w:val="20"/>
              </w:rPr>
            </w:pPr>
          </w:p>
        </w:tc>
      </w:tr>
      <w:tr w:rsidR="006A0585" w:rsidRPr="001045FA" w14:paraId="2C1A71F5" w14:textId="77777777" w:rsidTr="006A0585">
        <w:trPr>
          <w:trHeight w:val="396"/>
        </w:trPr>
        <w:tc>
          <w:tcPr>
            <w:tcW w:w="550" w:type="pct"/>
          </w:tcPr>
          <w:p w14:paraId="0B97DCDA" w14:textId="77777777" w:rsidR="00247AD2" w:rsidRPr="001045FA" w:rsidRDefault="00247AD2" w:rsidP="001045FA">
            <w:pPr>
              <w:pStyle w:val="BodyText"/>
              <w:rPr>
                <w:sz w:val="20"/>
                <w:szCs w:val="20"/>
              </w:rPr>
            </w:pPr>
            <w:r w:rsidRPr="001045FA">
              <w:rPr>
                <w:sz w:val="20"/>
                <w:szCs w:val="20"/>
              </w:rPr>
              <w:t>SES3</w:t>
            </w:r>
          </w:p>
        </w:tc>
        <w:tc>
          <w:tcPr>
            <w:tcW w:w="287" w:type="pct"/>
          </w:tcPr>
          <w:p w14:paraId="5C0049EC" w14:textId="77777777" w:rsidR="00247AD2" w:rsidRPr="001045FA" w:rsidRDefault="00247AD2" w:rsidP="001045FA">
            <w:pPr>
              <w:pStyle w:val="BodyText"/>
              <w:rPr>
                <w:sz w:val="20"/>
                <w:szCs w:val="20"/>
              </w:rPr>
            </w:pPr>
            <w:r w:rsidRPr="001045FA">
              <w:rPr>
                <w:sz w:val="20"/>
                <w:szCs w:val="20"/>
              </w:rPr>
              <w:t>0</w:t>
            </w:r>
          </w:p>
        </w:tc>
        <w:tc>
          <w:tcPr>
            <w:tcW w:w="275" w:type="pct"/>
          </w:tcPr>
          <w:p w14:paraId="1220BB74" w14:textId="77777777" w:rsidR="00247AD2" w:rsidRPr="001045FA" w:rsidRDefault="00247AD2" w:rsidP="001045FA">
            <w:pPr>
              <w:pStyle w:val="BodyText"/>
              <w:rPr>
                <w:sz w:val="20"/>
                <w:szCs w:val="20"/>
              </w:rPr>
            </w:pPr>
            <w:r w:rsidRPr="001045FA">
              <w:rPr>
                <w:sz w:val="20"/>
                <w:szCs w:val="20"/>
              </w:rPr>
              <w:t>0</w:t>
            </w:r>
          </w:p>
        </w:tc>
        <w:tc>
          <w:tcPr>
            <w:tcW w:w="287" w:type="pct"/>
          </w:tcPr>
          <w:p w14:paraId="0CC40704" w14:textId="77777777" w:rsidR="00247AD2" w:rsidRPr="001045FA" w:rsidRDefault="00247AD2" w:rsidP="001045FA">
            <w:pPr>
              <w:pStyle w:val="BodyText"/>
              <w:rPr>
                <w:sz w:val="20"/>
                <w:szCs w:val="20"/>
              </w:rPr>
            </w:pPr>
            <w:r w:rsidRPr="001045FA">
              <w:rPr>
                <w:sz w:val="20"/>
                <w:szCs w:val="20"/>
              </w:rPr>
              <w:t>0</w:t>
            </w:r>
          </w:p>
        </w:tc>
        <w:tc>
          <w:tcPr>
            <w:tcW w:w="312" w:type="pct"/>
          </w:tcPr>
          <w:p w14:paraId="574DEEEE" w14:textId="77777777" w:rsidR="00247AD2" w:rsidRPr="001045FA" w:rsidRDefault="00247AD2" w:rsidP="001045FA">
            <w:pPr>
              <w:pStyle w:val="BodyText"/>
              <w:rPr>
                <w:sz w:val="20"/>
                <w:szCs w:val="20"/>
              </w:rPr>
            </w:pPr>
            <w:r w:rsidRPr="001045FA">
              <w:rPr>
                <w:sz w:val="20"/>
                <w:szCs w:val="20"/>
              </w:rPr>
              <w:t>0</w:t>
            </w:r>
          </w:p>
        </w:tc>
        <w:tc>
          <w:tcPr>
            <w:tcW w:w="287" w:type="pct"/>
          </w:tcPr>
          <w:p w14:paraId="63D40F6E" w14:textId="77777777" w:rsidR="00247AD2" w:rsidRPr="001045FA" w:rsidRDefault="00247AD2" w:rsidP="001045FA">
            <w:pPr>
              <w:pStyle w:val="BodyText"/>
              <w:rPr>
                <w:sz w:val="20"/>
                <w:szCs w:val="20"/>
              </w:rPr>
            </w:pPr>
            <w:r w:rsidRPr="001045FA">
              <w:rPr>
                <w:sz w:val="20"/>
                <w:szCs w:val="20"/>
              </w:rPr>
              <w:t>0</w:t>
            </w:r>
          </w:p>
        </w:tc>
        <w:tc>
          <w:tcPr>
            <w:tcW w:w="313" w:type="pct"/>
          </w:tcPr>
          <w:p w14:paraId="5960C92C" w14:textId="77777777" w:rsidR="00247AD2" w:rsidRPr="001045FA" w:rsidRDefault="00247AD2" w:rsidP="001045FA">
            <w:pPr>
              <w:pStyle w:val="BodyText"/>
              <w:rPr>
                <w:sz w:val="20"/>
                <w:szCs w:val="20"/>
              </w:rPr>
            </w:pPr>
            <w:r w:rsidRPr="001045FA">
              <w:rPr>
                <w:sz w:val="20"/>
                <w:szCs w:val="20"/>
              </w:rPr>
              <w:t>0</w:t>
            </w:r>
          </w:p>
        </w:tc>
        <w:tc>
          <w:tcPr>
            <w:tcW w:w="268" w:type="pct"/>
          </w:tcPr>
          <w:p w14:paraId="7112917F" w14:textId="77777777" w:rsidR="00247AD2" w:rsidRPr="001045FA" w:rsidRDefault="00247AD2" w:rsidP="001045FA">
            <w:pPr>
              <w:pStyle w:val="BodyText"/>
              <w:rPr>
                <w:sz w:val="20"/>
                <w:szCs w:val="20"/>
              </w:rPr>
            </w:pPr>
            <w:r w:rsidRPr="001045FA">
              <w:rPr>
                <w:sz w:val="20"/>
                <w:szCs w:val="20"/>
              </w:rPr>
              <w:t>0</w:t>
            </w:r>
          </w:p>
        </w:tc>
        <w:tc>
          <w:tcPr>
            <w:tcW w:w="267" w:type="pct"/>
          </w:tcPr>
          <w:p w14:paraId="7064A048" w14:textId="77777777" w:rsidR="00247AD2" w:rsidRPr="001045FA" w:rsidRDefault="00247AD2" w:rsidP="001045FA">
            <w:pPr>
              <w:pStyle w:val="BodyText"/>
              <w:rPr>
                <w:sz w:val="20"/>
                <w:szCs w:val="20"/>
              </w:rPr>
            </w:pPr>
            <w:r w:rsidRPr="001045FA">
              <w:rPr>
                <w:sz w:val="20"/>
                <w:szCs w:val="20"/>
              </w:rPr>
              <w:t>0</w:t>
            </w:r>
          </w:p>
        </w:tc>
        <w:tc>
          <w:tcPr>
            <w:tcW w:w="268" w:type="pct"/>
          </w:tcPr>
          <w:p w14:paraId="5F65E0C4" w14:textId="77777777" w:rsidR="00247AD2" w:rsidRPr="001045FA" w:rsidRDefault="00247AD2" w:rsidP="001045FA">
            <w:pPr>
              <w:pStyle w:val="BodyText"/>
              <w:rPr>
                <w:sz w:val="20"/>
                <w:szCs w:val="20"/>
              </w:rPr>
            </w:pPr>
            <w:r w:rsidRPr="001045FA">
              <w:rPr>
                <w:sz w:val="20"/>
                <w:szCs w:val="20"/>
              </w:rPr>
              <w:t>0</w:t>
            </w:r>
          </w:p>
        </w:tc>
        <w:tc>
          <w:tcPr>
            <w:tcW w:w="262" w:type="pct"/>
          </w:tcPr>
          <w:p w14:paraId="626CADB8" w14:textId="77777777" w:rsidR="00247AD2" w:rsidRPr="001045FA" w:rsidRDefault="00247AD2" w:rsidP="001045FA">
            <w:pPr>
              <w:pStyle w:val="BodyText"/>
              <w:rPr>
                <w:sz w:val="20"/>
                <w:szCs w:val="20"/>
              </w:rPr>
            </w:pPr>
            <w:r w:rsidRPr="001045FA">
              <w:rPr>
                <w:sz w:val="20"/>
                <w:szCs w:val="20"/>
              </w:rPr>
              <w:t>0</w:t>
            </w:r>
          </w:p>
        </w:tc>
        <w:tc>
          <w:tcPr>
            <w:tcW w:w="262" w:type="pct"/>
          </w:tcPr>
          <w:p w14:paraId="7E5168F8" w14:textId="77777777" w:rsidR="00247AD2" w:rsidRPr="001045FA" w:rsidRDefault="00247AD2" w:rsidP="001045FA">
            <w:pPr>
              <w:pStyle w:val="BodyText"/>
              <w:rPr>
                <w:sz w:val="20"/>
                <w:szCs w:val="20"/>
              </w:rPr>
            </w:pPr>
            <w:r w:rsidRPr="001045FA">
              <w:rPr>
                <w:sz w:val="20"/>
                <w:szCs w:val="20"/>
              </w:rPr>
              <w:t>0</w:t>
            </w:r>
          </w:p>
        </w:tc>
        <w:tc>
          <w:tcPr>
            <w:tcW w:w="263" w:type="pct"/>
          </w:tcPr>
          <w:p w14:paraId="1434FF56" w14:textId="77777777" w:rsidR="00247AD2" w:rsidRPr="001045FA" w:rsidRDefault="00247AD2" w:rsidP="001045FA">
            <w:pPr>
              <w:pStyle w:val="BodyText"/>
              <w:rPr>
                <w:sz w:val="20"/>
                <w:szCs w:val="20"/>
              </w:rPr>
            </w:pPr>
            <w:r w:rsidRPr="001045FA">
              <w:rPr>
                <w:sz w:val="20"/>
                <w:szCs w:val="20"/>
              </w:rPr>
              <w:t>0</w:t>
            </w:r>
          </w:p>
        </w:tc>
        <w:tc>
          <w:tcPr>
            <w:tcW w:w="262" w:type="pct"/>
          </w:tcPr>
          <w:p w14:paraId="503448DA" w14:textId="77777777" w:rsidR="00247AD2" w:rsidRPr="001045FA" w:rsidRDefault="00247AD2" w:rsidP="001045FA">
            <w:pPr>
              <w:pStyle w:val="BodyText"/>
              <w:rPr>
                <w:sz w:val="20"/>
                <w:szCs w:val="20"/>
              </w:rPr>
            </w:pPr>
            <w:r w:rsidRPr="001045FA">
              <w:rPr>
                <w:sz w:val="20"/>
                <w:szCs w:val="20"/>
              </w:rPr>
              <w:t>0</w:t>
            </w:r>
          </w:p>
        </w:tc>
        <w:tc>
          <w:tcPr>
            <w:tcW w:w="262" w:type="pct"/>
          </w:tcPr>
          <w:p w14:paraId="00DBBF65" w14:textId="77777777" w:rsidR="00247AD2" w:rsidRPr="001045FA" w:rsidRDefault="00247AD2" w:rsidP="001045FA">
            <w:pPr>
              <w:pStyle w:val="BodyText"/>
              <w:rPr>
                <w:sz w:val="20"/>
                <w:szCs w:val="20"/>
              </w:rPr>
            </w:pPr>
            <w:r w:rsidRPr="001045FA">
              <w:rPr>
                <w:sz w:val="20"/>
                <w:szCs w:val="20"/>
              </w:rPr>
              <w:t>0</w:t>
            </w:r>
          </w:p>
        </w:tc>
        <w:tc>
          <w:tcPr>
            <w:tcW w:w="263" w:type="pct"/>
          </w:tcPr>
          <w:p w14:paraId="094A4443" w14:textId="77777777" w:rsidR="00247AD2" w:rsidRPr="001045FA" w:rsidRDefault="00247AD2" w:rsidP="001045FA">
            <w:pPr>
              <w:pStyle w:val="BodyText"/>
              <w:rPr>
                <w:sz w:val="20"/>
                <w:szCs w:val="20"/>
              </w:rPr>
            </w:pPr>
            <w:r w:rsidRPr="001045FA">
              <w:rPr>
                <w:sz w:val="20"/>
                <w:szCs w:val="20"/>
              </w:rPr>
              <w:t>0</w:t>
            </w:r>
          </w:p>
        </w:tc>
        <w:tc>
          <w:tcPr>
            <w:tcW w:w="312" w:type="pct"/>
          </w:tcPr>
          <w:p w14:paraId="01296528" w14:textId="77777777" w:rsidR="00247AD2" w:rsidRPr="001045FA" w:rsidRDefault="00247AD2" w:rsidP="001045FA">
            <w:pPr>
              <w:pStyle w:val="BodyText"/>
              <w:rPr>
                <w:sz w:val="20"/>
                <w:szCs w:val="20"/>
              </w:rPr>
            </w:pPr>
            <w:r w:rsidRPr="001045FA">
              <w:rPr>
                <w:rStyle w:val="01bodybold"/>
                <w:sz w:val="20"/>
                <w:szCs w:val="20"/>
              </w:rPr>
              <w:t>0</w:t>
            </w:r>
          </w:p>
        </w:tc>
      </w:tr>
      <w:tr w:rsidR="006A0585" w:rsidRPr="001045FA" w14:paraId="7591C45E" w14:textId="77777777" w:rsidTr="006A0585">
        <w:trPr>
          <w:trHeight w:val="396"/>
        </w:trPr>
        <w:tc>
          <w:tcPr>
            <w:tcW w:w="550" w:type="pct"/>
          </w:tcPr>
          <w:p w14:paraId="0D928B9A" w14:textId="77777777" w:rsidR="00247AD2" w:rsidRPr="001045FA" w:rsidRDefault="00247AD2" w:rsidP="001045FA">
            <w:pPr>
              <w:pStyle w:val="BodyText"/>
              <w:rPr>
                <w:sz w:val="20"/>
                <w:szCs w:val="20"/>
              </w:rPr>
            </w:pPr>
            <w:r w:rsidRPr="001045FA">
              <w:rPr>
                <w:sz w:val="20"/>
                <w:szCs w:val="20"/>
              </w:rPr>
              <w:t>SES2</w:t>
            </w:r>
          </w:p>
        </w:tc>
        <w:tc>
          <w:tcPr>
            <w:tcW w:w="287" w:type="pct"/>
          </w:tcPr>
          <w:p w14:paraId="4A025422" w14:textId="77777777" w:rsidR="00247AD2" w:rsidRPr="001045FA" w:rsidRDefault="00247AD2" w:rsidP="001045FA">
            <w:pPr>
              <w:pStyle w:val="BodyText"/>
              <w:rPr>
                <w:sz w:val="20"/>
                <w:szCs w:val="20"/>
              </w:rPr>
            </w:pPr>
            <w:r w:rsidRPr="001045FA">
              <w:rPr>
                <w:sz w:val="20"/>
                <w:szCs w:val="20"/>
              </w:rPr>
              <w:t>0</w:t>
            </w:r>
          </w:p>
        </w:tc>
        <w:tc>
          <w:tcPr>
            <w:tcW w:w="275" w:type="pct"/>
          </w:tcPr>
          <w:p w14:paraId="5662773D" w14:textId="77777777" w:rsidR="00247AD2" w:rsidRPr="001045FA" w:rsidRDefault="00247AD2" w:rsidP="001045FA">
            <w:pPr>
              <w:pStyle w:val="BodyText"/>
              <w:rPr>
                <w:sz w:val="20"/>
                <w:szCs w:val="20"/>
              </w:rPr>
            </w:pPr>
            <w:r w:rsidRPr="001045FA">
              <w:rPr>
                <w:sz w:val="20"/>
                <w:szCs w:val="20"/>
              </w:rPr>
              <w:t>0</w:t>
            </w:r>
          </w:p>
        </w:tc>
        <w:tc>
          <w:tcPr>
            <w:tcW w:w="287" w:type="pct"/>
          </w:tcPr>
          <w:p w14:paraId="1A8545AA" w14:textId="77777777" w:rsidR="00247AD2" w:rsidRPr="001045FA" w:rsidRDefault="00247AD2" w:rsidP="001045FA">
            <w:pPr>
              <w:pStyle w:val="BodyText"/>
              <w:rPr>
                <w:sz w:val="20"/>
                <w:szCs w:val="20"/>
              </w:rPr>
            </w:pPr>
            <w:r w:rsidRPr="001045FA">
              <w:rPr>
                <w:sz w:val="20"/>
                <w:szCs w:val="20"/>
              </w:rPr>
              <w:t>0</w:t>
            </w:r>
          </w:p>
        </w:tc>
        <w:tc>
          <w:tcPr>
            <w:tcW w:w="312" w:type="pct"/>
          </w:tcPr>
          <w:p w14:paraId="05CE50D2" w14:textId="77777777" w:rsidR="00247AD2" w:rsidRPr="001045FA" w:rsidRDefault="00247AD2" w:rsidP="001045FA">
            <w:pPr>
              <w:pStyle w:val="BodyText"/>
              <w:rPr>
                <w:sz w:val="20"/>
                <w:szCs w:val="20"/>
              </w:rPr>
            </w:pPr>
            <w:r w:rsidRPr="001045FA">
              <w:rPr>
                <w:sz w:val="20"/>
                <w:szCs w:val="20"/>
              </w:rPr>
              <w:t>0</w:t>
            </w:r>
          </w:p>
        </w:tc>
        <w:tc>
          <w:tcPr>
            <w:tcW w:w="287" w:type="pct"/>
          </w:tcPr>
          <w:p w14:paraId="56FF3565" w14:textId="77777777" w:rsidR="00247AD2" w:rsidRPr="001045FA" w:rsidRDefault="00247AD2" w:rsidP="001045FA">
            <w:pPr>
              <w:pStyle w:val="BodyText"/>
              <w:rPr>
                <w:sz w:val="20"/>
                <w:szCs w:val="20"/>
              </w:rPr>
            </w:pPr>
            <w:r w:rsidRPr="001045FA">
              <w:rPr>
                <w:sz w:val="20"/>
                <w:szCs w:val="20"/>
              </w:rPr>
              <w:t>0</w:t>
            </w:r>
          </w:p>
        </w:tc>
        <w:tc>
          <w:tcPr>
            <w:tcW w:w="313" w:type="pct"/>
          </w:tcPr>
          <w:p w14:paraId="17B04ADF" w14:textId="77777777" w:rsidR="00247AD2" w:rsidRPr="001045FA" w:rsidRDefault="00247AD2" w:rsidP="001045FA">
            <w:pPr>
              <w:pStyle w:val="BodyText"/>
              <w:rPr>
                <w:sz w:val="20"/>
                <w:szCs w:val="20"/>
              </w:rPr>
            </w:pPr>
            <w:r w:rsidRPr="001045FA">
              <w:rPr>
                <w:sz w:val="20"/>
                <w:szCs w:val="20"/>
              </w:rPr>
              <w:t>0</w:t>
            </w:r>
          </w:p>
        </w:tc>
        <w:tc>
          <w:tcPr>
            <w:tcW w:w="268" w:type="pct"/>
          </w:tcPr>
          <w:p w14:paraId="6135050E" w14:textId="77777777" w:rsidR="00247AD2" w:rsidRPr="001045FA" w:rsidRDefault="00247AD2" w:rsidP="001045FA">
            <w:pPr>
              <w:pStyle w:val="BodyText"/>
              <w:rPr>
                <w:sz w:val="20"/>
                <w:szCs w:val="20"/>
              </w:rPr>
            </w:pPr>
            <w:r w:rsidRPr="001045FA">
              <w:rPr>
                <w:sz w:val="20"/>
                <w:szCs w:val="20"/>
              </w:rPr>
              <w:t>0</w:t>
            </w:r>
          </w:p>
        </w:tc>
        <w:tc>
          <w:tcPr>
            <w:tcW w:w="267" w:type="pct"/>
          </w:tcPr>
          <w:p w14:paraId="4A0FE531" w14:textId="77777777" w:rsidR="00247AD2" w:rsidRPr="001045FA" w:rsidRDefault="00247AD2" w:rsidP="001045FA">
            <w:pPr>
              <w:pStyle w:val="BodyText"/>
              <w:rPr>
                <w:sz w:val="20"/>
                <w:szCs w:val="20"/>
              </w:rPr>
            </w:pPr>
            <w:r w:rsidRPr="001045FA">
              <w:rPr>
                <w:sz w:val="20"/>
                <w:szCs w:val="20"/>
              </w:rPr>
              <w:t>0</w:t>
            </w:r>
          </w:p>
        </w:tc>
        <w:tc>
          <w:tcPr>
            <w:tcW w:w="268" w:type="pct"/>
          </w:tcPr>
          <w:p w14:paraId="5ED87359" w14:textId="77777777" w:rsidR="00247AD2" w:rsidRPr="001045FA" w:rsidRDefault="00247AD2" w:rsidP="001045FA">
            <w:pPr>
              <w:pStyle w:val="BodyText"/>
              <w:rPr>
                <w:sz w:val="20"/>
                <w:szCs w:val="20"/>
              </w:rPr>
            </w:pPr>
            <w:r w:rsidRPr="001045FA">
              <w:rPr>
                <w:sz w:val="20"/>
                <w:szCs w:val="20"/>
              </w:rPr>
              <w:t>0</w:t>
            </w:r>
          </w:p>
        </w:tc>
        <w:tc>
          <w:tcPr>
            <w:tcW w:w="262" w:type="pct"/>
          </w:tcPr>
          <w:p w14:paraId="30CE0269" w14:textId="77777777" w:rsidR="00247AD2" w:rsidRPr="001045FA" w:rsidRDefault="00247AD2" w:rsidP="001045FA">
            <w:pPr>
              <w:pStyle w:val="BodyText"/>
              <w:rPr>
                <w:sz w:val="20"/>
                <w:szCs w:val="20"/>
              </w:rPr>
            </w:pPr>
            <w:r w:rsidRPr="001045FA">
              <w:rPr>
                <w:sz w:val="20"/>
                <w:szCs w:val="20"/>
              </w:rPr>
              <w:t>0</w:t>
            </w:r>
          </w:p>
        </w:tc>
        <w:tc>
          <w:tcPr>
            <w:tcW w:w="262" w:type="pct"/>
          </w:tcPr>
          <w:p w14:paraId="6A3F5141" w14:textId="77777777" w:rsidR="00247AD2" w:rsidRPr="001045FA" w:rsidRDefault="00247AD2" w:rsidP="001045FA">
            <w:pPr>
              <w:pStyle w:val="BodyText"/>
              <w:rPr>
                <w:sz w:val="20"/>
                <w:szCs w:val="20"/>
              </w:rPr>
            </w:pPr>
            <w:r w:rsidRPr="001045FA">
              <w:rPr>
                <w:sz w:val="20"/>
                <w:szCs w:val="20"/>
              </w:rPr>
              <w:t>0</w:t>
            </w:r>
          </w:p>
        </w:tc>
        <w:tc>
          <w:tcPr>
            <w:tcW w:w="263" w:type="pct"/>
          </w:tcPr>
          <w:p w14:paraId="1A1D2606" w14:textId="77777777" w:rsidR="00247AD2" w:rsidRPr="001045FA" w:rsidRDefault="00247AD2" w:rsidP="001045FA">
            <w:pPr>
              <w:pStyle w:val="BodyText"/>
              <w:rPr>
                <w:sz w:val="20"/>
                <w:szCs w:val="20"/>
              </w:rPr>
            </w:pPr>
            <w:r w:rsidRPr="001045FA">
              <w:rPr>
                <w:sz w:val="20"/>
                <w:szCs w:val="20"/>
              </w:rPr>
              <w:t>0</w:t>
            </w:r>
          </w:p>
        </w:tc>
        <w:tc>
          <w:tcPr>
            <w:tcW w:w="262" w:type="pct"/>
          </w:tcPr>
          <w:p w14:paraId="6B486DDF" w14:textId="77777777" w:rsidR="00247AD2" w:rsidRPr="001045FA" w:rsidRDefault="00247AD2" w:rsidP="001045FA">
            <w:pPr>
              <w:pStyle w:val="BodyText"/>
              <w:rPr>
                <w:sz w:val="20"/>
                <w:szCs w:val="20"/>
              </w:rPr>
            </w:pPr>
            <w:r w:rsidRPr="001045FA">
              <w:rPr>
                <w:sz w:val="20"/>
                <w:szCs w:val="20"/>
              </w:rPr>
              <w:t>0</w:t>
            </w:r>
          </w:p>
        </w:tc>
        <w:tc>
          <w:tcPr>
            <w:tcW w:w="262" w:type="pct"/>
          </w:tcPr>
          <w:p w14:paraId="54ABFEF8" w14:textId="77777777" w:rsidR="00247AD2" w:rsidRPr="001045FA" w:rsidRDefault="00247AD2" w:rsidP="001045FA">
            <w:pPr>
              <w:pStyle w:val="BodyText"/>
              <w:rPr>
                <w:sz w:val="20"/>
                <w:szCs w:val="20"/>
              </w:rPr>
            </w:pPr>
            <w:r w:rsidRPr="001045FA">
              <w:rPr>
                <w:sz w:val="20"/>
                <w:szCs w:val="20"/>
              </w:rPr>
              <w:t>0</w:t>
            </w:r>
          </w:p>
        </w:tc>
        <w:tc>
          <w:tcPr>
            <w:tcW w:w="263" w:type="pct"/>
          </w:tcPr>
          <w:p w14:paraId="65614CC7" w14:textId="77777777" w:rsidR="00247AD2" w:rsidRPr="001045FA" w:rsidRDefault="00247AD2" w:rsidP="001045FA">
            <w:pPr>
              <w:pStyle w:val="BodyText"/>
              <w:rPr>
                <w:sz w:val="20"/>
                <w:szCs w:val="20"/>
              </w:rPr>
            </w:pPr>
            <w:r w:rsidRPr="001045FA">
              <w:rPr>
                <w:sz w:val="20"/>
                <w:szCs w:val="20"/>
              </w:rPr>
              <w:t>0</w:t>
            </w:r>
          </w:p>
        </w:tc>
        <w:tc>
          <w:tcPr>
            <w:tcW w:w="312" w:type="pct"/>
          </w:tcPr>
          <w:p w14:paraId="60CB6294" w14:textId="77777777" w:rsidR="00247AD2" w:rsidRPr="001045FA" w:rsidRDefault="00247AD2" w:rsidP="001045FA">
            <w:pPr>
              <w:pStyle w:val="BodyText"/>
              <w:rPr>
                <w:sz w:val="20"/>
                <w:szCs w:val="20"/>
              </w:rPr>
            </w:pPr>
            <w:r w:rsidRPr="001045FA">
              <w:rPr>
                <w:rStyle w:val="01bodybold"/>
                <w:sz w:val="20"/>
                <w:szCs w:val="20"/>
              </w:rPr>
              <w:t>0</w:t>
            </w:r>
          </w:p>
        </w:tc>
      </w:tr>
      <w:tr w:rsidR="006A0585" w:rsidRPr="001045FA" w14:paraId="5EDE057E" w14:textId="77777777" w:rsidTr="006A0585">
        <w:trPr>
          <w:trHeight w:val="396"/>
        </w:trPr>
        <w:tc>
          <w:tcPr>
            <w:tcW w:w="550" w:type="pct"/>
          </w:tcPr>
          <w:p w14:paraId="74274CF8" w14:textId="77777777" w:rsidR="00247AD2" w:rsidRPr="001045FA" w:rsidRDefault="00247AD2" w:rsidP="001045FA">
            <w:pPr>
              <w:pStyle w:val="BodyText"/>
              <w:rPr>
                <w:sz w:val="20"/>
                <w:szCs w:val="20"/>
              </w:rPr>
            </w:pPr>
            <w:r w:rsidRPr="001045FA">
              <w:rPr>
                <w:sz w:val="20"/>
                <w:szCs w:val="20"/>
              </w:rPr>
              <w:t>SES1</w:t>
            </w:r>
          </w:p>
        </w:tc>
        <w:tc>
          <w:tcPr>
            <w:tcW w:w="287" w:type="pct"/>
          </w:tcPr>
          <w:p w14:paraId="22C0CBFE" w14:textId="77777777" w:rsidR="00247AD2" w:rsidRPr="001045FA" w:rsidRDefault="00247AD2" w:rsidP="001045FA">
            <w:pPr>
              <w:pStyle w:val="BodyText"/>
              <w:rPr>
                <w:sz w:val="20"/>
                <w:szCs w:val="20"/>
              </w:rPr>
            </w:pPr>
            <w:r w:rsidRPr="001045FA">
              <w:rPr>
                <w:sz w:val="20"/>
                <w:szCs w:val="20"/>
              </w:rPr>
              <w:t>0</w:t>
            </w:r>
          </w:p>
        </w:tc>
        <w:tc>
          <w:tcPr>
            <w:tcW w:w="275" w:type="pct"/>
          </w:tcPr>
          <w:p w14:paraId="595E9987" w14:textId="77777777" w:rsidR="00247AD2" w:rsidRPr="001045FA" w:rsidRDefault="00247AD2" w:rsidP="001045FA">
            <w:pPr>
              <w:pStyle w:val="BodyText"/>
              <w:rPr>
                <w:sz w:val="20"/>
                <w:szCs w:val="20"/>
              </w:rPr>
            </w:pPr>
            <w:r w:rsidRPr="001045FA">
              <w:rPr>
                <w:sz w:val="20"/>
                <w:szCs w:val="20"/>
              </w:rPr>
              <w:t>0</w:t>
            </w:r>
          </w:p>
        </w:tc>
        <w:tc>
          <w:tcPr>
            <w:tcW w:w="287" w:type="pct"/>
          </w:tcPr>
          <w:p w14:paraId="1D34AA1C" w14:textId="77777777" w:rsidR="00247AD2" w:rsidRPr="001045FA" w:rsidRDefault="00247AD2" w:rsidP="001045FA">
            <w:pPr>
              <w:pStyle w:val="BodyText"/>
              <w:rPr>
                <w:sz w:val="20"/>
                <w:szCs w:val="20"/>
              </w:rPr>
            </w:pPr>
            <w:r w:rsidRPr="001045FA">
              <w:rPr>
                <w:sz w:val="20"/>
                <w:szCs w:val="20"/>
              </w:rPr>
              <w:t>0</w:t>
            </w:r>
          </w:p>
        </w:tc>
        <w:tc>
          <w:tcPr>
            <w:tcW w:w="312" w:type="pct"/>
          </w:tcPr>
          <w:p w14:paraId="086EB464" w14:textId="77777777" w:rsidR="00247AD2" w:rsidRPr="001045FA" w:rsidRDefault="00247AD2" w:rsidP="001045FA">
            <w:pPr>
              <w:pStyle w:val="BodyText"/>
              <w:rPr>
                <w:sz w:val="20"/>
                <w:szCs w:val="20"/>
              </w:rPr>
            </w:pPr>
            <w:r w:rsidRPr="001045FA">
              <w:rPr>
                <w:sz w:val="20"/>
                <w:szCs w:val="20"/>
              </w:rPr>
              <w:t>0</w:t>
            </w:r>
          </w:p>
        </w:tc>
        <w:tc>
          <w:tcPr>
            <w:tcW w:w="287" w:type="pct"/>
          </w:tcPr>
          <w:p w14:paraId="1A0B06FE" w14:textId="77777777" w:rsidR="00247AD2" w:rsidRPr="001045FA" w:rsidRDefault="00247AD2" w:rsidP="001045FA">
            <w:pPr>
              <w:pStyle w:val="BodyText"/>
              <w:rPr>
                <w:sz w:val="20"/>
                <w:szCs w:val="20"/>
              </w:rPr>
            </w:pPr>
            <w:r w:rsidRPr="001045FA">
              <w:rPr>
                <w:sz w:val="20"/>
                <w:szCs w:val="20"/>
              </w:rPr>
              <w:t>0</w:t>
            </w:r>
          </w:p>
        </w:tc>
        <w:tc>
          <w:tcPr>
            <w:tcW w:w="313" w:type="pct"/>
          </w:tcPr>
          <w:p w14:paraId="34180DA0" w14:textId="77777777" w:rsidR="00247AD2" w:rsidRPr="001045FA" w:rsidRDefault="00247AD2" w:rsidP="001045FA">
            <w:pPr>
              <w:pStyle w:val="BodyText"/>
              <w:rPr>
                <w:sz w:val="20"/>
                <w:szCs w:val="20"/>
              </w:rPr>
            </w:pPr>
            <w:r w:rsidRPr="001045FA">
              <w:rPr>
                <w:sz w:val="20"/>
                <w:szCs w:val="20"/>
              </w:rPr>
              <w:t>0</w:t>
            </w:r>
          </w:p>
        </w:tc>
        <w:tc>
          <w:tcPr>
            <w:tcW w:w="268" w:type="pct"/>
          </w:tcPr>
          <w:p w14:paraId="19CF7451" w14:textId="77777777" w:rsidR="00247AD2" w:rsidRPr="001045FA" w:rsidRDefault="00247AD2" w:rsidP="001045FA">
            <w:pPr>
              <w:pStyle w:val="BodyText"/>
              <w:rPr>
                <w:sz w:val="20"/>
                <w:szCs w:val="20"/>
              </w:rPr>
            </w:pPr>
            <w:r w:rsidRPr="001045FA">
              <w:rPr>
                <w:sz w:val="20"/>
                <w:szCs w:val="20"/>
              </w:rPr>
              <w:t>0</w:t>
            </w:r>
          </w:p>
        </w:tc>
        <w:tc>
          <w:tcPr>
            <w:tcW w:w="267" w:type="pct"/>
          </w:tcPr>
          <w:p w14:paraId="46ADFBF3" w14:textId="77777777" w:rsidR="00247AD2" w:rsidRPr="001045FA" w:rsidRDefault="00247AD2" w:rsidP="001045FA">
            <w:pPr>
              <w:pStyle w:val="BodyText"/>
              <w:rPr>
                <w:sz w:val="20"/>
                <w:szCs w:val="20"/>
              </w:rPr>
            </w:pPr>
            <w:r w:rsidRPr="001045FA">
              <w:rPr>
                <w:sz w:val="20"/>
                <w:szCs w:val="20"/>
              </w:rPr>
              <w:t>0</w:t>
            </w:r>
          </w:p>
        </w:tc>
        <w:tc>
          <w:tcPr>
            <w:tcW w:w="268" w:type="pct"/>
          </w:tcPr>
          <w:p w14:paraId="1BA77FC8" w14:textId="77777777" w:rsidR="00247AD2" w:rsidRPr="001045FA" w:rsidRDefault="00247AD2" w:rsidP="001045FA">
            <w:pPr>
              <w:pStyle w:val="BodyText"/>
              <w:rPr>
                <w:sz w:val="20"/>
                <w:szCs w:val="20"/>
              </w:rPr>
            </w:pPr>
            <w:r w:rsidRPr="001045FA">
              <w:rPr>
                <w:sz w:val="20"/>
                <w:szCs w:val="20"/>
              </w:rPr>
              <w:t>0</w:t>
            </w:r>
          </w:p>
        </w:tc>
        <w:tc>
          <w:tcPr>
            <w:tcW w:w="262" w:type="pct"/>
          </w:tcPr>
          <w:p w14:paraId="03DDE1B8" w14:textId="77777777" w:rsidR="00247AD2" w:rsidRPr="001045FA" w:rsidRDefault="00247AD2" w:rsidP="001045FA">
            <w:pPr>
              <w:pStyle w:val="BodyText"/>
              <w:rPr>
                <w:sz w:val="20"/>
                <w:szCs w:val="20"/>
              </w:rPr>
            </w:pPr>
            <w:r w:rsidRPr="001045FA">
              <w:rPr>
                <w:sz w:val="20"/>
                <w:szCs w:val="20"/>
              </w:rPr>
              <w:t>0</w:t>
            </w:r>
          </w:p>
        </w:tc>
        <w:tc>
          <w:tcPr>
            <w:tcW w:w="262" w:type="pct"/>
          </w:tcPr>
          <w:p w14:paraId="7228FCF3" w14:textId="77777777" w:rsidR="00247AD2" w:rsidRPr="001045FA" w:rsidRDefault="00247AD2" w:rsidP="001045FA">
            <w:pPr>
              <w:pStyle w:val="BodyText"/>
              <w:rPr>
                <w:sz w:val="20"/>
                <w:szCs w:val="20"/>
              </w:rPr>
            </w:pPr>
            <w:r w:rsidRPr="001045FA">
              <w:rPr>
                <w:sz w:val="20"/>
                <w:szCs w:val="20"/>
              </w:rPr>
              <w:t>0</w:t>
            </w:r>
          </w:p>
        </w:tc>
        <w:tc>
          <w:tcPr>
            <w:tcW w:w="263" w:type="pct"/>
          </w:tcPr>
          <w:p w14:paraId="297CDD75" w14:textId="77777777" w:rsidR="00247AD2" w:rsidRPr="001045FA" w:rsidRDefault="00247AD2" w:rsidP="001045FA">
            <w:pPr>
              <w:pStyle w:val="BodyText"/>
              <w:rPr>
                <w:sz w:val="20"/>
                <w:szCs w:val="20"/>
              </w:rPr>
            </w:pPr>
            <w:r w:rsidRPr="001045FA">
              <w:rPr>
                <w:sz w:val="20"/>
                <w:szCs w:val="20"/>
              </w:rPr>
              <w:t>0</w:t>
            </w:r>
          </w:p>
        </w:tc>
        <w:tc>
          <w:tcPr>
            <w:tcW w:w="262" w:type="pct"/>
          </w:tcPr>
          <w:p w14:paraId="364889A0" w14:textId="77777777" w:rsidR="00247AD2" w:rsidRPr="001045FA" w:rsidRDefault="00247AD2" w:rsidP="001045FA">
            <w:pPr>
              <w:pStyle w:val="BodyText"/>
              <w:rPr>
                <w:sz w:val="20"/>
                <w:szCs w:val="20"/>
              </w:rPr>
            </w:pPr>
            <w:r w:rsidRPr="001045FA">
              <w:rPr>
                <w:sz w:val="20"/>
                <w:szCs w:val="20"/>
              </w:rPr>
              <w:t>0</w:t>
            </w:r>
          </w:p>
        </w:tc>
        <w:tc>
          <w:tcPr>
            <w:tcW w:w="262" w:type="pct"/>
          </w:tcPr>
          <w:p w14:paraId="17D49AD7" w14:textId="77777777" w:rsidR="00247AD2" w:rsidRPr="001045FA" w:rsidRDefault="00247AD2" w:rsidP="001045FA">
            <w:pPr>
              <w:pStyle w:val="BodyText"/>
              <w:rPr>
                <w:sz w:val="20"/>
                <w:szCs w:val="20"/>
              </w:rPr>
            </w:pPr>
            <w:r w:rsidRPr="001045FA">
              <w:rPr>
                <w:sz w:val="20"/>
                <w:szCs w:val="20"/>
              </w:rPr>
              <w:t>0</w:t>
            </w:r>
          </w:p>
        </w:tc>
        <w:tc>
          <w:tcPr>
            <w:tcW w:w="263" w:type="pct"/>
          </w:tcPr>
          <w:p w14:paraId="5244EA2B" w14:textId="77777777" w:rsidR="00247AD2" w:rsidRPr="001045FA" w:rsidRDefault="00247AD2" w:rsidP="001045FA">
            <w:pPr>
              <w:pStyle w:val="BodyText"/>
              <w:rPr>
                <w:sz w:val="20"/>
                <w:szCs w:val="20"/>
              </w:rPr>
            </w:pPr>
            <w:r w:rsidRPr="001045FA">
              <w:rPr>
                <w:sz w:val="20"/>
                <w:szCs w:val="20"/>
              </w:rPr>
              <w:t>0</w:t>
            </w:r>
          </w:p>
        </w:tc>
        <w:tc>
          <w:tcPr>
            <w:tcW w:w="312" w:type="pct"/>
          </w:tcPr>
          <w:p w14:paraId="38D85913" w14:textId="77777777" w:rsidR="00247AD2" w:rsidRPr="001045FA" w:rsidRDefault="00247AD2" w:rsidP="001045FA">
            <w:pPr>
              <w:pStyle w:val="BodyText"/>
              <w:rPr>
                <w:sz w:val="20"/>
                <w:szCs w:val="20"/>
              </w:rPr>
            </w:pPr>
            <w:r w:rsidRPr="001045FA">
              <w:rPr>
                <w:rStyle w:val="01bodybold"/>
                <w:sz w:val="20"/>
                <w:szCs w:val="20"/>
              </w:rPr>
              <w:t>0</w:t>
            </w:r>
          </w:p>
        </w:tc>
      </w:tr>
      <w:tr w:rsidR="006A0585" w:rsidRPr="001045FA" w14:paraId="34417D39" w14:textId="77777777" w:rsidTr="006A0585">
        <w:trPr>
          <w:trHeight w:val="396"/>
        </w:trPr>
        <w:tc>
          <w:tcPr>
            <w:tcW w:w="550" w:type="pct"/>
          </w:tcPr>
          <w:p w14:paraId="06859994" w14:textId="77777777" w:rsidR="00247AD2" w:rsidRPr="001045FA" w:rsidRDefault="00247AD2" w:rsidP="001045FA">
            <w:pPr>
              <w:pStyle w:val="BodyText"/>
              <w:rPr>
                <w:sz w:val="20"/>
                <w:szCs w:val="20"/>
              </w:rPr>
            </w:pPr>
            <w:r w:rsidRPr="001045FA">
              <w:rPr>
                <w:sz w:val="20"/>
                <w:szCs w:val="20"/>
              </w:rPr>
              <w:t>EL2</w:t>
            </w:r>
          </w:p>
        </w:tc>
        <w:tc>
          <w:tcPr>
            <w:tcW w:w="287" w:type="pct"/>
          </w:tcPr>
          <w:p w14:paraId="4E617E55" w14:textId="77777777" w:rsidR="00247AD2" w:rsidRPr="001045FA" w:rsidRDefault="00247AD2" w:rsidP="001045FA">
            <w:pPr>
              <w:pStyle w:val="BodyText"/>
              <w:rPr>
                <w:sz w:val="20"/>
                <w:szCs w:val="20"/>
              </w:rPr>
            </w:pPr>
            <w:r w:rsidRPr="001045FA">
              <w:rPr>
                <w:sz w:val="20"/>
                <w:szCs w:val="20"/>
              </w:rPr>
              <w:t>2</w:t>
            </w:r>
          </w:p>
        </w:tc>
        <w:tc>
          <w:tcPr>
            <w:tcW w:w="275" w:type="pct"/>
          </w:tcPr>
          <w:p w14:paraId="0D386C3B" w14:textId="77777777" w:rsidR="00247AD2" w:rsidRPr="001045FA" w:rsidRDefault="00247AD2" w:rsidP="001045FA">
            <w:pPr>
              <w:pStyle w:val="BodyText"/>
              <w:rPr>
                <w:sz w:val="20"/>
                <w:szCs w:val="20"/>
              </w:rPr>
            </w:pPr>
            <w:r w:rsidRPr="001045FA">
              <w:rPr>
                <w:sz w:val="20"/>
                <w:szCs w:val="20"/>
              </w:rPr>
              <w:t>0</w:t>
            </w:r>
          </w:p>
        </w:tc>
        <w:tc>
          <w:tcPr>
            <w:tcW w:w="287" w:type="pct"/>
          </w:tcPr>
          <w:p w14:paraId="489CD5BF" w14:textId="77777777" w:rsidR="00247AD2" w:rsidRPr="001045FA" w:rsidRDefault="00247AD2" w:rsidP="001045FA">
            <w:pPr>
              <w:pStyle w:val="BodyText"/>
              <w:rPr>
                <w:sz w:val="20"/>
                <w:szCs w:val="20"/>
              </w:rPr>
            </w:pPr>
            <w:r w:rsidRPr="001045FA">
              <w:rPr>
                <w:sz w:val="20"/>
                <w:szCs w:val="20"/>
              </w:rPr>
              <w:t>2</w:t>
            </w:r>
          </w:p>
        </w:tc>
        <w:tc>
          <w:tcPr>
            <w:tcW w:w="312" w:type="pct"/>
          </w:tcPr>
          <w:p w14:paraId="43C0D0B6" w14:textId="77777777" w:rsidR="00247AD2" w:rsidRPr="001045FA" w:rsidRDefault="00247AD2" w:rsidP="001045FA">
            <w:pPr>
              <w:pStyle w:val="BodyText"/>
              <w:rPr>
                <w:sz w:val="20"/>
                <w:szCs w:val="20"/>
              </w:rPr>
            </w:pPr>
            <w:r w:rsidRPr="001045FA">
              <w:rPr>
                <w:sz w:val="20"/>
                <w:szCs w:val="20"/>
              </w:rPr>
              <w:t>0</w:t>
            </w:r>
          </w:p>
        </w:tc>
        <w:tc>
          <w:tcPr>
            <w:tcW w:w="287" w:type="pct"/>
          </w:tcPr>
          <w:p w14:paraId="5713A52A" w14:textId="77777777" w:rsidR="00247AD2" w:rsidRPr="001045FA" w:rsidRDefault="00247AD2" w:rsidP="001045FA">
            <w:pPr>
              <w:pStyle w:val="BodyText"/>
              <w:rPr>
                <w:sz w:val="20"/>
                <w:szCs w:val="20"/>
              </w:rPr>
            </w:pPr>
            <w:r w:rsidRPr="001045FA">
              <w:rPr>
                <w:sz w:val="20"/>
                <w:szCs w:val="20"/>
              </w:rPr>
              <w:t>1</w:t>
            </w:r>
          </w:p>
        </w:tc>
        <w:tc>
          <w:tcPr>
            <w:tcW w:w="313" w:type="pct"/>
          </w:tcPr>
          <w:p w14:paraId="27B42E4D" w14:textId="77777777" w:rsidR="00247AD2" w:rsidRPr="001045FA" w:rsidRDefault="00247AD2" w:rsidP="001045FA">
            <w:pPr>
              <w:pStyle w:val="BodyText"/>
              <w:rPr>
                <w:sz w:val="20"/>
                <w:szCs w:val="20"/>
              </w:rPr>
            </w:pPr>
            <w:r w:rsidRPr="001045FA">
              <w:rPr>
                <w:sz w:val="20"/>
                <w:szCs w:val="20"/>
              </w:rPr>
              <w:t>1</w:t>
            </w:r>
          </w:p>
        </w:tc>
        <w:tc>
          <w:tcPr>
            <w:tcW w:w="268" w:type="pct"/>
          </w:tcPr>
          <w:p w14:paraId="466104FB" w14:textId="77777777" w:rsidR="00247AD2" w:rsidRPr="001045FA" w:rsidRDefault="00247AD2" w:rsidP="001045FA">
            <w:pPr>
              <w:pStyle w:val="BodyText"/>
              <w:rPr>
                <w:sz w:val="20"/>
                <w:szCs w:val="20"/>
              </w:rPr>
            </w:pPr>
            <w:r w:rsidRPr="001045FA">
              <w:rPr>
                <w:sz w:val="20"/>
                <w:szCs w:val="20"/>
              </w:rPr>
              <w:t>0</w:t>
            </w:r>
          </w:p>
        </w:tc>
        <w:tc>
          <w:tcPr>
            <w:tcW w:w="267" w:type="pct"/>
          </w:tcPr>
          <w:p w14:paraId="1308F631" w14:textId="77777777" w:rsidR="00247AD2" w:rsidRPr="001045FA" w:rsidRDefault="00247AD2" w:rsidP="001045FA">
            <w:pPr>
              <w:pStyle w:val="BodyText"/>
              <w:rPr>
                <w:sz w:val="20"/>
                <w:szCs w:val="20"/>
              </w:rPr>
            </w:pPr>
            <w:r w:rsidRPr="001045FA">
              <w:rPr>
                <w:sz w:val="20"/>
                <w:szCs w:val="20"/>
              </w:rPr>
              <w:t>0</w:t>
            </w:r>
          </w:p>
        </w:tc>
        <w:tc>
          <w:tcPr>
            <w:tcW w:w="268" w:type="pct"/>
          </w:tcPr>
          <w:p w14:paraId="59D96395" w14:textId="77777777" w:rsidR="00247AD2" w:rsidRPr="001045FA" w:rsidRDefault="00247AD2" w:rsidP="001045FA">
            <w:pPr>
              <w:pStyle w:val="BodyText"/>
              <w:rPr>
                <w:sz w:val="20"/>
                <w:szCs w:val="20"/>
              </w:rPr>
            </w:pPr>
            <w:r w:rsidRPr="001045FA">
              <w:rPr>
                <w:sz w:val="20"/>
                <w:szCs w:val="20"/>
              </w:rPr>
              <w:t>0</w:t>
            </w:r>
          </w:p>
        </w:tc>
        <w:tc>
          <w:tcPr>
            <w:tcW w:w="262" w:type="pct"/>
          </w:tcPr>
          <w:p w14:paraId="03CE244C" w14:textId="77777777" w:rsidR="00247AD2" w:rsidRPr="001045FA" w:rsidRDefault="00247AD2" w:rsidP="001045FA">
            <w:pPr>
              <w:pStyle w:val="BodyText"/>
              <w:rPr>
                <w:sz w:val="20"/>
                <w:szCs w:val="20"/>
              </w:rPr>
            </w:pPr>
            <w:r w:rsidRPr="001045FA">
              <w:rPr>
                <w:sz w:val="20"/>
                <w:szCs w:val="20"/>
              </w:rPr>
              <w:t>0</w:t>
            </w:r>
          </w:p>
        </w:tc>
        <w:tc>
          <w:tcPr>
            <w:tcW w:w="262" w:type="pct"/>
          </w:tcPr>
          <w:p w14:paraId="165330EF" w14:textId="77777777" w:rsidR="00247AD2" w:rsidRPr="001045FA" w:rsidRDefault="00247AD2" w:rsidP="001045FA">
            <w:pPr>
              <w:pStyle w:val="BodyText"/>
              <w:rPr>
                <w:sz w:val="20"/>
                <w:szCs w:val="20"/>
              </w:rPr>
            </w:pPr>
            <w:r w:rsidRPr="001045FA">
              <w:rPr>
                <w:sz w:val="20"/>
                <w:szCs w:val="20"/>
              </w:rPr>
              <w:t>0</w:t>
            </w:r>
          </w:p>
        </w:tc>
        <w:tc>
          <w:tcPr>
            <w:tcW w:w="263" w:type="pct"/>
          </w:tcPr>
          <w:p w14:paraId="1088F294" w14:textId="77777777" w:rsidR="00247AD2" w:rsidRPr="001045FA" w:rsidRDefault="00247AD2" w:rsidP="001045FA">
            <w:pPr>
              <w:pStyle w:val="BodyText"/>
              <w:rPr>
                <w:sz w:val="20"/>
                <w:szCs w:val="20"/>
              </w:rPr>
            </w:pPr>
            <w:r w:rsidRPr="001045FA">
              <w:rPr>
                <w:sz w:val="20"/>
                <w:szCs w:val="20"/>
              </w:rPr>
              <w:t>0</w:t>
            </w:r>
          </w:p>
        </w:tc>
        <w:tc>
          <w:tcPr>
            <w:tcW w:w="262" w:type="pct"/>
          </w:tcPr>
          <w:p w14:paraId="70CEE29E" w14:textId="77777777" w:rsidR="00247AD2" w:rsidRPr="001045FA" w:rsidRDefault="00247AD2" w:rsidP="001045FA">
            <w:pPr>
              <w:pStyle w:val="BodyText"/>
              <w:rPr>
                <w:sz w:val="20"/>
                <w:szCs w:val="20"/>
              </w:rPr>
            </w:pPr>
            <w:r w:rsidRPr="001045FA">
              <w:rPr>
                <w:sz w:val="20"/>
                <w:szCs w:val="20"/>
              </w:rPr>
              <w:t>0</w:t>
            </w:r>
          </w:p>
        </w:tc>
        <w:tc>
          <w:tcPr>
            <w:tcW w:w="262" w:type="pct"/>
          </w:tcPr>
          <w:p w14:paraId="4BD8B2D8" w14:textId="77777777" w:rsidR="00247AD2" w:rsidRPr="001045FA" w:rsidRDefault="00247AD2" w:rsidP="001045FA">
            <w:pPr>
              <w:pStyle w:val="BodyText"/>
              <w:rPr>
                <w:sz w:val="20"/>
                <w:szCs w:val="20"/>
              </w:rPr>
            </w:pPr>
            <w:r w:rsidRPr="001045FA">
              <w:rPr>
                <w:sz w:val="20"/>
                <w:szCs w:val="20"/>
              </w:rPr>
              <w:t>0</w:t>
            </w:r>
          </w:p>
        </w:tc>
        <w:tc>
          <w:tcPr>
            <w:tcW w:w="263" w:type="pct"/>
          </w:tcPr>
          <w:p w14:paraId="5351F497" w14:textId="77777777" w:rsidR="00247AD2" w:rsidRPr="001045FA" w:rsidRDefault="00247AD2" w:rsidP="001045FA">
            <w:pPr>
              <w:pStyle w:val="BodyText"/>
              <w:rPr>
                <w:sz w:val="20"/>
                <w:szCs w:val="20"/>
              </w:rPr>
            </w:pPr>
            <w:r w:rsidRPr="001045FA">
              <w:rPr>
                <w:sz w:val="20"/>
                <w:szCs w:val="20"/>
              </w:rPr>
              <w:t>0</w:t>
            </w:r>
          </w:p>
        </w:tc>
        <w:tc>
          <w:tcPr>
            <w:tcW w:w="312" w:type="pct"/>
          </w:tcPr>
          <w:p w14:paraId="0A2122D2" w14:textId="77777777" w:rsidR="00247AD2" w:rsidRPr="001045FA" w:rsidRDefault="00247AD2" w:rsidP="001045FA">
            <w:pPr>
              <w:pStyle w:val="BodyText"/>
              <w:rPr>
                <w:sz w:val="20"/>
                <w:szCs w:val="20"/>
              </w:rPr>
            </w:pPr>
            <w:r w:rsidRPr="001045FA">
              <w:rPr>
                <w:rStyle w:val="01bodybold"/>
                <w:sz w:val="20"/>
                <w:szCs w:val="20"/>
              </w:rPr>
              <w:t>3</w:t>
            </w:r>
          </w:p>
        </w:tc>
      </w:tr>
      <w:tr w:rsidR="006A0585" w:rsidRPr="001045FA" w14:paraId="1DC86D68" w14:textId="77777777" w:rsidTr="006A0585">
        <w:trPr>
          <w:trHeight w:val="396"/>
        </w:trPr>
        <w:tc>
          <w:tcPr>
            <w:tcW w:w="550" w:type="pct"/>
          </w:tcPr>
          <w:p w14:paraId="4F6DD09E" w14:textId="77777777" w:rsidR="00247AD2" w:rsidRPr="001045FA" w:rsidRDefault="00247AD2" w:rsidP="001045FA">
            <w:pPr>
              <w:pStyle w:val="BodyText"/>
              <w:rPr>
                <w:sz w:val="20"/>
                <w:szCs w:val="20"/>
              </w:rPr>
            </w:pPr>
            <w:r w:rsidRPr="001045FA">
              <w:rPr>
                <w:sz w:val="20"/>
                <w:szCs w:val="20"/>
              </w:rPr>
              <w:t>EL1</w:t>
            </w:r>
          </w:p>
        </w:tc>
        <w:tc>
          <w:tcPr>
            <w:tcW w:w="287" w:type="pct"/>
          </w:tcPr>
          <w:p w14:paraId="42E9203B" w14:textId="77777777" w:rsidR="00247AD2" w:rsidRPr="001045FA" w:rsidRDefault="00247AD2" w:rsidP="001045FA">
            <w:pPr>
              <w:pStyle w:val="BodyText"/>
              <w:rPr>
                <w:sz w:val="20"/>
                <w:szCs w:val="20"/>
              </w:rPr>
            </w:pPr>
            <w:r w:rsidRPr="001045FA">
              <w:rPr>
                <w:sz w:val="20"/>
                <w:szCs w:val="20"/>
              </w:rPr>
              <w:t>11</w:t>
            </w:r>
          </w:p>
        </w:tc>
        <w:tc>
          <w:tcPr>
            <w:tcW w:w="275" w:type="pct"/>
          </w:tcPr>
          <w:p w14:paraId="04864151" w14:textId="77777777" w:rsidR="00247AD2" w:rsidRPr="001045FA" w:rsidRDefault="00247AD2" w:rsidP="001045FA">
            <w:pPr>
              <w:pStyle w:val="BodyText"/>
              <w:rPr>
                <w:sz w:val="20"/>
                <w:szCs w:val="20"/>
              </w:rPr>
            </w:pPr>
            <w:r w:rsidRPr="001045FA">
              <w:rPr>
                <w:sz w:val="20"/>
                <w:szCs w:val="20"/>
              </w:rPr>
              <w:t>0</w:t>
            </w:r>
          </w:p>
        </w:tc>
        <w:tc>
          <w:tcPr>
            <w:tcW w:w="287" w:type="pct"/>
          </w:tcPr>
          <w:p w14:paraId="2D8477A6" w14:textId="77777777" w:rsidR="00247AD2" w:rsidRPr="001045FA" w:rsidRDefault="00247AD2" w:rsidP="001045FA">
            <w:pPr>
              <w:pStyle w:val="BodyText"/>
              <w:rPr>
                <w:sz w:val="20"/>
                <w:szCs w:val="20"/>
              </w:rPr>
            </w:pPr>
            <w:r w:rsidRPr="001045FA">
              <w:rPr>
                <w:sz w:val="20"/>
                <w:szCs w:val="20"/>
              </w:rPr>
              <w:t>11</w:t>
            </w:r>
          </w:p>
        </w:tc>
        <w:tc>
          <w:tcPr>
            <w:tcW w:w="312" w:type="pct"/>
          </w:tcPr>
          <w:p w14:paraId="4DEEF01F" w14:textId="77777777" w:rsidR="00247AD2" w:rsidRPr="001045FA" w:rsidRDefault="00247AD2" w:rsidP="001045FA">
            <w:pPr>
              <w:pStyle w:val="BodyText"/>
              <w:rPr>
                <w:sz w:val="20"/>
                <w:szCs w:val="20"/>
              </w:rPr>
            </w:pPr>
            <w:r w:rsidRPr="001045FA">
              <w:rPr>
                <w:sz w:val="20"/>
                <w:szCs w:val="20"/>
              </w:rPr>
              <w:t>1</w:t>
            </w:r>
          </w:p>
        </w:tc>
        <w:tc>
          <w:tcPr>
            <w:tcW w:w="287" w:type="pct"/>
          </w:tcPr>
          <w:p w14:paraId="627EC6C7" w14:textId="77777777" w:rsidR="00247AD2" w:rsidRPr="001045FA" w:rsidRDefault="00247AD2" w:rsidP="001045FA">
            <w:pPr>
              <w:pStyle w:val="BodyText"/>
              <w:rPr>
                <w:sz w:val="20"/>
                <w:szCs w:val="20"/>
              </w:rPr>
            </w:pPr>
            <w:r w:rsidRPr="001045FA">
              <w:rPr>
                <w:sz w:val="20"/>
                <w:szCs w:val="20"/>
              </w:rPr>
              <w:t>4</w:t>
            </w:r>
          </w:p>
        </w:tc>
        <w:tc>
          <w:tcPr>
            <w:tcW w:w="313" w:type="pct"/>
          </w:tcPr>
          <w:p w14:paraId="349CA140" w14:textId="77777777" w:rsidR="00247AD2" w:rsidRPr="001045FA" w:rsidRDefault="00247AD2" w:rsidP="001045FA">
            <w:pPr>
              <w:pStyle w:val="BodyText"/>
              <w:rPr>
                <w:sz w:val="20"/>
                <w:szCs w:val="20"/>
              </w:rPr>
            </w:pPr>
            <w:r w:rsidRPr="001045FA">
              <w:rPr>
                <w:sz w:val="20"/>
                <w:szCs w:val="20"/>
              </w:rPr>
              <w:t>5</w:t>
            </w:r>
          </w:p>
        </w:tc>
        <w:tc>
          <w:tcPr>
            <w:tcW w:w="268" w:type="pct"/>
          </w:tcPr>
          <w:p w14:paraId="77E2EFBC" w14:textId="77777777" w:rsidR="00247AD2" w:rsidRPr="001045FA" w:rsidRDefault="00247AD2" w:rsidP="001045FA">
            <w:pPr>
              <w:pStyle w:val="BodyText"/>
              <w:rPr>
                <w:sz w:val="20"/>
                <w:szCs w:val="20"/>
              </w:rPr>
            </w:pPr>
            <w:r w:rsidRPr="001045FA">
              <w:rPr>
                <w:sz w:val="20"/>
                <w:szCs w:val="20"/>
              </w:rPr>
              <w:t>1</w:t>
            </w:r>
          </w:p>
        </w:tc>
        <w:tc>
          <w:tcPr>
            <w:tcW w:w="267" w:type="pct"/>
          </w:tcPr>
          <w:p w14:paraId="5813F72E" w14:textId="77777777" w:rsidR="00247AD2" w:rsidRPr="001045FA" w:rsidRDefault="00247AD2" w:rsidP="001045FA">
            <w:pPr>
              <w:pStyle w:val="BodyText"/>
              <w:rPr>
                <w:sz w:val="20"/>
                <w:szCs w:val="20"/>
              </w:rPr>
            </w:pPr>
            <w:r w:rsidRPr="001045FA">
              <w:rPr>
                <w:sz w:val="20"/>
                <w:szCs w:val="20"/>
              </w:rPr>
              <w:t>0</w:t>
            </w:r>
          </w:p>
        </w:tc>
        <w:tc>
          <w:tcPr>
            <w:tcW w:w="268" w:type="pct"/>
          </w:tcPr>
          <w:p w14:paraId="10FE9188" w14:textId="77777777" w:rsidR="00247AD2" w:rsidRPr="001045FA" w:rsidRDefault="00247AD2" w:rsidP="001045FA">
            <w:pPr>
              <w:pStyle w:val="BodyText"/>
              <w:rPr>
                <w:sz w:val="20"/>
                <w:szCs w:val="20"/>
              </w:rPr>
            </w:pPr>
            <w:r w:rsidRPr="001045FA">
              <w:rPr>
                <w:sz w:val="20"/>
                <w:szCs w:val="20"/>
              </w:rPr>
              <w:t>1</w:t>
            </w:r>
          </w:p>
        </w:tc>
        <w:tc>
          <w:tcPr>
            <w:tcW w:w="262" w:type="pct"/>
          </w:tcPr>
          <w:p w14:paraId="1121BE83" w14:textId="77777777" w:rsidR="00247AD2" w:rsidRPr="001045FA" w:rsidRDefault="00247AD2" w:rsidP="001045FA">
            <w:pPr>
              <w:pStyle w:val="BodyText"/>
              <w:rPr>
                <w:sz w:val="20"/>
                <w:szCs w:val="20"/>
              </w:rPr>
            </w:pPr>
            <w:r w:rsidRPr="001045FA">
              <w:rPr>
                <w:sz w:val="20"/>
                <w:szCs w:val="20"/>
              </w:rPr>
              <w:t>0</w:t>
            </w:r>
          </w:p>
        </w:tc>
        <w:tc>
          <w:tcPr>
            <w:tcW w:w="262" w:type="pct"/>
          </w:tcPr>
          <w:p w14:paraId="56967298" w14:textId="77777777" w:rsidR="00247AD2" w:rsidRPr="001045FA" w:rsidRDefault="00247AD2" w:rsidP="001045FA">
            <w:pPr>
              <w:pStyle w:val="BodyText"/>
              <w:rPr>
                <w:sz w:val="20"/>
                <w:szCs w:val="20"/>
              </w:rPr>
            </w:pPr>
            <w:r w:rsidRPr="001045FA">
              <w:rPr>
                <w:sz w:val="20"/>
                <w:szCs w:val="20"/>
              </w:rPr>
              <w:t>0</w:t>
            </w:r>
          </w:p>
        </w:tc>
        <w:tc>
          <w:tcPr>
            <w:tcW w:w="263" w:type="pct"/>
          </w:tcPr>
          <w:p w14:paraId="64B7043D" w14:textId="77777777" w:rsidR="00247AD2" w:rsidRPr="001045FA" w:rsidRDefault="00247AD2" w:rsidP="001045FA">
            <w:pPr>
              <w:pStyle w:val="BodyText"/>
              <w:rPr>
                <w:sz w:val="20"/>
                <w:szCs w:val="20"/>
              </w:rPr>
            </w:pPr>
            <w:r w:rsidRPr="001045FA">
              <w:rPr>
                <w:sz w:val="20"/>
                <w:szCs w:val="20"/>
              </w:rPr>
              <w:t>0</w:t>
            </w:r>
          </w:p>
        </w:tc>
        <w:tc>
          <w:tcPr>
            <w:tcW w:w="262" w:type="pct"/>
          </w:tcPr>
          <w:p w14:paraId="5C2A7BE3" w14:textId="77777777" w:rsidR="00247AD2" w:rsidRPr="001045FA" w:rsidRDefault="00247AD2" w:rsidP="001045FA">
            <w:pPr>
              <w:pStyle w:val="BodyText"/>
              <w:rPr>
                <w:sz w:val="20"/>
                <w:szCs w:val="20"/>
              </w:rPr>
            </w:pPr>
            <w:r w:rsidRPr="001045FA">
              <w:rPr>
                <w:sz w:val="20"/>
                <w:szCs w:val="20"/>
              </w:rPr>
              <w:t>0</w:t>
            </w:r>
          </w:p>
        </w:tc>
        <w:tc>
          <w:tcPr>
            <w:tcW w:w="262" w:type="pct"/>
          </w:tcPr>
          <w:p w14:paraId="64DFAA99" w14:textId="77777777" w:rsidR="00247AD2" w:rsidRPr="001045FA" w:rsidRDefault="00247AD2" w:rsidP="001045FA">
            <w:pPr>
              <w:pStyle w:val="BodyText"/>
              <w:rPr>
                <w:sz w:val="20"/>
                <w:szCs w:val="20"/>
              </w:rPr>
            </w:pPr>
            <w:r w:rsidRPr="001045FA">
              <w:rPr>
                <w:sz w:val="20"/>
                <w:szCs w:val="20"/>
              </w:rPr>
              <w:t>0</w:t>
            </w:r>
          </w:p>
        </w:tc>
        <w:tc>
          <w:tcPr>
            <w:tcW w:w="263" w:type="pct"/>
          </w:tcPr>
          <w:p w14:paraId="73A0A870" w14:textId="77777777" w:rsidR="00247AD2" w:rsidRPr="001045FA" w:rsidRDefault="00247AD2" w:rsidP="001045FA">
            <w:pPr>
              <w:pStyle w:val="BodyText"/>
              <w:rPr>
                <w:sz w:val="20"/>
                <w:szCs w:val="20"/>
              </w:rPr>
            </w:pPr>
            <w:r w:rsidRPr="001045FA">
              <w:rPr>
                <w:sz w:val="20"/>
                <w:szCs w:val="20"/>
              </w:rPr>
              <w:t>0</w:t>
            </w:r>
          </w:p>
        </w:tc>
        <w:tc>
          <w:tcPr>
            <w:tcW w:w="312" w:type="pct"/>
          </w:tcPr>
          <w:p w14:paraId="756AD05D" w14:textId="77777777" w:rsidR="00247AD2" w:rsidRPr="001045FA" w:rsidRDefault="00247AD2" w:rsidP="001045FA">
            <w:pPr>
              <w:pStyle w:val="BodyText"/>
              <w:rPr>
                <w:sz w:val="20"/>
                <w:szCs w:val="20"/>
              </w:rPr>
            </w:pPr>
            <w:r w:rsidRPr="001045FA">
              <w:rPr>
                <w:rStyle w:val="01bodybold"/>
                <w:sz w:val="20"/>
                <w:szCs w:val="20"/>
              </w:rPr>
              <w:t>17</w:t>
            </w:r>
          </w:p>
        </w:tc>
      </w:tr>
      <w:tr w:rsidR="006A0585" w:rsidRPr="001045FA" w14:paraId="06BE2C71" w14:textId="77777777" w:rsidTr="006A0585">
        <w:trPr>
          <w:trHeight w:val="396"/>
        </w:trPr>
        <w:tc>
          <w:tcPr>
            <w:tcW w:w="550" w:type="pct"/>
          </w:tcPr>
          <w:p w14:paraId="2D19FEBB" w14:textId="77777777" w:rsidR="00247AD2" w:rsidRPr="001045FA" w:rsidRDefault="00247AD2" w:rsidP="001045FA">
            <w:pPr>
              <w:pStyle w:val="BodyText"/>
              <w:rPr>
                <w:sz w:val="20"/>
                <w:szCs w:val="20"/>
              </w:rPr>
            </w:pPr>
            <w:r w:rsidRPr="001045FA">
              <w:rPr>
                <w:sz w:val="20"/>
                <w:szCs w:val="20"/>
              </w:rPr>
              <w:t>APS6</w:t>
            </w:r>
          </w:p>
        </w:tc>
        <w:tc>
          <w:tcPr>
            <w:tcW w:w="287" w:type="pct"/>
          </w:tcPr>
          <w:p w14:paraId="594E1E81" w14:textId="77777777" w:rsidR="00247AD2" w:rsidRPr="001045FA" w:rsidRDefault="00247AD2" w:rsidP="001045FA">
            <w:pPr>
              <w:pStyle w:val="BodyText"/>
              <w:rPr>
                <w:sz w:val="20"/>
                <w:szCs w:val="20"/>
              </w:rPr>
            </w:pPr>
            <w:r w:rsidRPr="001045FA">
              <w:rPr>
                <w:sz w:val="20"/>
                <w:szCs w:val="20"/>
              </w:rPr>
              <w:t>6</w:t>
            </w:r>
          </w:p>
        </w:tc>
        <w:tc>
          <w:tcPr>
            <w:tcW w:w="275" w:type="pct"/>
          </w:tcPr>
          <w:p w14:paraId="24F51B26" w14:textId="77777777" w:rsidR="00247AD2" w:rsidRPr="001045FA" w:rsidRDefault="00247AD2" w:rsidP="001045FA">
            <w:pPr>
              <w:pStyle w:val="BodyText"/>
              <w:rPr>
                <w:sz w:val="20"/>
                <w:szCs w:val="20"/>
              </w:rPr>
            </w:pPr>
            <w:r w:rsidRPr="001045FA">
              <w:rPr>
                <w:sz w:val="20"/>
                <w:szCs w:val="20"/>
              </w:rPr>
              <w:t>2</w:t>
            </w:r>
          </w:p>
        </w:tc>
        <w:tc>
          <w:tcPr>
            <w:tcW w:w="287" w:type="pct"/>
          </w:tcPr>
          <w:p w14:paraId="6A1F43F0" w14:textId="77777777" w:rsidR="00247AD2" w:rsidRPr="001045FA" w:rsidRDefault="00247AD2" w:rsidP="001045FA">
            <w:pPr>
              <w:pStyle w:val="BodyText"/>
              <w:rPr>
                <w:sz w:val="20"/>
                <w:szCs w:val="20"/>
              </w:rPr>
            </w:pPr>
            <w:r w:rsidRPr="001045FA">
              <w:rPr>
                <w:sz w:val="20"/>
                <w:szCs w:val="20"/>
              </w:rPr>
              <w:t>8</w:t>
            </w:r>
          </w:p>
        </w:tc>
        <w:tc>
          <w:tcPr>
            <w:tcW w:w="312" w:type="pct"/>
          </w:tcPr>
          <w:p w14:paraId="4C7E44CC" w14:textId="77777777" w:rsidR="00247AD2" w:rsidRPr="001045FA" w:rsidRDefault="00247AD2" w:rsidP="001045FA">
            <w:pPr>
              <w:pStyle w:val="BodyText"/>
              <w:rPr>
                <w:sz w:val="20"/>
                <w:szCs w:val="20"/>
              </w:rPr>
            </w:pPr>
            <w:r w:rsidRPr="001045FA">
              <w:rPr>
                <w:sz w:val="20"/>
                <w:szCs w:val="20"/>
              </w:rPr>
              <w:t>9</w:t>
            </w:r>
          </w:p>
        </w:tc>
        <w:tc>
          <w:tcPr>
            <w:tcW w:w="287" w:type="pct"/>
          </w:tcPr>
          <w:p w14:paraId="2322348E" w14:textId="77777777" w:rsidR="00247AD2" w:rsidRPr="001045FA" w:rsidRDefault="00247AD2" w:rsidP="001045FA">
            <w:pPr>
              <w:pStyle w:val="BodyText"/>
              <w:rPr>
                <w:sz w:val="20"/>
                <w:szCs w:val="20"/>
              </w:rPr>
            </w:pPr>
            <w:r w:rsidRPr="001045FA">
              <w:rPr>
                <w:sz w:val="20"/>
                <w:szCs w:val="20"/>
              </w:rPr>
              <w:t>1</w:t>
            </w:r>
          </w:p>
        </w:tc>
        <w:tc>
          <w:tcPr>
            <w:tcW w:w="313" w:type="pct"/>
          </w:tcPr>
          <w:p w14:paraId="7246FB62" w14:textId="77777777" w:rsidR="00247AD2" w:rsidRPr="001045FA" w:rsidRDefault="00247AD2" w:rsidP="001045FA">
            <w:pPr>
              <w:pStyle w:val="BodyText"/>
              <w:rPr>
                <w:sz w:val="20"/>
                <w:szCs w:val="20"/>
              </w:rPr>
            </w:pPr>
            <w:r w:rsidRPr="001045FA">
              <w:rPr>
                <w:sz w:val="20"/>
                <w:szCs w:val="20"/>
              </w:rPr>
              <w:t>10</w:t>
            </w:r>
          </w:p>
        </w:tc>
        <w:tc>
          <w:tcPr>
            <w:tcW w:w="268" w:type="pct"/>
          </w:tcPr>
          <w:p w14:paraId="2826C99A" w14:textId="77777777" w:rsidR="00247AD2" w:rsidRPr="001045FA" w:rsidRDefault="00247AD2" w:rsidP="001045FA">
            <w:pPr>
              <w:pStyle w:val="BodyText"/>
              <w:rPr>
                <w:sz w:val="20"/>
                <w:szCs w:val="20"/>
              </w:rPr>
            </w:pPr>
            <w:r w:rsidRPr="001045FA">
              <w:rPr>
                <w:sz w:val="20"/>
                <w:szCs w:val="20"/>
              </w:rPr>
              <w:t>0</w:t>
            </w:r>
          </w:p>
        </w:tc>
        <w:tc>
          <w:tcPr>
            <w:tcW w:w="267" w:type="pct"/>
          </w:tcPr>
          <w:p w14:paraId="7310DB1B" w14:textId="77777777" w:rsidR="00247AD2" w:rsidRPr="001045FA" w:rsidRDefault="00247AD2" w:rsidP="001045FA">
            <w:pPr>
              <w:pStyle w:val="BodyText"/>
              <w:rPr>
                <w:sz w:val="20"/>
                <w:szCs w:val="20"/>
              </w:rPr>
            </w:pPr>
            <w:r w:rsidRPr="001045FA">
              <w:rPr>
                <w:sz w:val="20"/>
                <w:szCs w:val="20"/>
              </w:rPr>
              <w:t>0</w:t>
            </w:r>
          </w:p>
        </w:tc>
        <w:tc>
          <w:tcPr>
            <w:tcW w:w="268" w:type="pct"/>
          </w:tcPr>
          <w:p w14:paraId="68B2838E" w14:textId="77777777" w:rsidR="00247AD2" w:rsidRPr="001045FA" w:rsidRDefault="00247AD2" w:rsidP="001045FA">
            <w:pPr>
              <w:pStyle w:val="BodyText"/>
              <w:rPr>
                <w:sz w:val="20"/>
                <w:szCs w:val="20"/>
              </w:rPr>
            </w:pPr>
            <w:r w:rsidRPr="001045FA">
              <w:rPr>
                <w:sz w:val="20"/>
                <w:szCs w:val="20"/>
              </w:rPr>
              <w:t>0</w:t>
            </w:r>
          </w:p>
        </w:tc>
        <w:tc>
          <w:tcPr>
            <w:tcW w:w="262" w:type="pct"/>
          </w:tcPr>
          <w:p w14:paraId="236DDC65" w14:textId="77777777" w:rsidR="00247AD2" w:rsidRPr="001045FA" w:rsidRDefault="00247AD2" w:rsidP="001045FA">
            <w:pPr>
              <w:pStyle w:val="BodyText"/>
              <w:rPr>
                <w:sz w:val="20"/>
                <w:szCs w:val="20"/>
              </w:rPr>
            </w:pPr>
            <w:r w:rsidRPr="001045FA">
              <w:rPr>
                <w:sz w:val="20"/>
                <w:szCs w:val="20"/>
              </w:rPr>
              <w:t>0</w:t>
            </w:r>
          </w:p>
        </w:tc>
        <w:tc>
          <w:tcPr>
            <w:tcW w:w="262" w:type="pct"/>
          </w:tcPr>
          <w:p w14:paraId="48ACC131" w14:textId="77777777" w:rsidR="00247AD2" w:rsidRPr="001045FA" w:rsidRDefault="00247AD2" w:rsidP="001045FA">
            <w:pPr>
              <w:pStyle w:val="BodyText"/>
              <w:rPr>
                <w:sz w:val="20"/>
                <w:szCs w:val="20"/>
              </w:rPr>
            </w:pPr>
            <w:r w:rsidRPr="001045FA">
              <w:rPr>
                <w:sz w:val="20"/>
                <w:szCs w:val="20"/>
              </w:rPr>
              <w:t>0</w:t>
            </w:r>
          </w:p>
        </w:tc>
        <w:tc>
          <w:tcPr>
            <w:tcW w:w="263" w:type="pct"/>
          </w:tcPr>
          <w:p w14:paraId="267C5EFA" w14:textId="77777777" w:rsidR="00247AD2" w:rsidRPr="001045FA" w:rsidRDefault="00247AD2" w:rsidP="001045FA">
            <w:pPr>
              <w:pStyle w:val="BodyText"/>
              <w:rPr>
                <w:sz w:val="20"/>
                <w:szCs w:val="20"/>
              </w:rPr>
            </w:pPr>
            <w:r w:rsidRPr="001045FA">
              <w:rPr>
                <w:sz w:val="20"/>
                <w:szCs w:val="20"/>
              </w:rPr>
              <w:t>0</w:t>
            </w:r>
          </w:p>
        </w:tc>
        <w:tc>
          <w:tcPr>
            <w:tcW w:w="262" w:type="pct"/>
          </w:tcPr>
          <w:p w14:paraId="0C545F0F" w14:textId="77777777" w:rsidR="00247AD2" w:rsidRPr="001045FA" w:rsidRDefault="00247AD2" w:rsidP="001045FA">
            <w:pPr>
              <w:pStyle w:val="BodyText"/>
              <w:rPr>
                <w:sz w:val="20"/>
                <w:szCs w:val="20"/>
              </w:rPr>
            </w:pPr>
            <w:r w:rsidRPr="001045FA">
              <w:rPr>
                <w:sz w:val="20"/>
                <w:szCs w:val="20"/>
              </w:rPr>
              <w:t>0</w:t>
            </w:r>
          </w:p>
        </w:tc>
        <w:tc>
          <w:tcPr>
            <w:tcW w:w="262" w:type="pct"/>
          </w:tcPr>
          <w:p w14:paraId="1BCF8BCE" w14:textId="77777777" w:rsidR="00247AD2" w:rsidRPr="001045FA" w:rsidRDefault="00247AD2" w:rsidP="001045FA">
            <w:pPr>
              <w:pStyle w:val="BodyText"/>
              <w:rPr>
                <w:sz w:val="20"/>
                <w:szCs w:val="20"/>
              </w:rPr>
            </w:pPr>
            <w:r w:rsidRPr="001045FA">
              <w:rPr>
                <w:sz w:val="20"/>
                <w:szCs w:val="20"/>
              </w:rPr>
              <w:t>0</w:t>
            </w:r>
          </w:p>
        </w:tc>
        <w:tc>
          <w:tcPr>
            <w:tcW w:w="263" w:type="pct"/>
          </w:tcPr>
          <w:p w14:paraId="04333103" w14:textId="77777777" w:rsidR="00247AD2" w:rsidRPr="001045FA" w:rsidRDefault="00247AD2" w:rsidP="001045FA">
            <w:pPr>
              <w:pStyle w:val="BodyText"/>
              <w:rPr>
                <w:sz w:val="20"/>
                <w:szCs w:val="20"/>
              </w:rPr>
            </w:pPr>
            <w:r w:rsidRPr="001045FA">
              <w:rPr>
                <w:sz w:val="20"/>
                <w:szCs w:val="20"/>
              </w:rPr>
              <w:t>0</w:t>
            </w:r>
          </w:p>
        </w:tc>
        <w:tc>
          <w:tcPr>
            <w:tcW w:w="312" w:type="pct"/>
          </w:tcPr>
          <w:p w14:paraId="3AEBE508" w14:textId="77777777" w:rsidR="00247AD2" w:rsidRPr="001045FA" w:rsidRDefault="00247AD2" w:rsidP="001045FA">
            <w:pPr>
              <w:pStyle w:val="BodyText"/>
              <w:rPr>
                <w:sz w:val="20"/>
                <w:szCs w:val="20"/>
              </w:rPr>
            </w:pPr>
            <w:r w:rsidRPr="001045FA">
              <w:rPr>
                <w:rStyle w:val="01bodybold"/>
                <w:sz w:val="20"/>
                <w:szCs w:val="20"/>
              </w:rPr>
              <w:t>18</w:t>
            </w:r>
          </w:p>
        </w:tc>
      </w:tr>
      <w:tr w:rsidR="006A0585" w:rsidRPr="001045FA" w14:paraId="61463530" w14:textId="77777777" w:rsidTr="006A0585">
        <w:trPr>
          <w:trHeight w:val="396"/>
        </w:trPr>
        <w:tc>
          <w:tcPr>
            <w:tcW w:w="550" w:type="pct"/>
          </w:tcPr>
          <w:p w14:paraId="48BB97EF" w14:textId="77777777" w:rsidR="00247AD2" w:rsidRPr="001045FA" w:rsidRDefault="00247AD2" w:rsidP="001045FA">
            <w:pPr>
              <w:pStyle w:val="BodyText"/>
              <w:rPr>
                <w:sz w:val="20"/>
                <w:szCs w:val="20"/>
              </w:rPr>
            </w:pPr>
            <w:r w:rsidRPr="001045FA">
              <w:rPr>
                <w:sz w:val="20"/>
                <w:szCs w:val="20"/>
              </w:rPr>
              <w:t>APS5</w:t>
            </w:r>
          </w:p>
        </w:tc>
        <w:tc>
          <w:tcPr>
            <w:tcW w:w="287" w:type="pct"/>
          </w:tcPr>
          <w:p w14:paraId="5FC07E18" w14:textId="77777777" w:rsidR="00247AD2" w:rsidRPr="001045FA" w:rsidRDefault="00247AD2" w:rsidP="001045FA">
            <w:pPr>
              <w:pStyle w:val="BodyText"/>
              <w:rPr>
                <w:sz w:val="20"/>
                <w:szCs w:val="20"/>
              </w:rPr>
            </w:pPr>
            <w:r w:rsidRPr="001045FA">
              <w:rPr>
                <w:sz w:val="20"/>
                <w:szCs w:val="20"/>
              </w:rPr>
              <w:t>10</w:t>
            </w:r>
          </w:p>
        </w:tc>
        <w:tc>
          <w:tcPr>
            <w:tcW w:w="275" w:type="pct"/>
          </w:tcPr>
          <w:p w14:paraId="76B2497D" w14:textId="77777777" w:rsidR="00247AD2" w:rsidRPr="001045FA" w:rsidRDefault="00247AD2" w:rsidP="001045FA">
            <w:pPr>
              <w:pStyle w:val="BodyText"/>
              <w:rPr>
                <w:sz w:val="20"/>
                <w:szCs w:val="20"/>
              </w:rPr>
            </w:pPr>
            <w:r w:rsidRPr="001045FA">
              <w:rPr>
                <w:sz w:val="20"/>
                <w:szCs w:val="20"/>
              </w:rPr>
              <w:t>1</w:t>
            </w:r>
          </w:p>
        </w:tc>
        <w:tc>
          <w:tcPr>
            <w:tcW w:w="287" w:type="pct"/>
          </w:tcPr>
          <w:p w14:paraId="30BA3A65" w14:textId="77777777" w:rsidR="00247AD2" w:rsidRPr="001045FA" w:rsidRDefault="00247AD2" w:rsidP="001045FA">
            <w:pPr>
              <w:pStyle w:val="BodyText"/>
              <w:rPr>
                <w:sz w:val="20"/>
                <w:szCs w:val="20"/>
              </w:rPr>
            </w:pPr>
            <w:r w:rsidRPr="001045FA">
              <w:rPr>
                <w:sz w:val="20"/>
                <w:szCs w:val="20"/>
              </w:rPr>
              <w:t>11</w:t>
            </w:r>
          </w:p>
        </w:tc>
        <w:tc>
          <w:tcPr>
            <w:tcW w:w="312" w:type="pct"/>
          </w:tcPr>
          <w:p w14:paraId="735F0370" w14:textId="77777777" w:rsidR="00247AD2" w:rsidRPr="001045FA" w:rsidRDefault="00247AD2" w:rsidP="001045FA">
            <w:pPr>
              <w:pStyle w:val="BodyText"/>
              <w:rPr>
                <w:sz w:val="20"/>
                <w:szCs w:val="20"/>
              </w:rPr>
            </w:pPr>
            <w:r w:rsidRPr="001045FA">
              <w:rPr>
                <w:sz w:val="20"/>
                <w:szCs w:val="20"/>
              </w:rPr>
              <w:t>9</w:t>
            </w:r>
          </w:p>
        </w:tc>
        <w:tc>
          <w:tcPr>
            <w:tcW w:w="287" w:type="pct"/>
          </w:tcPr>
          <w:p w14:paraId="1F13DC38" w14:textId="77777777" w:rsidR="00247AD2" w:rsidRPr="001045FA" w:rsidRDefault="00247AD2" w:rsidP="001045FA">
            <w:pPr>
              <w:pStyle w:val="BodyText"/>
              <w:rPr>
                <w:sz w:val="20"/>
                <w:szCs w:val="20"/>
              </w:rPr>
            </w:pPr>
            <w:r w:rsidRPr="001045FA">
              <w:rPr>
                <w:sz w:val="20"/>
                <w:szCs w:val="20"/>
              </w:rPr>
              <w:t>2</w:t>
            </w:r>
          </w:p>
        </w:tc>
        <w:tc>
          <w:tcPr>
            <w:tcW w:w="313" w:type="pct"/>
          </w:tcPr>
          <w:p w14:paraId="57F425FC" w14:textId="77777777" w:rsidR="00247AD2" w:rsidRPr="001045FA" w:rsidRDefault="00247AD2" w:rsidP="001045FA">
            <w:pPr>
              <w:pStyle w:val="BodyText"/>
              <w:rPr>
                <w:sz w:val="20"/>
                <w:szCs w:val="20"/>
              </w:rPr>
            </w:pPr>
            <w:r w:rsidRPr="001045FA">
              <w:rPr>
                <w:sz w:val="20"/>
                <w:szCs w:val="20"/>
              </w:rPr>
              <w:t>11</w:t>
            </w:r>
          </w:p>
        </w:tc>
        <w:tc>
          <w:tcPr>
            <w:tcW w:w="268" w:type="pct"/>
          </w:tcPr>
          <w:p w14:paraId="4C6225FD" w14:textId="77777777" w:rsidR="00247AD2" w:rsidRPr="001045FA" w:rsidRDefault="00247AD2" w:rsidP="001045FA">
            <w:pPr>
              <w:pStyle w:val="BodyText"/>
              <w:rPr>
                <w:sz w:val="20"/>
                <w:szCs w:val="20"/>
              </w:rPr>
            </w:pPr>
            <w:r w:rsidRPr="001045FA">
              <w:rPr>
                <w:sz w:val="20"/>
                <w:szCs w:val="20"/>
              </w:rPr>
              <w:t>0</w:t>
            </w:r>
          </w:p>
        </w:tc>
        <w:tc>
          <w:tcPr>
            <w:tcW w:w="267" w:type="pct"/>
          </w:tcPr>
          <w:p w14:paraId="6C5834E6" w14:textId="77777777" w:rsidR="00247AD2" w:rsidRPr="001045FA" w:rsidRDefault="00247AD2" w:rsidP="001045FA">
            <w:pPr>
              <w:pStyle w:val="BodyText"/>
              <w:rPr>
                <w:sz w:val="20"/>
                <w:szCs w:val="20"/>
              </w:rPr>
            </w:pPr>
            <w:r w:rsidRPr="001045FA">
              <w:rPr>
                <w:sz w:val="20"/>
                <w:szCs w:val="20"/>
              </w:rPr>
              <w:t>0</w:t>
            </w:r>
          </w:p>
        </w:tc>
        <w:tc>
          <w:tcPr>
            <w:tcW w:w="268" w:type="pct"/>
          </w:tcPr>
          <w:p w14:paraId="0EF23B2B" w14:textId="77777777" w:rsidR="00247AD2" w:rsidRPr="001045FA" w:rsidRDefault="00247AD2" w:rsidP="001045FA">
            <w:pPr>
              <w:pStyle w:val="BodyText"/>
              <w:rPr>
                <w:sz w:val="20"/>
                <w:szCs w:val="20"/>
              </w:rPr>
            </w:pPr>
            <w:r w:rsidRPr="001045FA">
              <w:rPr>
                <w:sz w:val="20"/>
                <w:szCs w:val="20"/>
              </w:rPr>
              <w:t>0</w:t>
            </w:r>
          </w:p>
        </w:tc>
        <w:tc>
          <w:tcPr>
            <w:tcW w:w="262" w:type="pct"/>
          </w:tcPr>
          <w:p w14:paraId="7DD48B67" w14:textId="77777777" w:rsidR="00247AD2" w:rsidRPr="001045FA" w:rsidRDefault="00247AD2" w:rsidP="001045FA">
            <w:pPr>
              <w:pStyle w:val="BodyText"/>
              <w:rPr>
                <w:sz w:val="20"/>
                <w:szCs w:val="20"/>
              </w:rPr>
            </w:pPr>
            <w:r w:rsidRPr="001045FA">
              <w:rPr>
                <w:sz w:val="20"/>
                <w:szCs w:val="20"/>
              </w:rPr>
              <w:t>0</w:t>
            </w:r>
          </w:p>
        </w:tc>
        <w:tc>
          <w:tcPr>
            <w:tcW w:w="262" w:type="pct"/>
          </w:tcPr>
          <w:p w14:paraId="5DF4E3C1" w14:textId="77777777" w:rsidR="00247AD2" w:rsidRPr="001045FA" w:rsidRDefault="00247AD2" w:rsidP="001045FA">
            <w:pPr>
              <w:pStyle w:val="BodyText"/>
              <w:rPr>
                <w:sz w:val="20"/>
                <w:szCs w:val="20"/>
              </w:rPr>
            </w:pPr>
            <w:r w:rsidRPr="001045FA">
              <w:rPr>
                <w:sz w:val="20"/>
                <w:szCs w:val="20"/>
              </w:rPr>
              <w:t>0</w:t>
            </w:r>
          </w:p>
        </w:tc>
        <w:tc>
          <w:tcPr>
            <w:tcW w:w="263" w:type="pct"/>
          </w:tcPr>
          <w:p w14:paraId="16D24E57" w14:textId="77777777" w:rsidR="00247AD2" w:rsidRPr="001045FA" w:rsidRDefault="00247AD2" w:rsidP="001045FA">
            <w:pPr>
              <w:pStyle w:val="BodyText"/>
              <w:rPr>
                <w:sz w:val="20"/>
                <w:szCs w:val="20"/>
              </w:rPr>
            </w:pPr>
            <w:r w:rsidRPr="001045FA">
              <w:rPr>
                <w:sz w:val="20"/>
                <w:szCs w:val="20"/>
              </w:rPr>
              <w:t>0</w:t>
            </w:r>
          </w:p>
        </w:tc>
        <w:tc>
          <w:tcPr>
            <w:tcW w:w="262" w:type="pct"/>
          </w:tcPr>
          <w:p w14:paraId="1D141050" w14:textId="77777777" w:rsidR="00247AD2" w:rsidRPr="001045FA" w:rsidRDefault="00247AD2" w:rsidP="001045FA">
            <w:pPr>
              <w:pStyle w:val="BodyText"/>
              <w:rPr>
                <w:sz w:val="20"/>
                <w:szCs w:val="20"/>
              </w:rPr>
            </w:pPr>
            <w:r w:rsidRPr="001045FA">
              <w:rPr>
                <w:sz w:val="20"/>
                <w:szCs w:val="20"/>
              </w:rPr>
              <w:t>0</w:t>
            </w:r>
          </w:p>
        </w:tc>
        <w:tc>
          <w:tcPr>
            <w:tcW w:w="262" w:type="pct"/>
          </w:tcPr>
          <w:p w14:paraId="25C28316" w14:textId="77777777" w:rsidR="00247AD2" w:rsidRPr="001045FA" w:rsidRDefault="00247AD2" w:rsidP="001045FA">
            <w:pPr>
              <w:pStyle w:val="BodyText"/>
              <w:rPr>
                <w:sz w:val="20"/>
                <w:szCs w:val="20"/>
              </w:rPr>
            </w:pPr>
            <w:r w:rsidRPr="001045FA">
              <w:rPr>
                <w:sz w:val="20"/>
                <w:szCs w:val="20"/>
              </w:rPr>
              <w:t>0</w:t>
            </w:r>
          </w:p>
        </w:tc>
        <w:tc>
          <w:tcPr>
            <w:tcW w:w="263" w:type="pct"/>
          </w:tcPr>
          <w:p w14:paraId="322BBB69" w14:textId="77777777" w:rsidR="00247AD2" w:rsidRPr="001045FA" w:rsidRDefault="00247AD2" w:rsidP="001045FA">
            <w:pPr>
              <w:pStyle w:val="BodyText"/>
              <w:rPr>
                <w:sz w:val="20"/>
                <w:szCs w:val="20"/>
              </w:rPr>
            </w:pPr>
            <w:r w:rsidRPr="001045FA">
              <w:rPr>
                <w:sz w:val="20"/>
                <w:szCs w:val="20"/>
              </w:rPr>
              <w:t>0</w:t>
            </w:r>
          </w:p>
        </w:tc>
        <w:tc>
          <w:tcPr>
            <w:tcW w:w="312" w:type="pct"/>
          </w:tcPr>
          <w:p w14:paraId="52C16B82" w14:textId="77777777" w:rsidR="00247AD2" w:rsidRPr="001045FA" w:rsidRDefault="00247AD2" w:rsidP="001045FA">
            <w:pPr>
              <w:pStyle w:val="BodyText"/>
              <w:rPr>
                <w:sz w:val="20"/>
                <w:szCs w:val="20"/>
              </w:rPr>
            </w:pPr>
            <w:r w:rsidRPr="001045FA">
              <w:rPr>
                <w:rStyle w:val="01bodybold"/>
                <w:sz w:val="20"/>
                <w:szCs w:val="20"/>
              </w:rPr>
              <w:t>22</w:t>
            </w:r>
          </w:p>
        </w:tc>
      </w:tr>
      <w:tr w:rsidR="006A0585" w:rsidRPr="001045FA" w14:paraId="7212A6A0" w14:textId="77777777" w:rsidTr="006A0585">
        <w:trPr>
          <w:trHeight w:val="396"/>
        </w:trPr>
        <w:tc>
          <w:tcPr>
            <w:tcW w:w="550" w:type="pct"/>
          </w:tcPr>
          <w:p w14:paraId="5D735FE8" w14:textId="77777777" w:rsidR="00247AD2" w:rsidRPr="001045FA" w:rsidRDefault="00247AD2" w:rsidP="001045FA">
            <w:pPr>
              <w:pStyle w:val="BodyText"/>
              <w:rPr>
                <w:sz w:val="20"/>
                <w:szCs w:val="20"/>
              </w:rPr>
            </w:pPr>
            <w:r w:rsidRPr="001045FA">
              <w:rPr>
                <w:sz w:val="20"/>
                <w:szCs w:val="20"/>
              </w:rPr>
              <w:t>APS4</w:t>
            </w:r>
          </w:p>
        </w:tc>
        <w:tc>
          <w:tcPr>
            <w:tcW w:w="287" w:type="pct"/>
          </w:tcPr>
          <w:p w14:paraId="2E332F95" w14:textId="77777777" w:rsidR="00247AD2" w:rsidRPr="001045FA" w:rsidRDefault="00247AD2" w:rsidP="001045FA">
            <w:pPr>
              <w:pStyle w:val="BodyText"/>
              <w:rPr>
                <w:sz w:val="20"/>
                <w:szCs w:val="20"/>
              </w:rPr>
            </w:pPr>
            <w:r w:rsidRPr="001045FA">
              <w:rPr>
                <w:sz w:val="20"/>
                <w:szCs w:val="20"/>
              </w:rPr>
              <w:t>15</w:t>
            </w:r>
          </w:p>
        </w:tc>
        <w:tc>
          <w:tcPr>
            <w:tcW w:w="275" w:type="pct"/>
          </w:tcPr>
          <w:p w14:paraId="7CB53AF8" w14:textId="77777777" w:rsidR="00247AD2" w:rsidRPr="001045FA" w:rsidRDefault="00247AD2" w:rsidP="001045FA">
            <w:pPr>
              <w:pStyle w:val="BodyText"/>
              <w:rPr>
                <w:sz w:val="20"/>
                <w:szCs w:val="20"/>
              </w:rPr>
            </w:pPr>
            <w:r w:rsidRPr="001045FA">
              <w:rPr>
                <w:sz w:val="20"/>
                <w:szCs w:val="20"/>
              </w:rPr>
              <w:t>14</w:t>
            </w:r>
          </w:p>
        </w:tc>
        <w:tc>
          <w:tcPr>
            <w:tcW w:w="287" w:type="pct"/>
          </w:tcPr>
          <w:p w14:paraId="4FA4461C" w14:textId="77777777" w:rsidR="00247AD2" w:rsidRPr="001045FA" w:rsidRDefault="00247AD2" w:rsidP="001045FA">
            <w:pPr>
              <w:pStyle w:val="BodyText"/>
              <w:rPr>
                <w:sz w:val="20"/>
                <w:szCs w:val="20"/>
              </w:rPr>
            </w:pPr>
            <w:r w:rsidRPr="001045FA">
              <w:rPr>
                <w:sz w:val="20"/>
                <w:szCs w:val="20"/>
              </w:rPr>
              <w:t>29</w:t>
            </w:r>
          </w:p>
        </w:tc>
        <w:tc>
          <w:tcPr>
            <w:tcW w:w="312" w:type="pct"/>
          </w:tcPr>
          <w:p w14:paraId="6C22907D" w14:textId="77777777" w:rsidR="00247AD2" w:rsidRPr="001045FA" w:rsidRDefault="00247AD2" w:rsidP="001045FA">
            <w:pPr>
              <w:pStyle w:val="BodyText"/>
              <w:rPr>
                <w:sz w:val="20"/>
                <w:szCs w:val="20"/>
              </w:rPr>
            </w:pPr>
            <w:r w:rsidRPr="001045FA">
              <w:rPr>
                <w:sz w:val="20"/>
                <w:szCs w:val="20"/>
              </w:rPr>
              <w:t>16</w:t>
            </w:r>
          </w:p>
        </w:tc>
        <w:tc>
          <w:tcPr>
            <w:tcW w:w="287" w:type="pct"/>
          </w:tcPr>
          <w:p w14:paraId="050DEFF8" w14:textId="77777777" w:rsidR="00247AD2" w:rsidRPr="001045FA" w:rsidRDefault="00247AD2" w:rsidP="001045FA">
            <w:pPr>
              <w:pStyle w:val="BodyText"/>
              <w:rPr>
                <w:sz w:val="20"/>
                <w:szCs w:val="20"/>
              </w:rPr>
            </w:pPr>
            <w:r w:rsidRPr="001045FA">
              <w:rPr>
                <w:sz w:val="20"/>
                <w:szCs w:val="20"/>
              </w:rPr>
              <w:t>20</w:t>
            </w:r>
          </w:p>
        </w:tc>
        <w:tc>
          <w:tcPr>
            <w:tcW w:w="313" w:type="pct"/>
          </w:tcPr>
          <w:p w14:paraId="02BBA795" w14:textId="77777777" w:rsidR="00247AD2" w:rsidRPr="001045FA" w:rsidRDefault="00247AD2" w:rsidP="001045FA">
            <w:pPr>
              <w:pStyle w:val="BodyText"/>
              <w:rPr>
                <w:sz w:val="20"/>
                <w:szCs w:val="20"/>
              </w:rPr>
            </w:pPr>
            <w:r w:rsidRPr="001045FA">
              <w:rPr>
                <w:sz w:val="20"/>
                <w:szCs w:val="20"/>
              </w:rPr>
              <w:t>36</w:t>
            </w:r>
          </w:p>
        </w:tc>
        <w:tc>
          <w:tcPr>
            <w:tcW w:w="268" w:type="pct"/>
          </w:tcPr>
          <w:p w14:paraId="7418B23A" w14:textId="77777777" w:rsidR="00247AD2" w:rsidRPr="001045FA" w:rsidRDefault="00247AD2" w:rsidP="001045FA">
            <w:pPr>
              <w:pStyle w:val="BodyText"/>
              <w:rPr>
                <w:sz w:val="20"/>
                <w:szCs w:val="20"/>
              </w:rPr>
            </w:pPr>
            <w:r w:rsidRPr="001045FA">
              <w:rPr>
                <w:sz w:val="20"/>
                <w:szCs w:val="20"/>
              </w:rPr>
              <w:t>2</w:t>
            </w:r>
          </w:p>
        </w:tc>
        <w:tc>
          <w:tcPr>
            <w:tcW w:w="267" w:type="pct"/>
          </w:tcPr>
          <w:p w14:paraId="727A56A0" w14:textId="77777777" w:rsidR="00247AD2" w:rsidRPr="001045FA" w:rsidRDefault="00247AD2" w:rsidP="001045FA">
            <w:pPr>
              <w:pStyle w:val="BodyText"/>
              <w:rPr>
                <w:sz w:val="20"/>
                <w:szCs w:val="20"/>
              </w:rPr>
            </w:pPr>
            <w:r w:rsidRPr="001045FA">
              <w:rPr>
                <w:sz w:val="20"/>
                <w:szCs w:val="20"/>
              </w:rPr>
              <w:t>0</w:t>
            </w:r>
          </w:p>
        </w:tc>
        <w:tc>
          <w:tcPr>
            <w:tcW w:w="268" w:type="pct"/>
          </w:tcPr>
          <w:p w14:paraId="5A5A3D1F" w14:textId="77777777" w:rsidR="00247AD2" w:rsidRPr="001045FA" w:rsidRDefault="00247AD2" w:rsidP="001045FA">
            <w:pPr>
              <w:pStyle w:val="BodyText"/>
              <w:rPr>
                <w:sz w:val="20"/>
                <w:szCs w:val="20"/>
              </w:rPr>
            </w:pPr>
            <w:r w:rsidRPr="001045FA">
              <w:rPr>
                <w:sz w:val="20"/>
                <w:szCs w:val="20"/>
              </w:rPr>
              <w:t>2</w:t>
            </w:r>
          </w:p>
        </w:tc>
        <w:tc>
          <w:tcPr>
            <w:tcW w:w="262" w:type="pct"/>
          </w:tcPr>
          <w:p w14:paraId="52E7B7FC" w14:textId="77777777" w:rsidR="00247AD2" w:rsidRPr="001045FA" w:rsidRDefault="00247AD2" w:rsidP="001045FA">
            <w:pPr>
              <w:pStyle w:val="BodyText"/>
              <w:rPr>
                <w:sz w:val="20"/>
                <w:szCs w:val="20"/>
              </w:rPr>
            </w:pPr>
            <w:r w:rsidRPr="001045FA">
              <w:rPr>
                <w:sz w:val="20"/>
                <w:szCs w:val="20"/>
              </w:rPr>
              <w:t>0</w:t>
            </w:r>
          </w:p>
        </w:tc>
        <w:tc>
          <w:tcPr>
            <w:tcW w:w="262" w:type="pct"/>
          </w:tcPr>
          <w:p w14:paraId="1E8A23B4" w14:textId="77777777" w:rsidR="00247AD2" w:rsidRPr="001045FA" w:rsidRDefault="00247AD2" w:rsidP="001045FA">
            <w:pPr>
              <w:pStyle w:val="BodyText"/>
              <w:rPr>
                <w:sz w:val="20"/>
                <w:szCs w:val="20"/>
              </w:rPr>
            </w:pPr>
            <w:r w:rsidRPr="001045FA">
              <w:rPr>
                <w:sz w:val="20"/>
                <w:szCs w:val="20"/>
              </w:rPr>
              <w:t>0</w:t>
            </w:r>
          </w:p>
        </w:tc>
        <w:tc>
          <w:tcPr>
            <w:tcW w:w="263" w:type="pct"/>
          </w:tcPr>
          <w:p w14:paraId="34886C1C" w14:textId="77777777" w:rsidR="00247AD2" w:rsidRPr="001045FA" w:rsidRDefault="00247AD2" w:rsidP="001045FA">
            <w:pPr>
              <w:pStyle w:val="BodyText"/>
              <w:rPr>
                <w:sz w:val="20"/>
                <w:szCs w:val="20"/>
              </w:rPr>
            </w:pPr>
            <w:r w:rsidRPr="001045FA">
              <w:rPr>
                <w:sz w:val="20"/>
                <w:szCs w:val="20"/>
              </w:rPr>
              <w:t>0</w:t>
            </w:r>
          </w:p>
        </w:tc>
        <w:tc>
          <w:tcPr>
            <w:tcW w:w="262" w:type="pct"/>
          </w:tcPr>
          <w:p w14:paraId="70A83F17" w14:textId="77777777" w:rsidR="00247AD2" w:rsidRPr="001045FA" w:rsidRDefault="00247AD2" w:rsidP="001045FA">
            <w:pPr>
              <w:pStyle w:val="BodyText"/>
              <w:rPr>
                <w:sz w:val="20"/>
                <w:szCs w:val="20"/>
              </w:rPr>
            </w:pPr>
            <w:r w:rsidRPr="001045FA">
              <w:rPr>
                <w:sz w:val="20"/>
                <w:szCs w:val="20"/>
              </w:rPr>
              <w:t>0</w:t>
            </w:r>
          </w:p>
        </w:tc>
        <w:tc>
          <w:tcPr>
            <w:tcW w:w="262" w:type="pct"/>
          </w:tcPr>
          <w:p w14:paraId="01895C28" w14:textId="77777777" w:rsidR="00247AD2" w:rsidRPr="001045FA" w:rsidRDefault="00247AD2" w:rsidP="001045FA">
            <w:pPr>
              <w:pStyle w:val="BodyText"/>
              <w:rPr>
                <w:sz w:val="20"/>
                <w:szCs w:val="20"/>
              </w:rPr>
            </w:pPr>
            <w:r w:rsidRPr="001045FA">
              <w:rPr>
                <w:sz w:val="20"/>
                <w:szCs w:val="20"/>
              </w:rPr>
              <w:t>0</w:t>
            </w:r>
          </w:p>
        </w:tc>
        <w:tc>
          <w:tcPr>
            <w:tcW w:w="263" w:type="pct"/>
          </w:tcPr>
          <w:p w14:paraId="0DA11552" w14:textId="77777777" w:rsidR="00247AD2" w:rsidRPr="001045FA" w:rsidRDefault="00247AD2" w:rsidP="001045FA">
            <w:pPr>
              <w:pStyle w:val="BodyText"/>
              <w:rPr>
                <w:sz w:val="20"/>
                <w:szCs w:val="20"/>
              </w:rPr>
            </w:pPr>
            <w:r w:rsidRPr="001045FA">
              <w:rPr>
                <w:sz w:val="20"/>
                <w:szCs w:val="20"/>
              </w:rPr>
              <w:t>0</w:t>
            </w:r>
          </w:p>
        </w:tc>
        <w:tc>
          <w:tcPr>
            <w:tcW w:w="312" w:type="pct"/>
          </w:tcPr>
          <w:p w14:paraId="77BB9366" w14:textId="77777777" w:rsidR="00247AD2" w:rsidRPr="001045FA" w:rsidRDefault="00247AD2" w:rsidP="001045FA">
            <w:pPr>
              <w:pStyle w:val="BodyText"/>
              <w:rPr>
                <w:sz w:val="20"/>
                <w:szCs w:val="20"/>
              </w:rPr>
            </w:pPr>
            <w:r w:rsidRPr="001045FA">
              <w:rPr>
                <w:rStyle w:val="01bodybold"/>
                <w:sz w:val="20"/>
                <w:szCs w:val="20"/>
              </w:rPr>
              <w:t>67</w:t>
            </w:r>
          </w:p>
        </w:tc>
      </w:tr>
      <w:tr w:rsidR="006A0585" w:rsidRPr="001045FA" w14:paraId="54F3CF78" w14:textId="77777777" w:rsidTr="006A0585">
        <w:trPr>
          <w:trHeight w:val="396"/>
        </w:trPr>
        <w:tc>
          <w:tcPr>
            <w:tcW w:w="550" w:type="pct"/>
          </w:tcPr>
          <w:p w14:paraId="508F4661" w14:textId="77777777" w:rsidR="00247AD2" w:rsidRPr="001045FA" w:rsidRDefault="00247AD2" w:rsidP="001045FA">
            <w:pPr>
              <w:pStyle w:val="BodyText"/>
              <w:rPr>
                <w:sz w:val="20"/>
                <w:szCs w:val="20"/>
              </w:rPr>
            </w:pPr>
            <w:r w:rsidRPr="001045FA">
              <w:rPr>
                <w:sz w:val="20"/>
                <w:szCs w:val="20"/>
              </w:rPr>
              <w:t>APS3</w:t>
            </w:r>
          </w:p>
        </w:tc>
        <w:tc>
          <w:tcPr>
            <w:tcW w:w="287" w:type="pct"/>
          </w:tcPr>
          <w:p w14:paraId="238BD3A0" w14:textId="77777777" w:rsidR="00247AD2" w:rsidRPr="001045FA" w:rsidRDefault="00247AD2" w:rsidP="001045FA">
            <w:pPr>
              <w:pStyle w:val="BodyText"/>
              <w:rPr>
                <w:sz w:val="20"/>
                <w:szCs w:val="20"/>
              </w:rPr>
            </w:pPr>
            <w:r w:rsidRPr="001045FA">
              <w:rPr>
                <w:sz w:val="20"/>
                <w:szCs w:val="20"/>
              </w:rPr>
              <w:t>17</w:t>
            </w:r>
          </w:p>
        </w:tc>
        <w:tc>
          <w:tcPr>
            <w:tcW w:w="275" w:type="pct"/>
          </w:tcPr>
          <w:p w14:paraId="4642798A" w14:textId="77777777" w:rsidR="00247AD2" w:rsidRPr="001045FA" w:rsidRDefault="00247AD2" w:rsidP="001045FA">
            <w:pPr>
              <w:pStyle w:val="BodyText"/>
              <w:rPr>
                <w:sz w:val="20"/>
                <w:szCs w:val="20"/>
              </w:rPr>
            </w:pPr>
            <w:r w:rsidRPr="001045FA">
              <w:rPr>
                <w:sz w:val="20"/>
                <w:szCs w:val="20"/>
              </w:rPr>
              <w:t>172</w:t>
            </w:r>
          </w:p>
        </w:tc>
        <w:tc>
          <w:tcPr>
            <w:tcW w:w="287" w:type="pct"/>
          </w:tcPr>
          <w:p w14:paraId="7F3D89DB" w14:textId="77777777" w:rsidR="00247AD2" w:rsidRPr="001045FA" w:rsidRDefault="00247AD2" w:rsidP="001045FA">
            <w:pPr>
              <w:pStyle w:val="BodyText"/>
              <w:rPr>
                <w:sz w:val="20"/>
                <w:szCs w:val="20"/>
              </w:rPr>
            </w:pPr>
            <w:r w:rsidRPr="001045FA">
              <w:rPr>
                <w:sz w:val="20"/>
                <w:szCs w:val="20"/>
              </w:rPr>
              <w:t>189</w:t>
            </w:r>
          </w:p>
        </w:tc>
        <w:tc>
          <w:tcPr>
            <w:tcW w:w="312" w:type="pct"/>
          </w:tcPr>
          <w:p w14:paraId="76DE97E2" w14:textId="77777777" w:rsidR="00247AD2" w:rsidRPr="001045FA" w:rsidRDefault="00247AD2" w:rsidP="001045FA">
            <w:pPr>
              <w:pStyle w:val="BodyText"/>
              <w:rPr>
                <w:sz w:val="20"/>
                <w:szCs w:val="20"/>
              </w:rPr>
            </w:pPr>
            <w:r w:rsidRPr="001045FA">
              <w:rPr>
                <w:sz w:val="20"/>
                <w:szCs w:val="20"/>
              </w:rPr>
              <w:t>20</w:t>
            </w:r>
          </w:p>
        </w:tc>
        <w:tc>
          <w:tcPr>
            <w:tcW w:w="287" w:type="pct"/>
          </w:tcPr>
          <w:p w14:paraId="5475A6B9" w14:textId="77777777" w:rsidR="00247AD2" w:rsidRPr="001045FA" w:rsidRDefault="00247AD2" w:rsidP="001045FA">
            <w:pPr>
              <w:pStyle w:val="BodyText"/>
              <w:rPr>
                <w:sz w:val="20"/>
                <w:szCs w:val="20"/>
              </w:rPr>
            </w:pPr>
            <w:r w:rsidRPr="001045FA">
              <w:rPr>
                <w:sz w:val="20"/>
                <w:szCs w:val="20"/>
              </w:rPr>
              <w:t>469</w:t>
            </w:r>
          </w:p>
        </w:tc>
        <w:tc>
          <w:tcPr>
            <w:tcW w:w="313" w:type="pct"/>
          </w:tcPr>
          <w:p w14:paraId="4089D728" w14:textId="77777777" w:rsidR="00247AD2" w:rsidRPr="001045FA" w:rsidRDefault="00247AD2" w:rsidP="001045FA">
            <w:pPr>
              <w:pStyle w:val="BodyText"/>
              <w:rPr>
                <w:sz w:val="20"/>
                <w:szCs w:val="20"/>
              </w:rPr>
            </w:pPr>
            <w:r w:rsidRPr="001045FA">
              <w:rPr>
                <w:sz w:val="20"/>
                <w:szCs w:val="20"/>
              </w:rPr>
              <w:t>489</w:t>
            </w:r>
          </w:p>
        </w:tc>
        <w:tc>
          <w:tcPr>
            <w:tcW w:w="268" w:type="pct"/>
          </w:tcPr>
          <w:p w14:paraId="030FEC1B" w14:textId="77777777" w:rsidR="00247AD2" w:rsidRPr="001045FA" w:rsidRDefault="00247AD2" w:rsidP="001045FA">
            <w:pPr>
              <w:pStyle w:val="BodyText"/>
              <w:rPr>
                <w:sz w:val="20"/>
                <w:szCs w:val="20"/>
              </w:rPr>
            </w:pPr>
            <w:r w:rsidRPr="001045FA">
              <w:rPr>
                <w:sz w:val="20"/>
                <w:szCs w:val="20"/>
              </w:rPr>
              <w:t>1</w:t>
            </w:r>
          </w:p>
        </w:tc>
        <w:tc>
          <w:tcPr>
            <w:tcW w:w="267" w:type="pct"/>
          </w:tcPr>
          <w:p w14:paraId="14E181BB" w14:textId="77777777" w:rsidR="00247AD2" w:rsidRPr="001045FA" w:rsidRDefault="00247AD2" w:rsidP="001045FA">
            <w:pPr>
              <w:pStyle w:val="BodyText"/>
              <w:rPr>
                <w:sz w:val="20"/>
                <w:szCs w:val="20"/>
              </w:rPr>
            </w:pPr>
            <w:r w:rsidRPr="001045FA">
              <w:rPr>
                <w:sz w:val="20"/>
                <w:szCs w:val="20"/>
              </w:rPr>
              <w:t>10</w:t>
            </w:r>
          </w:p>
        </w:tc>
        <w:tc>
          <w:tcPr>
            <w:tcW w:w="268" w:type="pct"/>
          </w:tcPr>
          <w:p w14:paraId="2A3AA613" w14:textId="77777777" w:rsidR="00247AD2" w:rsidRPr="001045FA" w:rsidRDefault="00247AD2" w:rsidP="001045FA">
            <w:pPr>
              <w:pStyle w:val="BodyText"/>
              <w:rPr>
                <w:sz w:val="20"/>
                <w:szCs w:val="20"/>
              </w:rPr>
            </w:pPr>
            <w:r w:rsidRPr="001045FA">
              <w:rPr>
                <w:sz w:val="20"/>
                <w:szCs w:val="20"/>
              </w:rPr>
              <w:t>11</w:t>
            </w:r>
          </w:p>
        </w:tc>
        <w:tc>
          <w:tcPr>
            <w:tcW w:w="262" w:type="pct"/>
          </w:tcPr>
          <w:p w14:paraId="2701E7CB" w14:textId="77777777" w:rsidR="00247AD2" w:rsidRPr="001045FA" w:rsidRDefault="00247AD2" w:rsidP="001045FA">
            <w:pPr>
              <w:pStyle w:val="BodyText"/>
              <w:rPr>
                <w:sz w:val="20"/>
                <w:szCs w:val="20"/>
              </w:rPr>
            </w:pPr>
            <w:r w:rsidRPr="001045FA">
              <w:rPr>
                <w:sz w:val="20"/>
                <w:szCs w:val="20"/>
              </w:rPr>
              <w:t>0</w:t>
            </w:r>
          </w:p>
        </w:tc>
        <w:tc>
          <w:tcPr>
            <w:tcW w:w="262" w:type="pct"/>
          </w:tcPr>
          <w:p w14:paraId="0F2615C4" w14:textId="77777777" w:rsidR="00247AD2" w:rsidRPr="001045FA" w:rsidRDefault="00247AD2" w:rsidP="001045FA">
            <w:pPr>
              <w:pStyle w:val="BodyText"/>
              <w:rPr>
                <w:sz w:val="20"/>
                <w:szCs w:val="20"/>
              </w:rPr>
            </w:pPr>
            <w:r w:rsidRPr="001045FA">
              <w:rPr>
                <w:sz w:val="20"/>
                <w:szCs w:val="20"/>
              </w:rPr>
              <w:t>0</w:t>
            </w:r>
          </w:p>
        </w:tc>
        <w:tc>
          <w:tcPr>
            <w:tcW w:w="263" w:type="pct"/>
          </w:tcPr>
          <w:p w14:paraId="431DAA76" w14:textId="77777777" w:rsidR="00247AD2" w:rsidRPr="001045FA" w:rsidRDefault="00247AD2" w:rsidP="001045FA">
            <w:pPr>
              <w:pStyle w:val="BodyText"/>
              <w:rPr>
                <w:sz w:val="20"/>
                <w:szCs w:val="20"/>
              </w:rPr>
            </w:pPr>
            <w:r w:rsidRPr="001045FA">
              <w:rPr>
                <w:sz w:val="20"/>
                <w:szCs w:val="20"/>
              </w:rPr>
              <w:t>0</w:t>
            </w:r>
          </w:p>
        </w:tc>
        <w:tc>
          <w:tcPr>
            <w:tcW w:w="262" w:type="pct"/>
          </w:tcPr>
          <w:p w14:paraId="64215BCA" w14:textId="77777777" w:rsidR="00247AD2" w:rsidRPr="001045FA" w:rsidRDefault="00247AD2" w:rsidP="001045FA">
            <w:pPr>
              <w:pStyle w:val="BodyText"/>
              <w:rPr>
                <w:sz w:val="20"/>
                <w:szCs w:val="20"/>
              </w:rPr>
            </w:pPr>
            <w:r w:rsidRPr="001045FA">
              <w:rPr>
                <w:sz w:val="20"/>
                <w:szCs w:val="20"/>
              </w:rPr>
              <w:t>0</w:t>
            </w:r>
          </w:p>
        </w:tc>
        <w:tc>
          <w:tcPr>
            <w:tcW w:w="262" w:type="pct"/>
          </w:tcPr>
          <w:p w14:paraId="6ECB35F0" w14:textId="77777777" w:rsidR="00247AD2" w:rsidRPr="001045FA" w:rsidRDefault="00247AD2" w:rsidP="001045FA">
            <w:pPr>
              <w:pStyle w:val="BodyText"/>
              <w:rPr>
                <w:sz w:val="20"/>
                <w:szCs w:val="20"/>
              </w:rPr>
            </w:pPr>
            <w:r w:rsidRPr="001045FA">
              <w:rPr>
                <w:sz w:val="20"/>
                <w:szCs w:val="20"/>
              </w:rPr>
              <w:t>0</w:t>
            </w:r>
          </w:p>
        </w:tc>
        <w:tc>
          <w:tcPr>
            <w:tcW w:w="263" w:type="pct"/>
          </w:tcPr>
          <w:p w14:paraId="04E12510" w14:textId="77777777" w:rsidR="00247AD2" w:rsidRPr="001045FA" w:rsidRDefault="00247AD2" w:rsidP="001045FA">
            <w:pPr>
              <w:pStyle w:val="BodyText"/>
              <w:rPr>
                <w:sz w:val="20"/>
                <w:szCs w:val="20"/>
              </w:rPr>
            </w:pPr>
            <w:r w:rsidRPr="001045FA">
              <w:rPr>
                <w:sz w:val="20"/>
                <w:szCs w:val="20"/>
              </w:rPr>
              <w:t>0</w:t>
            </w:r>
          </w:p>
        </w:tc>
        <w:tc>
          <w:tcPr>
            <w:tcW w:w="312" w:type="pct"/>
          </w:tcPr>
          <w:p w14:paraId="4C578771" w14:textId="77777777" w:rsidR="00247AD2" w:rsidRPr="001045FA" w:rsidRDefault="00247AD2" w:rsidP="001045FA">
            <w:pPr>
              <w:pStyle w:val="BodyText"/>
              <w:rPr>
                <w:sz w:val="20"/>
                <w:szCs w:val="20"/>
              </w:rPr>
            </w:pPr>
            <w:r w:rsidRPr="001045FA">
              <w:rPr>
                <w:rStyle w:val="01bodybold"/>
                <w:sz w:val="20"/>
                <w:szCs w:val="20"/>
              </w:rPr>
              <w:t>689</w:t>
            </w:r>
          </w:p>
        </w:tc>
      </w:tr>
      <w:tr w:rsidR="006A0585" w:rsidRPr="001045FA" w14:paraId="7E7BC1AB" w14:textId="77777777" w:rsidTr="006A0585">
        <w:trPr>
          <w:trHeight w:val="396"/>
        </w:trPr>
        <w:tc>
          <w:tcPr>
            <w:tcW w:w="550" w:type="pct"/>
          </w:tcPr>
          <w:p w14:paraId="286B0B22" w14:textId="77777777" w:rsidR="00247AD2" w:rsidRPr="001045FA" w:rsidRDefault="00247AD2" w:rsidP="001045FA">
            <w:pPr>
              <w:pStyle w:val="BodyText"/>
              <w:rPr>
                <w:sz w:val="20"/>
                <w:szCs w:val="20"/>
              </w:rPr>
            </w:pPr>
            <w:r w:rsidRPr="001045FA">
              <w:rPr>
                <w:sz w:val="20"/>
                <w:szCs w:val="20"/>
              </w:rPr>
              <w:t>APS2</w:t>
            </w:r>
          </w:p>
        </w:tc>
        <w:tc>
          <w:tcPr>
            <w:tcW w:w="287" w:type="pct"/>
          </w:tcPr>
          <w:p w14:paraId="2D96D757" w14:textId="77777777" w:rsidR="00247AD2" w:rsidRPr="001045FA" w:rsidRDefault="00247AD2" w:rsidP="001045FA">
            <w:pPr>
              <w:pStyle w:val="BodyText"/>
              <w:rPr>
                <w:sz w:val="20"/>
                <w:szCs w:val="20"/>
              </w:rPr>
            </w:pPr>
            <w:r w:rsidRPr="001045FA">
              <w:rPr>
                <w:sz w:val="20"/>
                <w:szCs w:val="20"/>
              </w:rPr>
              <w:t>0</w:t>
            </w:r>
          </w:p>
        </w:tc>
        <w:tc>
          <w:tcPr>
            <w:tcW w:w="275" w:type="pct"/>
          </w:tcPr>
          <w:p w14:paraId="0ED00318" w14:textId="77777777" w:rsidR="00247AD2" w:rsidRPr="001045FA" w:rsidRDefault="00247AD2" w:rsidP="001045FA">
            <w:pPr>
              <w:pStyle w:val="BodyText"/>
              <w:rPr>
                <w:sz w:val="20"/>
                <w:szCs w:val="20"/>
              </w:rPr>
            </w:pPr>
            <w:r w:rsidRPr="001045FA">
              <w:rPr>
                <w:sz w:val="20"/>
                <w:szCs w:val="20"/>
              </w:rPr>
              <w:t>0</w:t>
            </w:r>
          </w:p>
        </w:tc>
        <w:tc>
          <w:tcPr>
            <w:tcW w:w="287" w:type="pct"/>
          </w:tcPr>
          <w:p w14:paraId="5D136511" w14:textId="77777777" w:rsidR="00247AD2" w:rsidRPr="001045FA" w:rsidRDefault="00247AD2" w:rsidP="001045FA">
            <w:pPr>
              <w:pStyle w:val="BodyText"/>
              <w:rPr>
                <w:sz w:val="20"/>
                <w:szCs w:val="20"/>
              </w:rPr>
            </w:pPr>
            <w:r w:rsidRPr="001045FA">
              <w:rPr>
                <w:sz w:val="20"/>
                <w:szCs w:val="20"/>
              </w:rPr>
              <w:t>0</w:t>
            </w:r>
          </w:p>
        </w:tc>
        <w:tc>
          <w:tcPr>
            <w:tcW w:w="312" w:type="pct"/>
          </w:tcPr>
          <w:p w14:paraId="4C19239A" w14:textId="77777777" w:rsidR="00247AD2" w:rsidRPr="001045FA" w:rsidRDefault="00247AD2" w:rsidP="001045FA">
            <w:pPr>
              <w:pStyle w:val="BodyText"/>
              <w:rPr>
                <w:sz w:val="20"/>
                <w:szCs w:val="20"/>
              </w:rPr>
            </w:pPr>
            <w:r w:rsidRPr="001045FA">
              <w:rPr>
                <w:sz w:val="20"/>
                <w:szCs w:val="20"/>
              </w:rPr>
              <w:t>0</w:t>
            </w:r>
          </w:p>
        </w:tc>
        <w:tc>
          <w:tcPr>
            <w:tcW w:w="287" w:type="pct"/>
          </w:tcPr>
          <w:p w14:paraId="7B77B065" w14:textId="77777777" w:rsidR="00247AD2" w:rsidRPr="001045FA" w:rsidRDefault="00247AD2" w:rsidP="001045FA">
            <w:pPr>
              <w:pStyle w:val="BodyText"/>
              <w:rPr>
                <w:sz w:val="20"/>
                <w:szCs w:val="20"/>
              </w:rPr>
            </w:pPr>
            <w:r w:rsidRPr="001045FA">
              <w:rPr>
                <w:sz w:val="20"/>
                <w:szCs w:val="20"/>
              </w:rPr>
              <w:t>0</w:t>
            </w:r>
          </w:p>
        </w:tc>
        <w:tc>
          <w:tcPr>
            <w:tcW w:w="313" w:type="pct"/>
          </w:tcPr>
          <w:p w14:paraId="39B710A6" w14:textId="77777777" w:rsidR="00247AD2" w:rsidRPr="001045FA" w:rsidRDefault="00247AD2" w:rsidP="001045FA">
            <w:pPr>
              <w:pStyle w:val="BodyText"/>
              <w:rPr>
                <w:sz w:val="20"/>
                <w:szCs w:val="20"/>
              </w:rPr>
            </w:pPr>
            <w:r w:rsidRPr="001045FA">
              <w:rPr>
                <w:sz w:val="20"/>
                <w:szCs w:val="20"/>
              </w:rPr>
              <w:t>0</w:t>
            </w:r>
          </w:p>
        </w:tc>
        <w:tc>
          <w:tcPr>
            <w:tcW w:w="268" w:type="pct"/>
          </w:tcPr>
          <w:p w14:paraId="3F0670D1" w14:textId="77777777" w:rsidR="00247AD2" w:rsidRPr="001045FA" w:rsidRDefault="00247AD2" w:rsidP="001045FA">
            <w:pPr>
              <w:pStyle w:val="BodyText"/>
              <w:rPr>
                <w:sz w:val="20"/>
                <w:szCs w:val="20"/>
              </w:rPr>
            </w:pPr>
            <w:r w:rsidRPr="001045FA">
              <w:rPr>
                <w:sz w:val="20"/>
                <w:szCs w:val="20"/>
              </w:rPr>
              <w:t>0</w:t>
            </w:r>
          </w:p>
        </w:tc>
        <w:tc>
          <w:tcPr>
            <w:tcW w:w="267" w:type="pct"/>
          </w:tcPr>
          <w:p w14:paraId="7522EAD3" w14:textId="77777777" w:rsidR="00247AD2" w:rsidRPr="001045FA" w:rsidRDefault="00247AD2" w:rsidP="001045FA">
            <w:pPr>
              <w:pStyle w:val="BodyText"/>
              <w:rPr>
                <w:sz w:val="20"/>
                <w:szCs w:val="20"/>
              </w:rPr>
            </w:pPr>
            <w:r w:rsidRPr="001045FA">
              <w:rPr>
                <w:sz w:val="20"/>
                <w:szCs w:val="20"/>
              </w:rPr>
              <w:t>0</w:t>
            </w:r>
          </w:p>
        </w:tc>
        <w:tc>
          <w:tcPr>
            <w:tcW w:w="268" w:type="pct"/>
          </w:tcPr>
          <w:p w14:paraId="579785E1" w14:textId="77777777" w:rsidR="00247AD2" w:rsidRPr="001045FA" w:rsidRDefault="00247AD2" w:rsidP="001045FA">
            <w:pPr>
              <w:pStyle w:val="BodyText"/>
              <w:rPr>
                <w:sz w:val="20"/>
                <w:szCs w:val="20"/>
              </w:rPr>
            </w:pPr>
            <w:r w:rsidRPr="001045FA">
              <w:rPr>
                <w:sz w:val="20"/>
                <w:szCs w:val="20"/>
              </w:rPr>
              <w:t>0</w:t>
            </w:r>
          </w:p>
        </w:tc>
        <w:tc>
          <w:tcPr>
            <w:tcW w:w="262" w:type="pct"/>
          </w:tcPr>
          <w:p w14:paraId="6AF7F1DC" w14:textId="77777777" w:rsidR="00247AD2" w:rsidRPr="001045FA" w:rsidRDefault="00247AD2" w:rsidP="001045FA">
            <w:pPr>
              <w:pStyle w:val="BodyText"/>
              <w:rPr>
                <w:sz w:val="20"/>
                <w:szCs w:val="20"/>
              </w:rPr>
            </w:pPr>
            <w:r w:rsidRPr="001045FA">
              <w:rPr>
                <w:sz w:val="20"/>
                <w:szCs w:val="20"/>
              </w:rPr>
              <w:t>0</w:t>
            </w:r>
          </w:p>
        </w:tc>
        <w:tc>
          <w:tcPr>
            <w:tcW w:w="262" w:type="pct"/>
          </w:tcPr>
          <w:p w14:paraId="45067F0E" w14:textId="77777777" w:rsidR="00247AD2" w:rsidRPr="001045FA" w:rsidRDefault="00247AD2" w:rsidP="001045FA">
            <w:pPr>
              <w:pStyle w:val="BodyText"/>
              <w:rPr>
                <w:sz w:val="20"/>
                <w:szCs w:val="20"/>
              </w:rPr>
            </w:pPr>
            <w:r w:rsidRPr="001045FA">
              <w:rPr>
                <w:sz w:val="20"/>
                <w:szCs w:val="20"/>
              </w:rPr>
              <w:t>0</w:t>
            </w:r>
          </w:p>
        </w:tc>
        <w:tc>
          <w:tcPr>
            <w:tcW w:w="263" w:type="pct"/>
          </w:tcPr>
          <w:p w14:paraId="254518ED" w14:textId="77777777" w:rsidR="00247AD2" w:rsidRPr="001045FA" w:rsidRDefault="00247AD2" w:rsidP="001045FA">
            <w:pPr>
              <w:pStyle w:val="BodyText"/>
              <w:rPr>
                <w:sz w:val="20"/>
                <w:szCs w:val="20"/>
              </w:rPr>
            </w:pPr>
            <w:r w:rsidRPr="001045FA">
              <w:rPr>
                <w:sz w:val="20"/>
                <w:szCs w:val="20"/>
              </w:rPr>
              <w:t>0</w:t>
            </w:r>
          </w:p>
        </w:tc>
        <w:tc>
          <w:tcPr>
            <w:tcW w:w="262" w:type="pct"/>
          </w:tcPr>
          <w:p w14:paraId="66D9F198" w14:textId="77777777" w:rsidR="00247AD2" w:rsidRPr="001045FA" w:rsidRDefault="00247AD2" w:rsidP="001045FA">
            <w:pPr>
              <w:pStyle w:val="BodyText"/>
              <w:rPr>
                <w:sz w:val="20"/>
                <w:szCs w:val="20"/>
              </w:rPr>
            </w:pPr>
            <w:r w:rsidRPr="001045FA">
              <w:rPr>
                <w:sz w:val="20"/>
                <w:szCs w:val="20"/>
              </w:rPr>
              <w:t>0</w:t>
            </w:r>
          </w:p>
        </w:tc>
        <w:tc>
          <w:tcPr>
            <w:tcW w:w="262" w:type="pct"/>
          </w:tcPr>
          <w:p w14:paraId="52164895" w14:textId="77777777" w:rsidR="00247AD2" w:rsidRPr="001045FA" w:rsidRDefault="00247AD2" w:rsidP="001045FA">
            <w:pPr>
              <w:pStyle w:val="BodyText"/>
              <w:rPr>
                <w:sz w:val="20"/>
                <w:szCs w:val="20"/>
              </w:rPr>
            </w:pPr>
            <w:r w:rsidRPr="001045FA">
              <w:rPr>
                <w:sz w:val="20"/>
                <w:szCs w:val="20"/>
              </w:rPr>
              <w:t>0</w:t>
            </w:r>
          </w:p>
        </w:tc>
        <w:tc>
          <w:tcPr>
            <w:tcW w:w="263" w:type="pct"/>
          </w:tcPr>
          <w:p w14:paraId="3BEB5957" w14:textId="77777777" w:rsidR="00247AD2" w:rsidRPr="001045FA" w:rsidRDefault="00247AD2" w:rsidP="001045FA">
            <w:pPr>
              <w:pStyle w:val="BodyText"/>
              <w:rPr>
                <w:sz w:val="20"/>
                <w:szCs w:val="20"/>
              </w:rPr>
            </w:pPr>
            <w:r w:rsidRPr="001045FA">
              <w:rPr>
                <w:sz w:val="20"/>
                <w:szCs w:val="20"/>
              </w:rPr>
              <w:t>0</w:t>
            </w:r>
          </w:p>
        </w:tc>
        <w:tc>
          <w:tcPr>
            <w:tcW w:w="312" w:type="pct"/>
          </w:tcPr>
          <w:p w14:paraId="4ECF36F2" w14:textId="77777777" w:rsidR="00247AD2" w:rsidRPr="001045FA" w:rsidRDefault="00247AD2" w:rsidP="001045FA">
            <w:pPr>
              <w:pStyle w:val="BodyText"/>
              <w:rPr>
                <w:sz w:val="20"/>
                <w:szCs w:val="20"/>
              </w:rPr>
            </w:pPr>
            <w:r w:rsidRPr="001045FA">
              <w:rPr>
                <w:rStyle w:val="01bodybold"/>
                <w:sz w:val="20"/>
                <w:szCs w:val="20"/>
              </w:rPr>
              <w:t>0</w:t>
            </w:r>
          </w:p>
        </w:tc>
      </w:tr>
      <w:tr w:rsidR="006A0585" w:rsidRPr="001045FA" w14:paraId="70D729FB" w14:textId="77777777" w:rsidTr="006A0585">
        <w:trPr>
          <w:trHeight w:val="396"/>
        </w:trPr>
        <w:tc>
          <w:tcPr>
            <w:tcW w:w="550" w:type="pct"/>
          </w:tcPr>
          <w:p w14:paraId="6CC1C291" w14:textId="77777777" w:rsidR="00247AD2" w:rsidRPr="001045FA" w:rsidRDefault="00247AD2" w:rsidP="001045FA">
            <w:pPr>
              <w:pStyle w:val="BodyText"/>
              <w:rPr>
                <w:sz w:val="20"/>
                <w:szCs w:val="20"/>
              </w:rPr>
            </w:pPr>
            <w:r w:rsidRPr="001045FA">
              <w:rPr>
                <w:sz w:val="20"/>
                <w:szCs w:val="20"/>
              </w:rPr>
              <w:t>APS1</w:t>
            </w:r>
          </w:p>
        </w:tc>
        <w:tc>
          <w:tcPr>
            <w:tcW w:w="287" w:type="pct"/>
          </w:tcPr>
          <w:p w14:paraId="605221D8" w14:textId="77777777" w:rsidR="00247AD2" w:rsidRPr="001045FA" w:rsidRDefault="00247AD2" w:rsidP="001045FA">
            <w:pPr>
              <w:pStyle w:val="BodyText"/>
              <w:rPr>
                <w:sz w:val="20"/>
                <w:szCs w:val="20"/>
              </w:rPr>
            </w:pPr>
            <w:r w:rsidRPr="001045FA">
              <w:rPr>
                <w:sz w:val="20"/>
                <w:szCs w:val="20"/>
              </w:rPr>
              <w:t>1</w:t>
            </w:r>
          </w:p>
        </w:tc>
        <w:tc>
          <w:tcPr>
            <w:tcW w:w="275" w:type="pct"/>
          </w:tcPr>
          <w:p w14:paraId="49E94E55" w14:textId="77777777" w:rsidR="00247AD2" w:rsidRPr="001045FA" w:rsidRDefault="00247AD2" w:rsidP="001045FA">
            <w:pPr>
              <w:pStyle w:val="BodyText"/>
              <w:rPr>
                <w:sz w:val="20"/>
                <w:szCs w:val="20"/>
              </w:rPr>
            </w:pPr>
            <w:r w:rsidRPr="001045FA">
              <w:rPr>
                <w:sz w:val="20"/>
                <w:szCs w:val="20"/>
              </w:rPr>
              <w:t>0</w:t>
            </w:r>
          </w:p>
        </w:tc>
        <w:tc>
          <w:tcPr>
            <w:tcW w:w="287" w:type="pct"/>
          </w:tcPr>
          <w:p w14:paraId="166EFE2E" w14:textId="77777777" w:rsidR="00247AD2" w:rsidRPr="001045FA" w:rsidRDefault="00247AD2" w:rsidP="001045FA">
            <w:pPr>
              <w:pStyle w:val="BodyText"/>
              <w:rPr>
                <w:sz w:val="20"/>
                <w:szCs w:val="20"/>
              </w:rPr>
            </w:pPr>
            <w:r w:rsidRPr="001045FA">
              <w:rPr>
                <w:sz w:val="20"/>
                <w:szCs w:val="20"/>
              </w:rPr>
              <w:t>1</w:t>
            </w:r>
          </w:p>
        </w:tc>
        <w:tc>
          <w:tcPr>
            <w:tcW w:w="312" w:type="pct"/>
          </w:tcPr>
          <w:p w14:paraId="3B19E262" w14:textId="77777777" w:rsidR="00247AD2" w:rsidRPr="001045FA" w:rsidRDefault="00247AD2" w:rsidP="001045FA">
            <w:pPr>
              <w:pStyle w:val="BodyText"/>
              <w:rPr>
                <w:sz w:val="20"/>
                <w:szCs w:val="20"/>
              </w:rPr>
            </w:pPr>
            <w:r w:rsidRPr="001045FA">
              <w:rPr>
                <w:sz w:val="20"/>
                <w:szCs w:val="20"/>
              </w:rPr>
              <w:t>0</w:t>
            </w:r>
          </w:p>
        </w:tc>
        <w:tc>
          <w:tcPr>
            <w:tcW w:w="287" w:type="pct"/>
          </w:tcPr>
          <w:p w14:paraId="6B0EA1DD" w14:textId="77777777" w:rsidR="00247AD2" w:rsidRPr="001045FA" w:rsidRDefault="00247AD2" w:rsidP="001045FA">
            <w:pPr>
              <w:pStyle w:val="BodyText"/>
              <w:rPr>
                <w:sz w:val="20"/>
                <w:szCs w:val="20"/>
              </w:rPr>
            </w:pPr>
            <w:r w:rsidRPr="001045FA">
              <w:rPr>
                <w:sz w:val="20"/>
                <w:szCs w:val="20"/>
              </w:rPr>
              <w:t>0</w:t>
            </w:r>
          </w:p>
        </w:tc>
        <w:tc>
          <w:tcPr>
            <w:tcW w:w="313" w:type="pct"/>
          </w:tcPr>
          <w:p w14:paraId="2B649A71" w14:textId="77777777" w:rsidR="00247AD2" w:rsidRPr="001045FA" w:rsidRDefault="00247AD2" w:rsidP="001045FA">
            <w:pPr>
              <w:pStyle w:val="BodyText"/>
              <w:rPr>
                <w:sz w:val="20"/>
                <w:szCs w:val="20"/>
              </w:rPr>
            </w:pPr>
            <w:r w:rsidRPr="001045FA">
              <w:rPr>
                <w:sz w:val="20"/>
                <w:szCs w:val="20"/>
              </w:rPr>
              <w:t>0</w:t>
            </w:r>
          </w:p>
        </w:tc>
        <w:tc>
          <w:tcPr>
            <w:tcW w:w="268" w:type="pct"/>
          </w:tcPr>
          <w:p w14:paraId="4D859DF8" w14:textId="77777777" w:rsidR="00247AD2" w:rsidRPr="001045FA" w:rsidRDefault="00247AD2" w:rsidP="001045FA">
            <w:pPr>
              <w:pStyle w:val="BodyText"/>
              <w:rPr>
                <w:sz w:val="20"/>
                <w:szCs w:val="20"/>
              </w:rPr>
            </w:pPr>
            <w:r w:rsidRPr="001045FA">
              <w:rPr>
                <w:sz w:val="20"/>
                <w:szCs w:val="20"/>
              </w:rPr>
              <w:t>0</w:t>
            </w:r>
          </w:p>
        </w:tc>
        <w:tc>
          <w:tcPr>
            <w:tcW w:w="267" w:type="pct"/>
          </w:tcPr>
          <w:p w14:paraId="1A0A006C" w14:textId="77777777" w:rsidR="00247AD2" w:rsidRPr="001045FA" w:rsidRDefault="00247AD2" w:rsidP="001045FA">
            <w:pPr>
              <w:pStyle w:val="BodyText"/>
              <w:rPr>
                <w:sz w:val="20"/>
                <w:szCs w:val="20"/>
              </w:rPr>
            </w:pPr>
            <w:r w:rsidRPr="001045FA">
              <w:rPr>
                <w:sz w:val="20"/>
                <w:szCs w:val="20"/>
              </w:rPr>
              <w:t>0</w:t>
            </w:r>
          </w:p>
        </w:tc>
        <w:tc>
          <w:tcPr>
            <w:tcW w:w="268" w:type="pct"/>
          </w:tcPr>
          <w:p w14:paraId="0CBEF419" w14:textId="77777777" w:rsidR="00247AD2" w:rsidRPr="001045FA" w:rsidRDefault="00247AD2" w:rsidP="001045FA">
            <w:pPr>
              <w:pStyle w:val="BodyText"/>
              <w:rPr>
                <w:sz w:val="20"/>
                <w:szCs w:val="20"/>
              </w:rPr>
            </w:pPr>
            <w:r w:rsidRPr="001045FA">
              <w:rPr>
                <w:sz w:val="20"/>
                <w:szCs w:val="20"/>
              </w:rPr>
              <w:t>0</w:t>
            </w:r>
          </w:p>
        </w:tc>
        <w:tc>
          <w:tcPr>
            <w:tcW w:w="262" w:type="pct"/>
          </w:tcPr>
          <w:p w14:paraId="14A713CA" w14:textId="77777777" w:rsidR="00247AD2" w:rsidRPr="001045FA" w:rsidRDefault="00247AD2" w:rsidP="001045FA">
            <w:pPr>
              <w:pStyle w:val="BodyText"/>
              <w:rPr>
                <w:sz w:val="20"/>
                <w:szCs w:val="20"/>
              </w:rPr>
            </w:pPr>
            <w:r w:rsidRPr="001045FA">
              <w:rPr>
                <w:sz w:val="20"/>
                <w:szCs w:val="20"/>
              </w:rPr>
              <w:t>0</w:t>
            </w:r>
          </w:p>
        </w:tc>
        <w:tc>
          <w:tcPr>
            <w:tcW w:w="262" w:type="pct"/>
          </w:tcPr>
          <w:p w14:paraId="68AEE267" w14:textId="77777777" w:rsidR="00247AD2" w:rsidRPr="001045FA" w:rsidRDefault="00247AD2" w:rsidP="001045FA">
            <w:pPr>
              <w:pStyle w:val="BodyText"/>
              <w:rPr>
                <w:sz w:val="20"/>
                <w:szCs w:val="20"/>
              </w:rPr>
            </w:pPr>
            <w:r w:rsidRPr="001045FA">
              <w:rPr>
                <w:sz w:val="20"/>
                <w:szCs w:val="20"/>
              </w:rPr>
              <w:t>0</w:t>
            </w:r>
          </w:p>
        </w:tc>
        <w:tc>
          <w:tcPr>
            <w:tcW w:w="263" w:type="pct"/>
          </w:tcPr>
          <w:p w14:paraId="18308833" w14:textId="77777777" w:rsidR="00247AD2" w:rsidRPr="001045FA" w:rsidRDefault="00247AD2" w:rsidP="001045FA">
            <w:pPr>
              <w:pStyle w:val="BodyText"/>
              <w:rPr>
                <w:sz w:val="20"/>
                <w:szCs w:val="20"/>
              </w:rPr>
            </w:pPr>
            <w:r w:rsidRPr="001045FA">
              <w:rPr>
                <w:sz w:val="20"/>
                <w:szCs w:val="20"/>
              </w:rPr>
              <w:t>0</w:t>
            </w:r>
          </w:p>
        </w:tc>
        <w:tc>
          <w:tcPr>
            <w:tcW w:w="262" w:type="pct"/>
          </w:tcPr>
          <w:p w14:paraId="18E5CCE5" w14:textId="77777777" w:rsidR="00247AD2" w:rsidRPr="001045FA" w:rsidRDefault="00247AD2" w:rsidP="001045FA">
            <w:pPr>
              <w:pStyle w:val="BodyText"/>
              <w:rPr>
                <w:sz w:val="20"/>
                <w:szCs w:val="20"/>
              </w:rPr>
            </w:pPr>
            <w:r w:rsidRPr="001045FA">
              <w:rPr>
                <w:sz w:val="20"/>
                <w:szCs w:val="20"/>
              </w:rPr>
              <w:t>0</w:t>
            </w:r>
          </w:p>
        </w:tc>
        <w:tc>
          <w:tcPr>
            <w:tcW w:w="262" w:type="pct"/>
          </w:tcPr>
          <w:p w14:paraId="42F221CB" w14:textId="77777777" w:rsidR="00247AD2" w:rsidRPr="001045FA" w:rsidRDefault="00247AD2" w:rsidP="001045FA">
            <w:pPr>
              <w:pStyle w:val="BodyText"/>
              <w:rPr>
                <w:sz w:val="20"/>
                <w:szCs w:val="20"/>
              </w:rPr>
            </w:pPr>
            <w:r w:rsidRPr="001045FA">
              <w:rPr>
                <w:sz w:val="20"/>
                <w:szCs w:val="20"/>
              </w:rPr>
              <w:t>0</w:t>
            </w:r>
          </w:p>
        </w:tc>
        <w:tc>
          <w:tcPr>
            <w:tcW w:w="263" w:type="pct"/>
          </w:tcPr>
          <w:p w14:paraId="5E072FDA" w14:textId="77777777" w:rsidR="00247AD2" w:rsidRPr="001045FA" w:rsidRDefault="00247AD2" w:rsidP="001045FA">
            <w:pPr>
              <w:pStyle w:val="BodyText"/>
              <w:rPr>
                <w:sz w:val="20"/>
                <w:szCs w:val="20"/>
              </w:rPr>
            </w:pPr>
            <w:r w:rsidRPr="001045FA">
              <w:rPr>
                <w:sz w:val="20"/>
                <w:szCs w:val="20"/>
              </w:rPr>
              <w:t>0</w:t>
            </w:r>
          </w:p>
        </w:tc>
        <w:tc>
          <w:tcPr>
            <w:tcW w:w="312" w:type="pct"/>
          </w:tcPr>
          <w:p w14:paraId="54C3A67F" w14:textId="77777777" w:rsidR="00247AD2" w:rsidRPr="001045FA" w:rsidRDefault="00247AD2" w:rsidP="001045FA">
            <w:pPr>
              <w:pStyle w:val="BodyText"/>
              <w:rPr>
                <w:sz w:val="20"/>
                <w:szCs w:val="20"/>
              </w:rPr>
            </w:pPr>
            <w:r w:rsidRPr="001045FA">
              <w:rPr>
                <w:rStyle w:val="01bodybold"/>
                <w:sz w:val="20"/>
                <w:szCs w:val="20"/>
              </w:rPr>
              <w:t>1</w:t>
            </w:r>
          </w:p>
        </w:tc>
      </w:tr>
      <w:tr w:rsidR="006A0585" w:rsidRPr="001045FA" w14:paraId="53055C37" w14:textId="77777777" w:rsidTr="006A0585">
        <w:trPr>
          <w:trHeight w:val="396"/>
        </w:trPr>
        <w:tc>
          <w:tcPr>
            <w:tcW w:w="550" w:type="pct"/>
          </w:tcPr>
          <w:p w14:paraId="097265D8" w14:textId="77777777" w:rsidR="00247AD2" w:rsidRPr="001045FA" w:rsidRDefault="00247AD2" w:rsidP="001045FA">
            <w:pPr>
              <w:pStyle w:val="BodyText"/>
              <w:rPr>
                <w:sz w:val="20"/>
                <w:szCs w:val="20"/>
              </w:rPr>
            </w:pPr>
            <w:r w:rsidRPr="001045FA">
              <w:rPr>
                <w:sz w:val="20"/>
                <w:szCs w:val="20"/>
              </w:rPr>
              <w:t>Other</w:t>
            </w:r>
          </w:p>
        </w:tc>
        <w:tc>
          <w:tcPr>
            <w:tcW w:w="287" w:type="pct"/>
          </w:tcPr>
          <w:p w14:paraId="04B9B310" w14:textId="77777777" w:rsidR="00247AD2" w:rsidRPr="001045FA" w:rsidRDefault="00247AD2" w:rsidP="001045FA">
            <w:pPr>
              <w:pStyle w:val="BodyText"/>
              <w:rPr>
                <w:sz w:val="20"/>
                <w:szCs w:val="20"/>
              </w:rPr>
            </w:pPr>
            <w:r w:rsidRPr="001045FA">
              <w:rPr>
                <w:sz w:val="20"/>
                <w:szCs w:val="20"/>
              </w:rPr>
              <w:t>0</w:t>
            </w:r>
          </w:p>
        </w:tc>
        <w:tc>
          <w:tcPr>
            <w:tcW w:w="275" w:type="pct"/>
          </w:tcPr>
          <w:p w14:paraId="63172B00" w14:textId="77777777" w:rsidR="00247AD2" w:rsidRPr="001045FA" w:rsidRDefault="00247AD2" w:rsidP="001045FA">
            <w:pPr>
              <w:pStyle w:val="BodyText"/>
              <w:rPr>
                <w:sz w:val="20"/>
                <w:szCs w:val="20"/>
              </w:rPr>
            </w:pPr>
            <w:r w:rsidRPr="001045FA">
              <w:rPr>
                <w:sz w:val="20"/>
                <w:szCs w:val="20"/>
              </w:rPr>
              <w:t>0</w:t>
            </w:r>
          </w:p>
        </w:tc>
        <w:tc>
          <w:tcPr>
            <w:tcW w:w="287" w:type="pct"/>
          </w:tcPr>
          <w:p w14:paraId="0AD99611" w14:textId="77777777" w:rsidR="00247AD2" w:rsidRPr="001045FA" w:rsidRDefault="00247AD2" w:rsidP="001045FA">
            <w:pPr>
              <w:pStyle w:val="BodyText"/>
              <w:rPr>
                <w:sz w:val="20"/>
                <w:szCs w:val="20"/>
              </w:rPr>
            </w:pPr>
            <w:r w:rsidRPr="001045FA">
              <w:rPr>
                <w:sz w:val="20"/>
                <w:szCs w:val="20"/>
              </w:rPr>
              <w:t>0</w:t>
            </w:r>
          </w:p>
        </w:tc>
        <w:tc>
          <w:tcPr>
            <w:tcW w:w="312" w:type="pct"/>
          </w:tcPr>
          <w:p w14:paraId="585EAF57" w14:textId="77777777" w:rsidR="00247AD2" w:rsidRPr="001045FA" w:rsidRDefault="00247AD2" w:rsidP="001045FA">
            <w:pPr>
              <w:pStyle w:val="BodyText"/>
              <w:rPr>
                <w:sz w:val="20"/>
                <w:szCs w:val="20"/>
              </w:rPr>
            </w:pPr>
            <w:r w:rsidRPr="001045FA">
              <w:rPr>
                <w:sz w:val="20"/>
                <w:szCs w:val="20"/>
              </w:rPr>
              <w:t>0</w:t>
            </w:r>
          </w:p>
        </w:tc>
        <w:tc>
          <w:tcPr>
            <w:tcW w:w="287" w:type="pct"/>
          </w:tcPr>
          <w:p w14:paraId="43797A0B" w14:textId="77777777" w:rsidR="00247AD2" w:rsidRPr="001045FA" w:rsidRDefault="00247AD2" w:rsidP="001045FA">
            <w:pPr>
              <w:pStyle w:val="BodyText"/>
              <w:rPr>
                <w:sz w:val="20"/>
                <w:szCs w:val="20"/>
              </w:rPr>
            </w:pPr>
            <w:r w:rsidRPr="001045FA">
              <w:rPr>
                <w:sz w:val="20"/>
                <w:szCs w:val="20"/>
              </w:rPr>
              <w:t>0</w:t>
            </w:r>
          </w:p>
        </w:tc>
        <w:tc>
          <w:tcPr>
            <w:tcW w:w="313" w:type="pct"/>
          </w:tcPr>
          <w:p w14:paraId="264BBEE1" w14:textId="77777777" w:rsidR="00247AD2" w:rsidRPr="001045FA" w:rsidRDefault="00247AD2" w:rsidP="001045FA">
            <w:pPr>
              <w:pStyle w:val="BodyText"/>
              <w:rPr>
                <w:sz w:val="20"/>
                <w:szCs w:val="20"/>
              </w:rPr>
            </w:pPr>
            <w:r w:rsidRPr="001045FA">
              <w:rPr>
                <w:sz w:val="20"/>
                <w:szCs w:val="20"/>
              </w:rPr>
              <w:t>0</w:t>
            </w:r>
          </w:p>
        </w:tc>
        <w:tc>
          <w:tcPr>
            <w:tcW w:w="268" w:type="pct"/>
          </w:tcPr>
          <w:p w14:paraId="42E69122" w14:textId="77777777" w:rsidR="00247AD2" w:rsidRPr="001045FA" w:rsidRDefault="00247AD2" w:rsidP="001045FA">
            <w:pPr>
              <w:pStyle w:val="BodyText"/>
              <w:rPr>
                <w:sz w:val="20"/>
                <w:szCs w:val="20"/>
              </w:rPr>
            </w:pPr>
            <w:r w:rsidRPr="001045FA">
              <w:rPr>
                <w:sz w:val="20"/>
                <w:szCs w:val="20"/>
              </w:rPr>
              <w:t>0</w:t>
            </w:r>
          </w:p>
        </w:tc>
        <w:tc>
          <w:tcPr>
            <w:tcW w:w="267" w:type="pct"/>
          </w:tcPr>
          <w:p w14:paraId="225AA590" w14:textId="77777777" w:rsidR="00247AD2" w:rsidRPr="001045FA" w:rsidRDefault="00247AD2" w:rsidP="001045FA">
            <w:pPr>
              <w:pStyle w:val="BodyText"/>
              <w:rPr>
                <w:sz w:val="20"/>
                <w:szCs w:val="20"/>
              </w:rPr>
            </w:pPr>
            <w:r w:rsidRPr="001045FA">
              <w:rPr>
                <w:sz w:val="20"/>
                <w:szCs w:val="20"/>
              </w:rPr>
              <w:t>0</w:t>
            </w:r>
          </w:p>
        </w:tc>
        <w:tc>
          <w:tcPr>
            <w:tcW w:w="268" w:type="pct"/>
          </w:tcPr>
          <w:p w14:paraId="0A8E417C" w14:textId="77777777" w:rsidR="00247AD2" w:rsidRPr="001045FA" w:rsidRDefault="00247AD2" w:rsidP="001045FA">
            <w:pPr>
              <w:pStyle w:val="BodyText"/>
              <w:rPr>
                <w:sz w:val="20"/>
                <w:szCs w:val="20"/>
              </w:rPr>
            </w:pPr>
            <w:r w:rsidRPr="001045FA">
              <w:rPr>
                <w:sz w:val="20"/>
                <w:szCs w:val="20"/>
              </w:rPr>
              <w:t>0</w:t>
            </w:r>
          </w:p>
        </w:tc>
        <w:tc>
          <w:tcPr>
            <w:tcW w:w="262" w:type="pct"/>
          </w:tcPr>
          <w:p w14:paraId="0E72E00E" w14:textId="77777777" w:rsidR="00247AD2" w:rsidRPr="001045FA" w:rsidRDefault="00247AD2" w:rsidP="001045FA">
            <w:pPr>
              <w:pStyle w:val="BodyText"/>
              <w:rPr>
                <w:sz w:val="20"/>
                <w:szCs w:val="20"/>
              </w:rPr>
            </w:pPr>
            <w:r w:rsidRPr="001045FA">
              <w:rPr>
                <w:sz w:val="20"/>
                <w:szCs w:val="20"/>
              </w:rPr>
              <w:t>0</w:t>
            </w:r>
          </w:p>
        </w:tc>
        <w:tc>
          <w:tcPr>
            <w:tcW w:w="262" w:type="pct"/>
          </w:tcPr>
          <w:p w14:paraId="680A40CA" w14:textId="77777777" w:rsidR="00247AD2" w:rsidRPr="001045FA" w:rsidRDefault="00247AD2" w:rsidP="001045FA">
            <w:pPr>
              <w:pStyle w:val="BodyText"/>
              <w:rPr>
                <w:sz w:val="20"/>
                <w:szCs w:val="20"/>
              </w:rPr>
            </w:pPr>
            <w:r w:rsidRPr="001045FA">
              <w:rPr>
                <w:sz w:val="20"/>
                <w:szCs w:val="20"/>
              </w:rPr>
              <w:t>0</w:t>
            </w:r>
          </w:p>
        </w:tc>
        <w:tc>
          <w:tcPr>
            <w:tcW w:w="263" w:type="pct"/>
          </w:tcPr>
          <w:p w14:paraId="6C647F10" w14:textId="77777777" w:rsidR="00247AD2" w:rsidRPr="001045FA" w:rsidRDefault="00247AD2" w:rsidP="001045FA">
            <w:pPr>
              <w:pStyle w:val="BodyText"/>
              <w:rPr>
                <w:sz w:val="20"/>
                <w:szCs w:val="20"/>
              </w:rPr>
            </w:pPr>
            <w:r w:rsidRPr="001045FA">
              <w:rPr>
                <w:sz w:val="20"/>
                <w:szCs w:val="20"/>
              </w:rPr>
              <w:t>0</w:t>
            </w:r>
          </w:p>
        </w:tc>
        <w:tc>
          <w:tcPr>
            <w:tcW w:w="262" w:type="pct"/>
          </w:tcPr>
          <w:p w14:paraId="666B886A" w14:textId="77777777" w:rsidR="00247AD2" w:rsidRPr="001045FA" w:rsidRDefault="00247AD2" w:rsidP="001045FA">
            <w:pPr>
              <w:pStyle w:val="BodyText"/>
              <w:rPr>
                <w:sz w:val="20"/>
                <w:szCs w:val="20"/>
              </w:rPr>
            </w:pPr>
            <w:r w:rsidRPr="001045FA">
              <w:rPr>
                <w:sz w:val="20"/>
                <w:szCs w:val="20"/>
              </w:rPr>
              <w:t>0</w:t>
            </w:r>
          </w:p>
        </w:tc>
        <w:tc>
          <w:tcPr>
            <w:tcW w:w="262" w:type="pct"/>
          </w:tcPr>
          <w:p w14:paraId="465D313C" w14:textId="77777777" w:rsidR="00247AD2" w:rsidRPr="001045FA" w:rsidRDefault="00247AD2" w:rsidP="001045FA">
            <w:pPr>
              <w:pStyle w:val="BodyText"/>
              <w:rPr>
                <w:sz w:val="20"/>
                <w:szCs w:val="20"/>
              </w:rPr>
            </w:pPr>
            <w:r w:rsidRPr="001045FA">
              <w:rPr>
                <w:sz w:val="20"/>
                <w:szCs w:val="20"/>
              </w:rPr>
              <w:t>0</w:t>
            </w:r>
          </w:p>
        </w:tc>
        <w:tc>
          <w:tcPr>
            <w:tcW w:w="263" w:type="pct"/>
          </w:tcPr>
          <w:p w14:paraId="0036A5C4" w14:textId="77777777" w:rsidR="00247AD2" w:rsidRPr="001045FA" w:rsidRDefault="00247AD2" w:rsidP="001045FA">
            <w:pPr>
              <w:pStyle w:val="BodyText"/>
              <w:rPr>
                <w:sz w:val="20"/>
                <w:szCs w:val="20"/>
              </w:rPr>
            </w:pPr>
            <w:r w:rsidRPr="001045FA">
              <w:rPr>
                <w:sz w:val="20"/>
                <w:szCs w:val="20"/>
              </w:rPr>
              <w:t>0</w:t>
            </w:r>
          </w:p>
        </w:tc>
        <w:tc>
          <w:tcPr>
            <w:tcW w:w="312" w:type="pct"/>
          </w:tcPr>
          <w:p w14:paraId="4B81F0F2" w14:textId="77777777" w:rsidR="00247AD2" w:rsidRPr="001045FA" w:rsidRDefault="00247AD2" w:rsidP="001045FA">
            <w:pPr>
              <w:pStyle w:val="BodyText"/>
              <w:rPr>
                <w:sz w:val="20"/>
                <w:szCs w:val="20"/>
              </w:rPr>
            </w:pPr>
            <w:r w:rsidRPr="001045FA">
              <w:rPr>
                <w:rStyle w:val="01bodybold"/>
                <w:sz w:val="20"/>
                <w:szCs w:val="20"/>
              </w:rPr>
              <w:t>0</w:t>
            </w:r>
          </w:p>
        </w:tc>
      </w:tr>
      <w:tr w:rsidR="006A0585" w:rsidRPr="001045FA" w14:paraId="2B1A0155" w14:textId="77777777" w:rsidTr="006A0585">
        <w:trPr>
          <w:trHeight w:val="396"/>
        </w:trPr>
        <w:tc>
          <w:tcPr>
            <w:tcW w:w="550" w:type="pct"/>
          </w:tcPr>
          <w:p w14:paraId="0FAF8C37" w14:textId="77777777" w:rsidR="00247AD2" w:rsidRPr="001045FA" w:rsidRDefault="00247AD2" w:rsidP="001045FA">
            <w:pPr>
              <w:pStyle w:val="BodyText"/>
              <w:rPr>
                <w:sz w:val="20"/>
                <w:szCs w:val="20"/>
              </w:rPr>
            </w:pPr>
            <w:r w:rsidRPr="001045FA">
              <w:rPr>
                <w:rStyle w:val="01bodybold"/>
                <w:sz w:val="20"/>
                <w:szCs w:val="20"/>
              </w:rPr>
              <w:t>Total</w:t>
            </w:r>
          </w:p>
        </w:tc>
        <w:tc>
          <w:tcPr>
            <w:tcW w:w="287" w:type="pct"/>
          </w:tcPr>
          <w:p w14:paraId="5CA2D27A" w14:textId="77777777" w:rsidR="00247AD2" w:rsidRPr="001045FA" w:rsidRDefault="00247AD2" w:rsidP="001045FA">
            <w:pPr>
              <w:pStyle w:val="BodyText"/>
              <w:rPr>
                <w:sz w:val="20"/>
                <w:szCs w:val="20"/>
              </w:rPr>
            </w:pPr>
            <w:r w:rsidRPr="001045FA">
              <w:rPr>
                <w:rStyle w:val="01bodybold"/>
                <w:sz w:val="20"/>
                <w:szCs w:val="20"/>
              </w:rPr>
              <w:t>62</w:t>
            </w:r>
          </w:p>
        </w:tc>
        <w:tc>
          <w:tcPr>
            <w:tcW w:w="275" w:type="pct"/>
          </w:tcPr>
          <w:p w14:paraId="6D716A82" w14:textId="77777777" w:rsidR="00247AD2" w:rsidRPr="001045FA" w:rsidRDefault="00247AD2" w:rsidP="001045FA">
            <w:pPr>
              <w:pStyle w:val="BodyText"/>
              <w:rPr>
                <w:sz w:val="20"/>
                <w:szCs w:val="20"/>
              </w:rPr>
            </w:pPr>
            <w:r w:rsidRPr="001045FA">
              <w:rPr>
                <w:rStyle w:val="01bodybold"/>
                <w:sz w:val="20"/>
                <w:szCs w:val="20"/>
              </w:rPr>
              <w:t>189</w:t>
            </w:r>
          </w:p>
        </w:tc>
        <w:tc>
          <w:tcPr>
            <w:tcW w:w="287" w:type="pct"/>
          </w:tcPr>
          <w:p w14:paraId="330FF56A" w14:textId="77777777" w:rsidR="00247AD2" w:rsidRPr="001045FA" w:rsidRDefault="00247AD2" w:rsidP="001045FA">
            <w:pPr>
              <w:pStyle w:val="BodyText"/>
              <w:rPr>
                <w:sz w:val="20"/>
                <w:szCs w:val="20"/>
              </w:rPr>
            </w:pPr>
            <w:r w:rsidRPr="001045FA">
              <w:rPr>
                <w:rStyle w:val="01bodybold"/>
                <w:sz w:val="20"/>
                <w:szCs w:val="20"/>
              </w:rPr>
              <w:t>251</w:t>
            </w:r>
          </w:p>
        </w:tc>
        <w:tc>
          <w:tcPr>
            <w:tcW w:w="312" w:type="pct"/>
          </w:tcPr>
          <w:p w14:paraId="0646A479" w14:textId="77777777" w:rsidR="00247AD2" w:rsidRPr="001045FA" w:rsidRDefault="00247AD2" w:rsidP="001045FA">
            <w:pPr>
              <w:pStyle w:val="BodyText"/>
              <w:rPr>
                <w:sz w:val="20"/>
                <w:szCs w:val="20"/>
              </w:rPr>
            </w:pPr>
            <w:r w:rsidRPr="001045FA">
              <w:rPr>
                <w:rStyle w:val="01bodybold"/>
                <w:sz w:val="20"/>
                <w:szCs w:val="20"/>
              </w:rPr>
              <w:t>55</w:t>
            </w:r>
          </w:p>
        </w:tc>
        <w:tc>
          <w:tcPr>
            <w:tcW w:w="287" w:type="pct"/>
          </w:tcPr>
          <w:p w14:paraId="5F207BF0" w14:textId="77777777" w:rsidR="00247AD2" w:rsidRPr="001045FA" w:rsidRDefault="00247AD2" w:rsidP="001045FA">
            <w:pPr>
              <w:pStyle w:val="BodyText"/>
              <w:rPr>
                <w:sz w:val="20"/>
                <w:szCs w:val="20"/>
              </w:rPr>
            </w:pPr>
            <w:r w:rsidRPr="001045FA">
              <w:rPr>
                <w:rStyle w:val="01bodybold"/>
                <w:sz w:val="20"/>
                <w:szCs w:val="20"/>
              </w:rPr>
              <w:t>497</w:t>
            </w:r>
          </w:p>
        </w:tc>
        <w:tc>
          <w:tcPr>
            <w:tcW w:w="313" w:type="pct"/>
          </w:tcPr>
          <w:p w14:paraId="7C3F990D" w14:textId="77777777" w:rsidR="00247AD2" w:rsidRPr="001045FA" w:rsidRDefault="00247AD2" w:rsidP="001045FA">
            <w:pPr>
              <w:pStyle w:val="BodyText"/>
              <w:rPr>
                <w:sz w:val="20"/>
                <w:szCs w:val="20"/>
              </w:rPr>
            </w:pPr>
            <w:r w:rsidRPr="001045FA">
              <w:rPr>
                <w:rStyle w:val="01bodybold"/>
                <w:sz w:val="20"/>
                <w:szCs w:val="20"/>
              </w:rPr>
              <w:t>552</w:t>
            </w:r>
          </w:p>
        </w:tc>
        <w:tc>
          <w:tcPr>
            <w:tcW w:w="268" w:type="pct"/>
          </w:tcPr>
          <w:p w14:paraId="2EDF7305" w14:textId="77777777" w:rsidR="00247AD2" w:rsidRPr="001045FA" w:rsidRDefault="00247AD2" w:rsidP="001045FA">
            <w:pPr>
              <w:pStyle w:val="BodyText"/>
              <w:rPr>
                <w:sz w:val="20"/>
                <w:szCs w:val="20"/>
              </w:rPr>
            </w:pPr>
            <w:r w:rsidRPr="001045FA">
              <w:rPr>
                <w:rStyle w:val="01bodybold"/>
                <w:sz w:val="20"/>
                <w:szCs w:val="20"/>
              </w:rPr>
              <w:t>4</w:t>
            </w:r>
          </w:p>
        </w:tc>
        <w:tc>
          <w:tcPr>
            <w:tcW w:w="267" w:type="pct"/>
          </w:tcPr>
          <w:p w14:paraId="4D4C64DA" w14:textId="77777777" w:rsidR="00247AD2" w:rsidRPr="001045FA" w:rsidRDefault="00247AD2" w:rsidP="001045FA">
            <w:pPr>
              <w:pStyle w:val="BodyText"/>
              <w:rPr>
                <w:sz w:val="20"/>
                <w:szCs w:val="20"/>
              </w:rPr>
            </w:pPr>
            <w:r w:rsidRPr="001045FA">
              <w:rPr>
                <w:rStyle w:val="01bodybold"/>
                <w:sz w:val="20"/>
                <w:szCs w:val="20"/>
              </w:rPr>
              <w:t>10</w:t>
            </w:r>
          </w:p>
        </w:tc>
        <w:tc>
          <w:tcPr>
            <w:tcW w:w="268" w:type="pct"/>
          </w:tcPr>
          <w:p w14:paraId="06C5D777" w14:textId="77777777" w:rsidR="00247AD2" w:rsidRPr="001045FA" w:rsidRDefault="00247AD2" w:rsidP="001045FA">
            <w:pPr>
              <w:pStyle w:val="BodyText"/>
              <w:rPr>
                <w:sz w:val="20"/>
                <w:szCs w:val="20"/>
              </w:rPr>
            </w:pPr>
            <w:r w:rsidRPr="001045FA">
              <w:rPr>
                <w:rStyle w:val="01bodybold"/>
                <w:sz w:val="20"/>
                <w:szCs w:val="20"/>
              </w:rPr>
              <w:t>14</w:t>
            </w:r>
          </w:p>
        </w:tc>
        <w:tc>
          <w:tcPr>
            <w:tcW w:w="262" w:type="pct"/>
          </w:tcPr>
          <w:p w14:paraId="6EE7A2A8" w14:textId="77777777" w:rsidR="00247AD2" w:rsidRPr="001045FA" w:rsidRDefault="00247AD2" w:rsidP="001045FA">
            <w:pPr>
              <w:pStyle w:val="BodyText"/>
              <w:rPr>
                <w:sz w:val="20"/>
                <w:szCs w:val="20"/>
              </w:rPr>
            </w:pPr>
            <w:r w:rsidRPr="001045FA">
              <w:rPr>
                <w:rStyle w:val="01bodybold"/>
                <w:sz w:val="20"/>
                <w:szCs w:val="20"/>
              </w:rPr>
              <w:t>0</w:t>
            </w:r>
          </w:p>
        </w:tc>
        <w:tc>
          <w:tcPr>
            <w:tcW w:w="262" w:type="pct"/>
          </w:tcPr>
          <w:p w14:paraId="4757EA3C" w14:textId="77777777" w:rsidR="00247AD2" w:rsidRPr="001045FA" w:rsidRDefault="00247AD2" w:rsidP="001045FA">
            <w:pPr>
              <w:pStyle w:val="BodyText"/>
              <w:rPr>
                <w:sz w:val="20"/>
                <w:szCs w:val="20"/>
              </w:rPr>
            </w:pPr>
            <w:r w:rsidRPr="001045FA">
              <w:rPr>
                <w:rStyle w:val="01bodybold"/>
                <w:sz w:val="20"/>
                <w:szCs w:val="20"/>
              </w:rPr>
              <w:t>0</w:t>
            </w:r>
          </w:p>
        </w:tc>
        <w:tc>
          <w:tcPr>
            <w:tcW w:w="263" w:type="pct"/>
          </w:tcPr>
          <w:p w14:paraId="12C1EC85" w14:textId="77777777" w:rsidR="00247AD2" w:rsidRPr="001045FA" w:rsidRDefault="00247AD2" w:rsidP="001045FA">
            <w:pPr>
              <w:pStyle w:val="BodyText"/>
              <w:rPr>
                <w:sz w:val="20"/>
                <w:szCs w:val="20"/>
              </w:rPr>
            </w:pPr>
            <w:r w:rsidRPr="001045FA">
              <w:rPr>
                <w:rStyle w:val="01bodybold"/>
                <w:sz w:val="20"/>
                <w:szCs w:val="20"/>
              </w:rPr>
              <w:t>0</w:t>
            </w:r>
          </w:p>
        </w:tc>
        <w:tc>
          <w:tcPr>
            <w:tcW w:w="262" w:type="pct"/>
          </w:tcPr>
          <w:p w14:paraId="349B734C" w14:textId="77777777" w:rsidR="00247AD2" w:rsidRPr="001045FA" w:rsidRDefault="00247AD2" w:rsidP="001045FA">
            <w:pPr>
              <w:pStyle w:val="BodyText"/>
              <w:rPr>
                <w:sz w:val="20"/>
                <w:szCs w:val="20"/>
              </w:rPr>
            </w:pPr>
            <w:r w:rsidRPr="001045FA">
              <w:rPr>
                <w:rStyle w:val="01bodybold"/>
                <w:sz w:val="20"/>
                <w:szCs w:val="20"/>
              </w:rPr>
              <w:t>0</w:t>
            </w:r>
          </w:p>
        </w:tc>
        <w:tc>
          <w:tcPr>
            <w:tcW w:w="262" w:type="pct"/>
          </w:tcPr>
          <w:p w14:paraId="4AA3014D" w14:textId="77777777" w:rsidR="00247AD2" w:rsidRPr="001045FA" w:rsidRDefault="00247AD2" w:rsidP="001045FA">
            <w:pPr>
              <w:pStyle w:val="BodyText"/>
              <w:rPr>
                <w:sz w:val="20"/>
                <w:szCs w:val="20"/>
              </w:rPr>
            </w:pPr>
            <w:r w:rsidRPr="001045FA">
              <w:rPr>
                <w:rStyle w:val="01bodybold"/>
                <w:sz w:val="20"/>
                <w:szCs w:val="20"/>
              </w:rPr>
              <w:t>0</w:t>
            </w:r>
          </w:p>
        </w:tc>
        <w:tc>
          <w:tcPr>
            <w:tcW w:w="263" w:type="pct"/>
          </w:tcPr>
          <w:p w14:paraId="6A75C6E1" w14:textId="77777777" w:rsidR="00247AD2" w:rsidRPr="001045FA" w:rsidRDefault="00247AD2" w:rsidP="001045FA">
            <w:pPr>
              <w:pStyle w:val="BodyText"/>
              <w:rPr>
                <w:sz w:val="20"/>
                <w:szCs w:val="20"/>
              </w:rPr>
            </w:pPr>
            <w:r w:rsidRPr="001045FA">
              <w:rPr>
                <w:rStyle w:val="01bodybold"/>
                <w:sz w:val="20"/>
                <w:szCs w:val="20"/>
              </w:rPr>
              <w:t>0</w:t>
            </w:r>
          </w:p>
        </w:tc>
        <w:tc>
          <w:tcPr>
            <w:tcW w:w="312" w:type="pct"/>
          </w:tcPr>
          <w:p w14:paraId="435B92C2" w14:textId="77777777" w:rsidR="00247AD2" w:rsidRPr="001045FA" w:rsidRDefault="00247AD2" w:rsidP="001045FA">
            <w:pPr>
              <w:pStyle w:val="BodyText"/>
              <w:rPr>
                <w:sz w:val="20"/>
                <w:szCs w:val="20"/>
              </w:rPr>
            </w:pPr>
            <w:r w:rsidRPr="001045FA">
              <w:rPr>
                <w:rStyle w:val="01bodybold"/>
                <w:sz w:val="20"/>
                <w:szCs w:val="20"/>
              </w:rPr>
              <w:t>817</w:t>
            </w:r>
          </w:p>
        </w:tc>
      </w:tr>
    </w:tbl>
    <w:p w14:paraId="05EE8D67" w14:textId="7E72186E" w:rsidR="00247AD2" w:rsidRDefault="001D2CCD" w:rsidP="001D2CCD">
      <w:pPr>
        <w:pStyle w:val="ProductCode"/>
      </w:pPr>
      <w:r w:rsidRPr="001D2CCD">
        <w:rPr>
          <w:rFonts w:ascii="Roboto-Regular" w:eastAsiaTheme="minorEastAsia" w:hAnsi="Roboto-Regular" w:cs="Roboto-Regular"/>
          <w:color w:val="000000"/>
          <w:sz w:val="16"/>
          <w:szCs w:val="16"/>
          <w:lang w:val="en-GB" w:eastAsia="en-AU"/>
          <w14:ligatures w14:val="standardContextual"/>
        </w:rPr>
        <w:t>(a</w:t>
      </w:r>
      <w:r>
        <w:t xml:space="preserve">) </w:t>
      </w:r>
      <w:r w:rsidR="00247AD2">
        <w:t>Non-ongoing employees include irregular/intermittent staff.</w:t>
      </w:r>
    </w:p>
    <w:p w14:paraId="2BB360FE" w14:textId="77777777" w:rsidR="00247AD2" w:rsidRDefault="00247AD2" w:rsidP="00247AD2">
      <w:pPr>
        <w:pStyle w:val="Heading3"/>
      </w:pPr>
      <w:r>
        <w:lastRenderedPageBreak/>
        <w:t>PGPA Rule section 17AG(4)(b)(i)-(iii) employment type by full-time and part-time status</w:t>
      </w:r>
    </w:p>
    <w:p w14:paraId="1B9CA912" w14:textId="14CBCDC9" w:rsidR="00247AD2" w:rsidRPr="001D2CCD" w:rsidRDefault="001D2CCD" w:rsidP="001D2CCD">
      <w:pPr>
        <w:pStyle w:val="BodyText"/>
        <w:rPr>
          <w:b/>
          <w:bCs/>
        </w:rPr>
      </w:pPr>
      <w:r w:rsidRPr="001D2CCD">
        <w:rPr>
          <w:b/>
          <w:bCs/>
        </w:rPr>
        <w:t xml:space="preserve">Table 70: </w:t>
      </w:r>
      <w:r w:rsidR="00247AD2" w:rsidRPr="001D2CCD">
        <w:rPr>
          <w:b/>
          <w:bCs/>
        </w:rPr>
        <w:t>Australian Public Service Act employees by full-time and part-time status 2024–25</w:t>
      </w:r>
      <w:r w:rsidR="00247AD2" w:rsidRPr="001D2CCD">
        <w:rPr>
          <w:b/>
          <w:bCs/>
          <w:vertAlign w:val="superscript"/>
        </w:rPr>
        <w:t>(a)</w:t>
      </w:r>
      <w:r w:rsidR="00247AD2" w:rsidRPr="001D2CCD">
        <w:rPr>
          <w:b/>
          <w:bCs/>
        </w:rPr>
        <w:t xml:space="preserve"> (as at 30 June 2025)</w:t>
      </w:r>
    </w:p>
    <w:tbl>
      <w:tblPr>
        <w:tblStyle w:val="TableGrid"/>
        <w:tblW w:w="5000" w:type="pct"/>
        <w:tblLook w:val="04A0" w:firstRow="1" w:lastRow="0" w:firstColumn="1" w:lastColumn="0" w:noHBand="0" w:noVBand="1"/>
        <w:tblCaption w:val="Australian Public Service Act employees by full-time and part-time status 2024–25(a) (as at 30 June 2025)"/>
      </w:tblPr>
      <w:tblGrid>
        <w:gridCol w:w="1737"/>
        <w:gridCol w:w="1337"/>
        <w:gridCol w:w="1337"/>
        <w:gridCol w:w="1338"/>
        <w:gridCol w:w="1338"/>
        <w:gridCol w:w="1338"/>
        <w:gridCol w:w="1338"/>
        <w:gridCol w:w="1333"/>
      </w:tblGrid>
      <w:tr w:rsidR="00247AD2" w14:paraId="167D1C1D" w14:textId="77777777" w:rsidTr="001045FA">
        <w:trPr>
          <w:trHeight w:val="60"/>
          <w:tblHeader/>
        </w:trPr>
        <w:tc>
          <w:tcPr>
            <w:tcW w:w="725" w:type="pct"/>
          </w:tcPr>
          <w:p w14:paraId="640EE53D" w14:textId="77777777" w:rsidR="00247AD2" w:rsidRDefault="00247AD2" w:rsidP="001045FA">
            <w:pPr>
              <w:pStyle w:val="BodyText"/>
            </w:pPr>
          </w:p>
        </w:tc>
        <w:tc>
          <w:tcPr>
            <w:tcW w:w="1832" w:type="pct"/>
            <w:gridSpan w:val="3"/>
          </w:tcPr>
          <w:p w14:paraId="2A7D3CDD" w14:textId="77777777" w:rsidR="00247AD2" w:rsidRPr="00891C1C" w:rsidRDefault="00247AD2" w:rsidP="001045FA">
            <w:pPr>
              <w:pStyle w:val="BodyText"/>
              <w:rPr>
                <w:b/>
                <w:bCs/>
              </w:rPr>
            </w:pPr>
            <w:r w:rsidRPr="00891C1C">
              <w:rPr>
                <w:b/>
                <w:bCs/>
              </w:rPr>
              <w:t>Ongoing</w:t>
            </w:r>
          </w:p>
        </w:tc>
        <w:tc>
          <w:tcPr>
            <w:tcW w:w="1832" w:type="pct"/>
            <w:gridSpan w:val="3"/>
          </w:tcPr>
          <w:p w14:paraId="2194ACC0" w14:textId="77777777" w:rsidR="00247AD2" w:rsidRPr="00891C1C" w:rsidRDefault="00247AD2" w:rsidP="001045FA">
            <w:pPr>
              <w:pStyle w:val="BodyText"/>
              <w:rPr>
                <w:b/>
                <w:bCs/>
              </w:rPr>
            </w:pPr>
            <w:r w:rsidRPr="00891C1C">
              <w:rPr>
                <w:b/>
                <w:bCs/>
              </w:rPr>
              <w:t>Non-ongoing</w:t>
            </w:r>
            <w:r w:rsidRPr="00891C1C">
              <w:rPr>
                <w:b/>
                <w:bCs/>
                <w:vertAlign w:val="superscript"/>
              </w:rPr>
              <w:t>(a)</w:t>
            </w:r>
          </w:p>
        </w:tc>
        <w:tc>
          <w:tcPr>
            <w:tcW w:w="611" w:type="pct"/>
          </w:tcPr>
          <w:p w14:paraId="5FB3F9A5" w14:textId="77777777" w:rsidR="00247AD2" w:rsidRDefault="00247AD2" w:rsidP="001045FA">
            <w:pPr>
              <w:pStyle w:val="BodyText"/>
            </w:pPr>
          </w:p>
        </w:tc>
      </w:tr>
      <w:tr w:rsidR="00247AD2" w14:paraId="088430BC" w14:textId="77777777" w:rsidTr="001045FA">
        <w:trPr>
          <w:trHeight w:val="616"/>
          <w:tblHeader/>
        </w:trPr>
        <w:tc>
          <w:tcPr>
            <w:tcW w:w="725" w:type="pct"/>
          </w:tcPr>
          <w:p w14:paraId="58AC50F6" w14:textId="77777777" w:rsidR="00247AD2" w:rsidRDefault="00247AD2" w:rsidP="001045FA">
            <w:pPr>
              <w:pStyle w:val="BodyText"/>
            </w:pPr>
            <w:r>
              <w:rPr>
                <w:rStyle w:val="Bold"/>
              </w:rPr>
              <w:t>Substantive classification</w:t>
            </w:r>
          </w:p>
        </w:tc>
        <w:tc>
          <w:tcPr>
            <w:tcW w:w="611" w:type="pct"/>
          </w:tcPr>
          <w:p w14:paraId="65AAD1B2" w14:textId="77777777" w:rsidR="00247AD2" w:rsidRDefault="00247AD2" w:rsidP="001045FA">
            <w:pPr>
              <w:pStyle w:val="BodyText"/>
            </w:pPr>
            <w:r>
              <w:rPr>
                <w:rStyle w:val="Bold"/>
              </w:rPr>
              <w:t>Full-time</w:t>
            </w:r>
          </w:p>
        </w:tc>
        <w:tc>
          <w:tcPr>
            <w:tcW w:w="611" w:type="pct"/>
          </w:tcPr>
          <w:p w14:paraId="653B7BD1" w14:textId="77777777" w:rsidR="00247AD2" w:rsidRDefault="00247AD2" w:rsidP="001045FA">
            <w:pPr>
              <w:pStyle w:val="BodyText"/>
            </w:pPr>
            <w:r>
              <w:rPr>
                <w:rStyle w:val="Bold"/>
              </w:rPr>
              <w:t>Part-time</w:t>
            </w:r>
          </w:p>
        </w:tc>
        <w:tc>
          <w:tcPr>
            <w:tcW w:w="611" w:type="pct"/>
          </w:tcPr>
          <w:p w14:paraId="3609FF2E" w14:textId="77777777" w:rsidR="00247AD2" w:rsidRDefault="00247AD2" w:rsidP="001045FA">
            <w:pPr>
              <w:pStyle w:val="BodyText"/>
            </w:pPr>
            <w:r>
              <w:rPr>
                <w:rStyle w:val="Bold"/>
              </w:rPr>
              <w:t>Total Ongoing</w:t>
            </w:r>
          </w:p>
        </w:tc>
        <w:tc>
          <w:tcPr>
            <w:tcW w:w="611" w:type="pct"/>
          </w:tcPr>
          <w:p w14:paraId="388F6406" w14:textId="77777777" w:rsidR="00247AD2" w:rsidRDefault="00247AD2" w:rsidP="001045FA">
            <w:pPr>
              <w:pStyle w:val="BodyText"/>
            </w:pPr>
            <w:r>
              <w:rPr>
                <w:rStyle w:val="Bold"/>
              </w:rPr>
              <w:t>Full-time</w:t>
            </w:r>
          </w:p>
        </w:tc>
        <w:tc>
          <w:tcPr>
            <w:tcW w:w="611" w:type="pct"/>
          </w:tcPr>
          <w:p w14:paraId="6FFD0BA0" w14:textId="77777777" w:rsidR="00247AD2" w:rsidRDefault="00247AD2" w:rsidP="001045FA">
            <w:pPr>
              <w:pStyle w:val="BodyText"/>
            </w:pPr>
            <w:r>
              <w:rPr>
                <w:rStyle w:val="Bold"/>
              </w:rPr>
              <w:t>Part-time</w:t>
            </w:r>
          </w:p>
        </w:tc>
        <w:tc>
          <w:tcPr>
            <w:tcW w:w="611" w:type="pct"/>
          </w:tcPr>
          <w:p w14:paraId="59B3E3F9" w14:textId="77777777" w:rsidR="00247AD2" w:rsidRDefault="00247AD2" w:rsidP="001045FA">
            <w:pPr>
              <w:pStyle w:val="BodyText"/>
            </w:pPr>
            <w:r>
              <w:rPr>
                <w:rStyle w:val="Bold"/>
                <w:spacing w:val="-4"/>
              </w:rPr>
              <w:t>Total Non-ongoing</w:t>
            </w:r>
          </w:p>
        </w:tc>
        <w:tc>
          <w:tcPr>
            <w:tcW w:w="611" w:type="pct"/>
          </w:tcPr>
          <w:p w14:paraId="653DA231" w14:textId="77777777" w:rsidR="00247AD2" w:rsidRDefault="00247AD2" w:rsidP="001045FA">
            <w:pPr>
              <w:pStyle w:val="BodyText"/>
            </w:pPr>
            <w:r>
              <w:rPr>
                <w:rStyle w:val="Bold"/>
              </w:rPr>
              <w:t>Total</w:t>
            </w:r>
          </w:p>
        </w:tc>
      </w:tr>
      <w:tr w:rsidR="00247AD2" w14:paraId="528DC315" w14:textId="77777777" w:rsidTr="006A0585">
        <w:trPr>
          <w:trHeight w:val="396"/>
        </w:trPr>
        <w:tc>
          <w:tcPr>
            <w:tcW w:w="725" w:type="pct"/>
          </w:tcPr>
          <w:p w14:paraId="524E443C" w14:textId="77777777" w:rsidR="00247AD2" w:rsidRDefault="00247AD2" w:rsidP="001045FA">
            <w:pPr>
              <w:pStyle w:val="BodyText"/>
            </w:pPr>
            <w:r>
              <w:t>SES3</w:t>
            </w:r>
          </w:p>
        </w:tc>
        <w:tc>
          <w:tcPr>
            <w:tcW w:w="611" w:type="pct"/>
          </w:tcPr>
          <w:p w14:paraId="1F9C8485" w14:textId="77777777" w:rsidR="00247AD2" w:rsidRDefault="00247AD2" w:rsidP="001045FA">
            <w:pPr>
              <w:pStyle w:val="BodyText"/>
            </w:pPr>
            <w:r>
              <w:t>6</w:t>
            </w:r>
          </w:p>
        </w:tc>
        <w:tc>
          <w:tcPr>
            <w:tcW w:w="611" w:type="pct"/>
          </w:tcPr>
          <w:p w14:paraId="5294AA2C" w14:textId="77777777" w:rsidR="00247AD2" w:rsidRDefault="00247AD2" w:rsidP="001045FA">
            <w:pPr>
              <w:pStyle w:val="BodyText"/>
            </w:pPr>
            <w:r>
              <w:t>0</w:t>
            </w:r>
          </w:p>
        </w:tc>
        <w:tc>
          <w:tcPr>
            <w:tcW w:w="611" w:type="pct"/>
          </w:tcPr>
          <w:p w14:paraId="2C513B3E" w14:textId="77777777" w:rsidR="00247AD2" w:rsidRDefault="00247AD2" w:rsidP="001045FA">
            <w:pPr>
              <w:pStyle w:val="BodyText"/>
            </w:pPr>
            <w:r>
              <w:t>6</w:t>
            </w:r>
          </w:p>
        </w:tc>
        <w:tc>
          <w:tcPr>
            <w:tcW w:w="611" w:type="pct"/>
          </w:tcPr>
          <w:p w14:paraId="435A8A85" w14:textId="77777777" w:rsidR="00247AD2" w:rsidRDefault="00247AD2" w:rsidP="001045FA">
            <w:pPr>
              <w:pStyle w:val="BodyText"/>
            </w:pPr>
            <w:r>
              <w:t>0</w:t>
            </w:r>
          </w:p>
        </w:tc>
        <w:tc>
          <w:tcPr>
            <w:tcW w:w="611" w:type="pct"/>
          </w:tcPr>
          <w:p w14:paraId="0380F7B9" w14:textId="77777777" w:rsidR="00247AD2" w:rsidRDefault="00247AD2" w:rsidP="001045FA">
            <w:pPr>
              <w:pStyle w:val="BodyText"/>
            </w:pPr>
            <w:r>
              <w:t>0</w:t>
            </w:r>
          </w:p>
        </w:tc>
        <w:tc>
          <w:tcPr>
            <w:tcW w:w="611" w:type="pct"/>
          </w:tcPr>
          <w:p w14:paraId="05AC1ACD" w14:textId="77777777" w:rsidR="00247AD2" w:rsidRDefault="00247AD2" w:rsidP="001045FA">
            <w:pPr>
              <w:pStyle w:val="BodyText"/>
            </w:pPr>
            <w:r>
              <w:t>0</w:t>
            </w:r>
          </w:p>
        </w:tc>
        <w:tc>
          <w:tcPr>
            <w:tcW w:w="611" w:type="pct"/>
          </w:tcPr>
          <w:p w14:paraId="368CCC7E" w14:textId="77777777" w:rsidR="00247AD2" w:rsidRDefault="00247AD2" w:rsidP="001045FA">
            <w:pPr>
              <w:pStyle w:val="BodyText"/>
            </w:pPr>
            <w:r>
              <w:rPr>
                <w:rStyle w:val="01bodybold"/>
              </w:rPr>
              <w:t>6</w:t>
            </w:r>
          </w:p>
        </w:tc>
      </w:tr>
      <w:tr w:rsidR="00247AD2" w14:paraId="42A3FA13" w14:textId="77777777" w:rsidTr="006A0585">
        <w:trPr>
          <w:trHeight w:val="396"/>
        </w:trPr>
        <w:tc>
          <w:tcPr>
            <w:tcW w:w="725" w:type="pct"/>
          </w:tcPr>
          <w:p w14:paraId="2381D725" w14:textId="77777777" w:rsidR="00247AD2" w:rsidRDefault="00247AD2" w:rsidP="001045FA">
            <w:pPr>
              <w:pStyle w:val="BodyText"/>
            </w:pPr>
            <w:r>
              <w:t>SES2</w:t>
            </w:r>
          </w:p>
        </w:tc>
        <w:tc>
          <w:tcPr>
            <w:tcW w:w="611" w:type="pct"/>
          </w:tcPr>
          <w:p w14:paraId="47276A1A" w14:textId="77777777" w:rsidR="00247AD2" w:rsidRDefault="00247AD2" w:rsidP="001045FA">
            <w:pPr>
              <w:pStyle w:val="BodyText"/>
            </w:pPr>
            <w:r>
              <w:t>31</w:t>
            </w:r>
          </w:p>
        </w:tc>
        <w:tc>
          <w:tcPr>
            <w:tcW w:w="611" w:type="pct"/>
          </w:tcPr>
          <w:p w14:paraId="4E1E421C" w14:textId="77777777" w:rsidR="00247AD2" w:rsidRDefault="00247AD2" w:rsidP="001045FA">
            <w:pPr>
              <w:pStyle w:val="BodyText"/>
            </w:pPr>
            <w:r>
              <w:t>1</w:t>
            </w:r>
          </w:p>
        </w:tc>
        <w:tc>
          <w:tcPr>
            <w:tcW w:w="611" w:type="pct"/>
          </w:tcPr>
          <w:p w14:paraId="79DAFDC4" w14:textId="77777777" w:rsidR="00247AD2" w:rsidRDefault="00247AD2" w:rsidP="001045FA">
            <w:pPr>
              <w:pStyle w:val="BodyText"/>
            </w:pPr>
            <w:r>
              <w:t>32</w:t>
            </w:r>
          </w:p>
        </w:tc>
        <w:tc>
          <w:tcPr>
            <w:tcW w:w="611" w:type="pct"/>
          </w:tcPr>
          <w:p w14:paraId="614640FC" w14:textId="77777777" w:rsidR="00247AD2" w:rsidRDefault="00247AD2" w:rsidP="001045FA">
            <w:pPr>
              <w:pStyle w:val="BodyText"/>
            </w:pPr>
            <w:r>
              <w:t>0</w:t>
            </w:r>
          </w:p>
        </w:tc>
        <w:tc>
          <w:tcPr>
            <w:tcW w:w="611" w:type="pct"/>
          </w:tcPr>
          <w:p w14:paraId="5F37FC41" w14:textId="77777777" w:rsidR="00247AD2" w:rsidRDefault="00247AD2" w:rsidP="001045FA">
            <w:pPr>
              <w:pStyle w:val="BodyText"/>
            </w:pPr>
            <w:r>
              <w:t>0</w:t>
            </w:r>
          </w:p>
        </w:tc>
        <w:tc>
          <w:tcPr>
            <w:tcW w:w="611" w:type="pct"/>
          </w:tcPr>
          <w:p w14:paraId="01D53B5C" w14:textId="77777777" w:rsidR="00247AD2" w:rsidRDefault="00247AD2" w:rsidP="001045FA">
            <w:pPr>
              <w:pStyle w:val="BodyText"/>
            </w:pPr>
            <w:r>
              <w:t>0</w:t>
            </w:r>
          </w:p>
        </w:tc>
        <w:tc>
          <w:tcPr>
            <w:tcW w:w="611" w:type="pct"/>
          </w:tcPr>
          <w:p w14:paraId="6C52E18E" w14:textId="77777777" w:rsidR="00247AD2" w:rsidRDefault="00247AD2" w:rsidP="001045FA">
            <w:pPr>
              <w:pStyle w:val="BodyText"/>
            </w:pPr>
            <w:r>
              <w:rPr>
                <w:rStyle w:val="01bodybold"/>
              </w:rPr>
              <w:t>32</w:t>
            </w:r>
          </w:p>
        </w:tc>
      </w:tr>
      <w:tr w:rsidR="00247AD2" w14:paraId="2937DD0F" w14:textId="77777777" w:rsidTr="006A0585">
        <w:trPr>
          <w:trHeight w:val="396"/>
        </w:trPr>
        <w:tc>
          <w:tcPr>
            <w:tcW w:w="725" w:type="pct"/>
          </w:tcPr>
          <w:p w14:paraId="27BD94A1" w14:textId="77777777" w:rsidR="00247AD2" w:rsidRDefault="00247AD2" w:rsidP="001045FA">
            <w:pPr>
              <w:pStyle w:val="BodyText"/>
            </w:pPr>
            <w:r>
              <w:t>SES1</w:t>
            </w:r>
          </w:p>
        </w:tc>
        <w:tc>
          <w:tcPr>
            <w:tcW w:w="611" w:type="pct"/>
          </w:tcPr>
          <w:p w14:paraId="2EFBA348" w14:textId="77777777" w:rsidR="00247AD2" w:rsidRDefault="00247AD2" w:rsidP="001045FA">
            <w:pPr>
              <w:pStyle w:val="BodyText"/>
            </w:pPr>
            <w:r>
              <w:t>125</w:t>
            </w:r>
          </w:p>
        </w:tc>
        <w:tc>
          <w:tcPr>
            <w:tcW w:w="611" w:type="pct"/>
          </w:tcPr>
          <w:p w14:paraId="06B3BCE1" w14:textId="77777777" w:rsidR="00247AD2" w:rsidRDefault="00247AD2" w:rsidP="001045FA">
            <w:pPr>
              <w:pStyle w:val="BodyText"/>
            </w:pPr>
            <w:r>
              <w:t>2</w:t>
            </w:r>
          </w:p>
        </w:tc>
        <w:tc>
          <w:tcPr>
            <w:tcW w:w="611" w:type="pct"/>
          </w:tcPr>
          <w:p w14:paraId="3861AE4C" w14:textId="77777777" w:rsidR="00247AD2" w:rsidRDefault="00247AD2" w:rsidP="001045FA">
            <w:pPr>
              <w:pStyle w:val="BodyText"/>
            </w:pPr>
            <w:r>
              <w:t>127</w:t>
            </w:r>
          </w:p>
        </w:tc>
        <w:tc>
          <w:tcPr>
            <w:tcW w:w="611" w:type="pct"/>
          </w:tcPr>
          <w:p w14:paraId="16687A0C" w14:textId="77777777" w:rsidR="00247AD2" w:rsidRDefault="00247AD2" w:rsidP="001045FA">
            <w:pPr>
              <w:pStyle w:val="BodyText"/>
            </w:pPr>
            <w:r>
              <w:t>0</w:t>
            </w:r>
          </w:p>
        </w:tc>
        <w:tc>
          <w:tcPr>
            <w:tcW w:w="611" w:type="pct"/>
          </w:tcPr>
          <w:p w14:paraId="411EC912" w14:textId="77777777" w:rsidR="00247AD2" w:rsidRDefault="00247AD2" w:rsidP="001045FA">
            <w:pPr>
              <w:pStyle w:val="BodyText"/>
            </w:pPr>
            <w:r>
              <w:t>0</w:t>
            </w:r>
          </w:p>
        </w:tc>
        <w:tc>
          <w:tcPr>
            <w:tcW w:w="611" w:type="pct"/>
          </w:tcPr>
          <w:p w14:paraId="55147F8B" w14:textId="77777777" w:rsidR="00247AD2" w:rsidRDefault="00247AD2" w:rsidP="001045FA">
            <w:pPr>
              <w:pStyle w:val="BodyText"/>
            </w:pPr>
            <w:r>
              <w:t>0</w:t>
            </w:r>
          </w:p>
        </w:tc>
        <w:tc>
          <w:tcPr>
            <w:tcW w:w="611" w:type="pct"/>
          </w:tcPr>
          <w:p w14:paraId="0E6DE6B1" w14:textId="77777777" w:rsidR="00247AD2" w:rsidRDefault="00247AD2" w:rsidP="001045FA">
            <w:pPr>
              <w:pStyle w:val="BodyText"/>
            </w:pPr>
            <w:r>
              <w:rPr>
                <w:rStyle w:val="01bodybold"/>
              </w:rPr>
              <w:t>127</w:t>
            </w:r>
          </w:p>
        </w:tc>
      </w:tr>
      <w:tr w:rsidR="00247AD2" w14:paraId="6E9CDFEF" w14:textId="77777777" w:rsidTr="006A0585">
        <w:trPr>
          <w:trHeight w:val="396"/>
        </w:trPr>
        <w:tc>
          <w:tcPr>
            <w:tcW w:w="725" w:type="pct"/>
          </w:tcPr>
          <w:p w14:paraId="5F284A3C" w14:textId="77777777" w:rsidR="00247AD2" w:rsidRDefault="00247AD2" w:rsidP="001045FA">
            <w:pPr>
              <w:pStyle w:val="BodyText"/>
            </w:pPr>
            <w:r>
              <w:t>EL2</w:t>
            </w:r>
          </w:p>
        </w:tc>
        <w:tc>
          <w:tcPr>
            <w:tcW w:w="611" w:type="pct"/>
          </w:tcPr>
          <w:p w14:paraId="27B4CC12" w14:textId="77777777" w:rsidR="00247AD2" w:rsidRDefault="00247AD2" w:rsidP="001045FA">
            <w:pPr>
              <w:pStyle w:val="BodyText"/>
            </w:pPr>
            <w:r>
              <w:t>960</w:t>
            </w:r>
          </w:p>
        </w:tc>
        <w:tc>
          <w:tcPr>
            <w:tcW w:w="611" w:type="pct"/>
          </w:tcPr>
          <w:p w14:paraId="5E059412" w14:textId="77777777" w:rsidR="00247AD2" w:rsidRDefault="00247AD2" w:rsidP="001045FA">
            <w:pPr>
              <w:pStyle w:val="BodyText"/>
            </w:pPr>
            <w:r>
              <w:t>63</w:t>
            </w:r>
          </w:p>
        </w:tc>
        <w:tc>
          <w:tcPr>
            <w:tcW w:w="611" w:type="pct"/>
          </w:tcPr>
          <w:p w14:paraId="170E65F6" w14:textId="77777777" w:rsidR="00247AD2" w:rsidRDefault="00247AD2" w:rsidP="001045FA">
            <w:pPr>
              <w:pStyle w:val="BodyText"/>
            </w:pPr>
            <w:r>
              <w:t>1,023</w:t>
            </w:r>
          </w:p>
        </w:tc>
        <w:tc>
          <w:tcPr>
            <w:tcW w:w="611" w:type="pct"/>
          </w:tcPr>
          <w:p w14:paraId="1E6A45AB" w14:textId="77777777" w:rsidR="00247AD2" w:rsidRDefault="00247AD2" w:rsidP="001045FA">
            <w:pPr>
              <w:pStyle w:val="BodyText"/>
            </w:pPr>
            <w:r>
              <w:t>3</w:t>
            </w:r>
          </w:p>
        </w:tc>
        <w:tc>
          <w:tcPr>
            <w:tcW w:w="611" w:type="pct"/>
          </w:tcPr>
          <w:p w14:paraId="6DFF668B" w14:textId="77777777" w:rsidR="00247AD2" w:rsidRDefault="00247AD2" w:rsidP="001045FA">
            <w:pPr>
              <w:pStyle w:val="BodyText"/>
            </w:pPr>
            <w:r>
              <w:t>2</w:t>
            </w:r>
          </w:p>
        </w:tc>
        <w:tc>
          <w:tcPr>
            <w:tcW w:w="611" w:type="pct"/>
          </w:tcPr>
          <w:p w14:paraId="7A0DCFE3" w14:textId="77777777" w:rsidR="00247AD2" w:rsidRDefault="00247AD2" w:rsidP="001045FA">
            <w:pPr>
              <w:pStyle w:val="BodyText"/>
            </w:pPr>
            <w:r>
              <w:t>5</w:t>
            </w:r>
          </w:p>
        </w:tc>
        <w:tc>
          <w:tcPr>
            <w:tcW w:w="611" w:type="pct"/>
          </w:tcPr>
          <w:p w14:paraId="7EED3F28" w14:textId="77777777" w:rsidR="00247AD2" w:rsidRDefault="00247AD2" w:rsidP="001045FA">
            <w:pPr>
              <w:pStyle w:val="BodyText"/>
            </w:pPr>
            <w:r>
              <w:rPr>
                <w:rStyle w:val="01bodybold"/>
              </w:rPr>
              <w:t>1,028</w:t>
            </w:r>
          </w:p>
        </w:tc>
      </w:tr>
      <w:tr w:rsidR="00247AD2" w14:paraId="39A594C9" w14:textId="77777777" w:rsidTr="006A0585">
        <w:trPr>
          <w:trHeight w:val="396"/>
        </w:trPr>
        <w:tc>
          <w:tcPr>
            <w:tcW w:w="725" w:type="pct"/>
          </w:tcPr>
          <w:p w14:paraId="1347BE27" w14:textId="77777777" w:rsidR="00247AD2" w:rsidRDefault="00247AD2" w:rsidP="001045FA">
            <w:pPr>
              <w:pStyle w:val="BodyText"/>
            </w:pPr>
            <w:r>
              <w:t>EL1</w:t>
            </w:r>
          </w:p>
        </w:tc>
        <w:tc>
          <w:tcPr>
            <w:tcW w:w="611" w:type="pct"/>
          </w:tcPr>
          <w:p w14:paraId="4256880E" w14:textId="77777777" w:rsidR="00247AD2" w:rsidRDefault="00247AD2" w:rsidP="001045FA">
            <w:pPr>
              <w:pStyle w:val="BodyText"/>
            </w:pPr>
            <w:r>
              <w:t>2,529</w:t>
            </w:r>
          </w:p>
        </w:tc>
        <w:tc>
          <w:tcPr>
            <w:tcW w:w="611" w:type="pct"/>
          </w:tcPr>
          <w:p w14:paraId="0CAE492C" w14:textId="77777777" w:rsidR="00247AD2" w:rsidRDefault="00247AD2" w:rsidP="001045FA">
            <w:pPr>
              <w:pStyle w:val="BodyText"/>
            </w:pPr>
            <w:r>
              <w:t>326</w:t>
            </w:r>
          </w:p>
        </w:tc>
        <w:tc>
          <w:tcPr>
            <w:tcW w:w="611" w:type="pct"/>
          </w:tcPr>
          <w:p w14:paraId="1539C66C" w14:textId="77777777" w:rsidR="00247AD2" w:rsidRDefault="00247AD2" w:rsidP="001045FA">
            <w:pPr>
              <w:pStyle w:val="BodyText"/>
            </w:pPr>
            <w:r>
              <w:t>2,855</w:t>
            </w:r>
          </w:p>
        </w:tc>
        <w:tc>
          <w:tcPr>
            <w:tcW w:w="611" w:type="pct"/>
          </w:tcPr>
          <w:p w14:paraId="647DE1DE" w14:textId="77777777" w:rsidR="00247AD2" w:rsidRDefault="00247AD2" w:rsidP="001045FA">
            <w:pPr>
              <w:pStyle w:val="BodyText"/>
            </w:pPr>
            <w:r>
              <w:t>12</w:t>
            </w:r>
          </w:p>
        </w:tc>
        <w:tc>
          <w:tcPr>
            <w:tcW w:w="611" w:type="pct"/>
          </w:tcPr>
          <w:p w14:paraId="4C4EEA2C" w14:textId="77777777" w:rsidR="00247AD2" w:rsidRDefault="00247AD2" w:rsidP="001045FA">
            <w:pPr>
              <w:pStyle w:val="BodyText"/>
            </w:pPr>
            <w:r>
              <w:t>5</w:t>
            </w:r>
          </w:p>
        </w:tc>
        <w:tc>
          <w:tcPr>
            <w:tcW w:w="611" w:type="pct"/>
          </w:tcPr>
          <w:p w14:paraId="0A7A82BD" w14:textId="77777777" w:rsidR="00247AD2" w:rsidRDefault="00247AD2" w:rsidP="001045FA">
            <w:pPr>
              <w:pStyle w:val="BodyText"/>
            </w:pPr>
            <w:r>
              <w:t>17</w:t>
            </w:r>
          </w:p>
        </w:tc>
        <w:tc>
          <w:tcPr>
            <w:tcW w:w="611" w:type="pct"/>
          </w:tcPr>
          <w:p w14:paraId="18F63D97" w14:textId="77777777" w:rsidR="00247AD2" w:rsidRDefault="00247AD2" w:rsidP="001045FA">
            <w:pPr>
              <w:pStyle w:val="BodyText"/>
            </w:pPr>
            <w:r>
              <w:rPr>
                <w:rStyle w:val="01bodybold"/>
              </w:rPr>
              <w:t>2,872</w:t>
            </w:r>
          </w:p>
        </w:tc>
      </w:tr>
      <w:tr w:rsidR="00247AD2" w14:paraId="3D7AFFFC" w14:textId="77777777" w:rsidTr="006A0585">
        <w:trPr>
          <w:trHeight w:val="396"/>
        </w:trPr>
        <w:tc>
          <w:tcPr>
            <w:tcW w:w="725" w:type="pct"/>
          </w:tcPr>
          <w:p w14:paraId="2049AF13" w14:textId="77777777" w:rsidR="00247AD2" w:rsidRDefault="00247AD2" w:rsidP="001045FA">
            <w:pPr>
              <w:pStyle w:val="BodyText"/>
            </w:pPr>
            <w:r>
              <w:t>APS6</w:t>
            </w:r>
          </w:p>
        </w:tc>
        <w:tc>
          <w:tcPr>
            <w:tcW w:w="611" w:type="pct"/>
          </w:tcPr>
          <w:p w14:paraId="45CE2D64" w14:textId="77777777" w:rsidR="00247AD2" w:rsidRDefault="00247AD2" w:rsidP="001045FA">
            <w:pPr>
              <w:pStyle w:val="BodyText"/>
            </w:pPr>
            <w:r>
              <w:t>4,869</w:t>
            </w:r>
          </w:p>
        </w:tc>
        <w:tc>
          <w:tcPr>
            <w:tcW w:w="611" w:type="pct"/>
          </w:tcPr>
          <w:p w14:paraId="11B025BB" w14:textId="77777777" w:rsidR="00247AD2" w:rsidRDefault="00247AD2" w:rsidP="001045FA">
            <w:pPr>
              <w:pStyle w:val="BodyText"/>
            </w:pPr>
            <w:r>
              <w:t>1,175</w:t>
            </w:r>
          </w:p>
        </w:tc>
        <w:tc>
          <w:tcPr>
            <w:tcW w:w="611" w:type="pct"/>
          </w:tcPr>
          <w:p w14:paraId="2DA42697" w14:textId="77777777" w:rsidR="00247AD2" w:rsidRDefault="00247AD2" w:rsidP="001045FA">
            <w:pPr>
              <w:pStyle w:val="BodyText"/>
            </w:pPr>
            <w:r>
              <w:t>6,044</w:t>
            </w:r>
          </w:p>
        </w:tc>
        <w:tc>
          <w:tcPr>
            <w:tcW w:w="611" w:type="pct"/>
          </w:tcPr>
          <w:p w14:paraId="0D69366A" w14:textId="77777777" w:rsidR="00247AD2" w:rsidRDefault="00247AD2" w:rsidP="001045FA">
            <w:pPr>
              <w:pStyle w:val="BodyText"/>
            </w:pPr>
            <w:r>
              <w:t>13</w:t>
            </w:r>
          </w:p>
        </w:tc>
        <w:tc>
          <w:tcPr>
            <w:tcW w:w="611" w:type="pct"/>
          </w:tcPr>
          <w:p w14:paraId="185945E5" w14:textId="77777777" w:rsidR="00247AD2" w:rsidRDefault="00247AD2" w:rsidP="001045FA">
            <w:pPr>
              <w:pStyle w:val="BodyText"/>
            </w:pPr>
            <w:r>
              <w:t>5</w:t>
            </w:r>
          </w:p>
        </w:tc>
        <w:tc>
          <w:tcPr>
            <w:tcW w:w="611" w:type="pct"/>
          </w:tcPr>
          <w:p w14:paraId="33DB1D50" w14:textId="77777777" w:rsidR="00247AD2" w:rsidRDefault="00247AD2" w:rsidP="001045FA">
            <w:pPr>
              <w:pStyle w:val="BodyText"/>
            </w:pPr>
            <w:r>
              <w:t>18</w:t>
            </w:r>
          </w:p>
        </w:tc>
        <w:tc>
          <w:tcPr>
            <w:tcW w:w="611" w:type="pct"/>
          </w:tcPr>
          <w:p w14:paraId="78004599" w14:textId="77777777" w:rsidR="00247AD2" w:rsidRDefault="00247AD2" w:rsidP="001045FA">
            <w:pPr>
              <w:pStyle w:val="BodyText"/>
            </w:pPr>
            <w:r>
              <w:rPr>
                <w:rStyle w:val="01bodybold"/>
              </w:rPr>
              <w:t>6,062</w:t>
            </w:r>
          </w:p>
        </w:tc>
      </w:tr>
      <w:tr w:rsidR="00247AD2" w14:paraId="5AF0C239" w14:textId="77777777" w:rsidTr="006A0585">
        <w:trPr>
          <w:trHeight w:val="396"/>
        </w:trPr>
        <w:tc>
          <w:tcPr>
            <w:tcW w:w="725" w:type="pct"/>
          </w:tcPr>
          <w:p w14:paraId="32BB34B3" w14:textId="77777777" w:rsidR="00247AD2" w:rsidRDefault="00247AD2" w:rsidP="001045FA">
            <w:pPr>
              <w:pStyle w:val="BodyText"/>
            </w:pPr>
            <w:r>
              <w:t>APS5</w:t>
            </w:r>
          </w:p>
        </w:tc>
        <w:tc>
          <w:tcPr>
            <w:tcW w:w="611" w:type="pct"/>
          </w:tcPr>
          <w:p w14:paraId="52E17BD0" w14:textId="77777777" w:rsidR="00247AD2" w:rsidRDefault="00247AD2" w:rsidP="001045FA">
            <w:pPr>
              <w:pStyle w:val="BodyText"/>
            </w:pPr>
            <w:r>
              <w:t>2,715</w:t>
            </w:r>
          </w:p>
        </w:tc>
        <w:tc>
          <w:tcPr>
            <w:tcW w:w="611" w:type="pct"/>
          </w:tcPr>
          <w:p w14:paraId="2F57AAAA" w14:textId="77777777" w:rsidR="00247AD2" w:rsidRDefault="00247AD2" w:rsidP="001045FA">
            <w:pPr>
              <w:pStyle w:val="BodyText"/>
            </w:pPr>
            <w:r>
              <w:t>576</w:t>
            </w:r>
          </w:p>
        </w:tc>
        <w:tc>
          <w:tcPr>
            <w:tcW w:w="611" w:type="pct"/>
          </w:tcPr>
          <w:p w14:paraId="513AF5E7" w14:textId="77777777" w:rsidR="00247AD2" w:rsidRDefault="00247AD2" w:rsidP="001045FA">
            <w:pPr>
              <w:pStyle w:val="BodyText"/>
            </w:pPr>
            <w:r>
              <w:t>3,291</w:t>
            </w:r>
          </w:p>
        </w:tc>
        <w:tc>
          <w:tcPr>
            <w:tcW w:w="611" w:type="pct"/>
          </w:tcPr>
          <w:p w14:paraId="5DF876F5" w14:textId="77777777" w:rsidR="00247AD2" w:rsidRDefault="00247AD2" w:rsidP="001045FA">
            <w:pPr>
              <w:pStyle w:val="BodyText"/>
            </w:pPr>
            <w:r>
              <w:t>8</w:t>
            </w:r>
          </w:p>
        </w:tc>
        <w:tc>
          <w:tcPr>
            <w:tcW w:w="611" w:type="pct"/>
          </w:tcPr>
          <w:p w14:paraId="1FF87F41" w14:textId="77777777" w:rsidR="00247AD2" w:rsidRDefault="00247AD2" w:rsidP="001045FA">
            <w:pPr>
              <w:pStyle w:val="BodyText"/>
            </w:pPr>
            <w:r>
              <w:t>4</w:t>
            </w:r>
          </w:p>
        </w:tc>
        <w:tc>
          <w:tcPr>
            <w:tcW w:w="611" w:type="pct"/>
          </w:tcPr>
          <w:p w14:paraId="1B36A9D2" w14:textId="77777777" w:rsidR="00247AD2" w:rsidRDefault="00247AD2" w:rsidP="001045FA">
            <w:pPr>
              <w:pStyle w:val="BodyText"/>
            </w:pPr>
            <w:r>
              <w:t>12</w:t>
            </w:r>
          </w:p>
        </w:tc>
        <w:tc>
          <w:tcPr>
            <w:tcW w:w="611" w:type="pct"/>
          </w:tcPr>
          <w:p w14:paraId="1B1DA286" w14:textId="77777777" w:rsidR="00247AD2" w:rsidRDefault="00247AD2" w:rsidP="001045FA">
            <w:pPr>
              <w:pStyle w:val="BodyText"/>
            </w:pPr>
            <w:r>
              <w:rPr>
                <w:rStyle w:val="01bodybold"/>
              </w:rPr>
              <w:t>3,303</w:t>
            </w:r>
          </w:p>
        </w:tc>
      </w:tr>
      <w:tr w:rsidR="00247AD2" w14:paraId="67171DAE" w14:textId="77777777" w:rsidTr="006A0585">
        <w:trPr>
          <w:trHeight w:val="396"/>
        </w:trPr>
        <w:tc>
          <w:tcPr>
            <w:tcW w:w="725" w:type="pct"/>
          </w:tcPr>
          <w:p w14:paraId="6157F2DA" w14:textId="77777777" w:rsidR="00247AD2" w:rsidRDefault="00247AD2" w:rsidP="001045FA">
            <w:pPr>
              <w:pStyle w:val="BodyText"/>
            </w:pPr>
            <w:r>
              <w:t>APS4</w:t>
            </w:r>
          </w:p>
        </w:tc>
        <w:tc>
          <w:tcPr>
            <w:tcW w:w="611" w:type="pct"/>
          </w:tcPr>
          <w:p w14:paraId="060C6F7D" w14:textId="77777777" w:rsidR="00247AD2" w:rsidRDefault="00247AD2" w:rsidP="001045FA">
            <w:pPr>
              <w:pStyle w:val="BodyText"/>
            </w:pPr>
            <w:r>
              <w:t>12,190</w:t>
            </w:r>
          </w:p>
        </w:tc>
        <w:tc>
          <w:tcPr>
            <w:tcW w:w="611" w:type="pct"/>
          </w:tcPr>
          <w:p w14:paraId="261DBD2B" w14:textId="77777777" w:rsidR="00247AD2" w:rsidRDefault="00247AD2" w:rsidP="001045FA">
            <w:pPr>
              <w:pStyle w:val="BodyText"/>
            </w:pPr>
            <w:r>
              <w:t>4,070</w:t>
            </w:r>
          </w:p>
        </w:tc>
        <w:tc>
          <w:tcPr>
            <w:tcW w:w="611" w:type="pct"/>
          </w:tcPr>
          <w:p w14:paraId="5DEEDB48" w14:textId="77777777" w:rsidR="00247AD2" w:rsidRDefault="00247AD2" w:rsidP="001045FA">
            <w:pPr>
              <w:pStyle w:val="BodyText"/>
            </w:pPr>
            <w:r>
              <w:t>16,260</w:t>
            </w:r>
          </w:p>
        </w:tc>
        <w:tc>
          <w:tcPr>
            <w:tcW w:w="611" w:type="pct"/>
          </w:tcPr>
          <w:p w14:paraId="2F5F4FFE" w14:textId="77777777" w:rsidR="00247AD2" w:rsidRDefault="00247AD2" w:rsidP="001045FA">
            <w:pPr>
              <w:pStyle w:val="BodyText"/>
            </w:pPr>
            <w:r>
              <w:t>45</w:t>
            </w:r>
          </w:p>
        </w:tc>
        <w:tc>
          <w:tcPr>
            <w:tcW w:w="611" w:type="pct"/>
          </w:tcPr>
          <w:p w14:paraId="768CA042" w14:textId="77777777" w:rsidR="00247AD2" w:rsidRDefault="00247AD2" w:rsidP="001045FA">
            <w:pPr>
              <w:pStyle w:val="BodyText"/>
            </w:pPr>
            <w:r>
              <w:t>15</w:t>
            </w:r>
          </w:p>
        </w:tc>
        <w:tc>
          <w:tcPr>
            <w:tcW w:w="611" w:type="pct"/>
          </w:tcPr>
          <w:p w14:paraId="0BECEDC7" w14:textId="77777777" w:rsidR="00247AD2" w:rsidRDefault="00247AD2" w:rsidP="001045FA">
            <w:pPr>
              <w:pStyle w:val="BodyText"/>
            </w:pPr>
            <w:r>
              <w:t>60</w:t>
            </w:r>
          </w:p>
        </w:tc>
        <w:tc>
          <w:tcPr>
            <w:tcW w:w="611" w:type="pct"/>
          </w:tcPr>
          <w:p w14:paraId="1B6AB10E" w14:textId="77777777" w:rsidR="00247AD2" w:rsidRDefault="00247AD2" w:rsidP="001045FA">
            <w:pPr>
              <w:pStyle w:val="BodyText"/>
            </w:pPr>
            <w:r>
              <w:rPr>
                <w:rStyle w:val="01bodybold"/>
              </w:rPr>
              <w:t>16,320</w:t>
            </w:r>
          </w:p>
        </w:tc>
      </w:tr>
      <w:tr w:rsidR="00247AD2" w14:paraId="558FFCD1" w14:textId="77777777" w:rsidTr="006A0585">
        <w:trPr>
          <w:trHeight w:val="396"/>
        </w:trPr>
        <w:tc>
          <w:tcPr>
            <w:tcW w:w="725" w:type="pct"/>
          </w:tcPr>
          <w:p w14:paraId="7CDA93DE" w14:textId="77777777" w:rsidR="00247AD2" w:rsidRDefault="00247AD2" w:rsidP="001045FA">
            <w:pPr>
              <w:pStyle w:val="BodyText"/>
            </w:pPr>
            <w:r>
              <w:t>APS3</w:t>
            </w:r>
          </w:p>
        </w:tc>
        <w:tc>
          <w:tcPr>
            <w:tcW w:w="611" w:type="pct"/>
          </w:tcPr>
          <w:p w14:paraId="6867AEEC" w14:textId="77777777" w:rsidR="00247AD2" w:rsidRDefault="00247AD2" w:rsidP="001045FA">
            <w:pPr>
              <w:pStyle w:val="BodyText"/>
            </w:pPr>
            <w:r>
              <w:t>3,964</w:t>
            </w:r>
          </w:p>
        </w:tc>
        <w:tc>
          <w:tcPr>
            <w:tcW w:w="611" w:type="pct"/>
          </w:tcPr>
          <w:p w14:paraId="6CAE7690" w14:textId="77777777" w:rsidR="00247AD2" w:rsidRDefault="00247AD2" w:rsidP="001045FA">
            <w:pPr>
              <w:pStyle w:val="BodyText"/>
            </w:pPr>
            <w:r>
              <w:t>848</w:t>
            </w:r>
          </w:p>
        </w:tc>
        <w:tc>
          <w:tcPr>
            <w:tcW w:w="611" w:type="pct"/>
          </w:tcPr>
          <w:p w14:paraId="7C07628D" w14:textId="77777777" w:rsidR="00247AD2" w:rsidRDefault="00247AD2" w:rsidP="001045FA">
            <w:pPr>
              <w:pStyle w:val="BodyText"/>
            </w:pPr>
            <w:r>
              <w:t>4,812</w:t>
            </w:r>
          </w:p>
        </w:tc>
        <w:tc>
          <w:tcPr>
            <w:tcW w:w="611" w:type="pct"/>
          </w:tcPr>
          <w:p w14:paraId="425CBF52" w14:textId="77777777" w:rsidR="00247AD2" w:rsidRDefault="00247AD2" w:rsidP="001045FA">
            <w:pPr>
              <w:pStyle w:val="BodyText"/>
            </w:pPr>
            <w:r>
              <w:t>19</w:t>
            </w:r>
          </w:p>
        </w:tc>
        <w:tc>
          <w:tcPr>
            <w:tcW w:w="611" w:type="pct"/>
          </w:tcPr>
          <w:p w14:paraId="7B248F9E" w14:textId="77777777" w:rsidR="00247AD2" w:rsidRDefault="00247AD2" w:rsidP="001045FA">
            <w:pPr>
              <w:pStyle w:val="BodyText"/>
            </w:pPr>
            <w:r>
              <w:t>304</w:t>
            </w:r>
          </w:p>
        </w:tc>
        <w:tc>
          <w:tcPr>
            <w:tcW w:w="611" w:type="pct"/>
          </w:tcPr>
          <w:p w14:paraId="44A690A4" w14:textId="77777777" w:rsidR="00247AD2" w:rsidRDefault="00247AD2" w:rsidP="001045FA">
            <w:pPr>
              <w:pStyle w:val="BodyText"/>
            </w:pPr>
            <w:r>
              <w:t>323</w:t>
            </w:r>
          </w:p>
        </w:tc>
        <w:tc>
          <w:tcPr>
            <w:tcW w:w="611" w:type="pct"/>
          </w:tcPr>
          <w:p w14:paraId="4507C150" w14:textId="77777777" w:rsidR="00247AD2" w:rsidRDefault="00247AD2" w:rsidP="001045FA">
            <w:pPr>
              <w:pStyle w:val="BodyText"/>
            </w:pPr>
            <w:r>
              <w:rPr>
                <w:rStyle w:val="01bodybold"/>
              </w:rPr>
              <w:t>5,135</w:t>
            </w:r>
          </w:p>
        </w:tc>
      </w:tr>
      <w:tr w:rsidR="00247AD2" w14:paraId="709580E9" w14:textId="77777777" w:rsidTr="006A0585">
        <w:trPr>
          <w:trHeight w:val="396"/>
        </w:trPr>
        <w:tc>
          <w:tcPr>
            <w:tcW w:w="725" w:type="pct"/>
          </w:tcPr>
          <w:p w14:paraId="0FE2C734" w14:textId="77777777" w:rsidR="00247AD2" w:rsidRDefault="00247AD2" w:rsidP="001045FA">
            <w:pPr>
              <w:pStyle w:val="BodyText"/>
            </w:pPr>
            <w:r>
              <w:t>APS2</w:t>
            </w:r>
          </w:p>
        </w:tc>
        <w:tc>
          <w:tcPr>
            <w:tcW w:w="611" w:type="pct"/>
          </w:tcPr>
          <w:p w14:paraId="0A00D13D" w14:textId="77777777" w:rsidR="00247AD2" w:rsidRDefault="00247AD2" w:rsidP="001045FA">
            <w:pPr>
              <w:pStyle w:val="BodyText"/>
            </w:pPr>
            <w:r>
              <w:t>27</w:t>
            </w:r>
          </w:p>
        </w:tc>
        <w:tc>
          <w:tcPr>
            <w:tcW w:w="611" w:type="pct"/>
          </w:tcPr>
          <w:p w14:paraId="5C67BF3D" w14:textId="77777777" w:rsidR="00247AD2" w:rsidRDefault="00247AD2" w:rsidP="001045FA">
            <w:pPr>
              <w:pStyle w:val="BodyText"/>
            </w:pPr>
            <w:r>
              <w:t>10</w:t>
            </w:r>
          </w:p>
        </w:tc>
        <w:tc>
          <w:tcPr>
            <w:tcW w:w="611" w:type="pct"/>
          </w:tcPr>
          <w:p w14:paraId="13207C34" w14:textId="77777777" w:rsidR="00247AD2" w:rsidRDefault="00247AD2" w:rsidP="001045FA">
            <w:pPr>
              <w:pStyle w:val="BodyText"/>
            </w:pPr>
            <w:r>
              <w:t>37</w:t>
            </w:r>
          </w:p>
        </w:tc>
        <w:tc>
          <w:tcPr>
            <w:tcW w:w="611" w:type="pct"/>
          </w:tcPr>
          <w:p w14:paraId="60497FBA" w14:textId="77777777" w:rsidR="00247AD2" w:rsidRDefault="00247AD2" w:rsidP="001045FA">
            <w:pPr>
              <w:pStyle w:val="BodyText"/>
            </w:pPr>
            <w:r>
              <w:t>0</w:t>
            </w:r>
          </w:p>
        </w:tc>
        <w:tc>
          <w:tcPr>
            <w:tcW w:w="611" w:type="pct"/>
          </w:tcPr>
          <w:p w14:paraId="7EB5DC2E" w14:textId="77777777" w:rsidR="00247AD2" w:rsidRDefault="00247AD2" w:rsidP="001045FA">
            <w:pPr>
              <w:pStyle w:val="BodyText"/>
            </w:pPr>
            <w:r>
              <w:t>0</w:t>
            </w:r>
          </w:p>
        </w:tc>
        <w:tc>
          <w:tcPr>
            <w:tcW w:w="611" w:type="pct"/>
          </w:tcPr>
          <w:p w14:paraId="21CCDA35" w14:textId="77777777" w:rsidR="00247AD2" w:rsidRDefault="00247AD2" w:rsidP="001045FA">
            <w:pPr>
              <w:pStyle w:val="BodyText"/>
            </w:pPr>
            <w:r>
              <w:t>0</w:t>
            </w:r>
          </w:p>
        </w:tc>
        <w:tc>
          <w:tcPr>
            <w:tcW w:w="611" w:type="pct"/>
          </w:tcPr>
          <w:p w14:paraId="4ADBE2B8" w14:textId="77777777" w:rsidR="00247AD2" w:rsidRDefault="00247AD2" w:rsidP="001045FA">
            <w:pPr>
              <w:pStyle w:val="BodyText"/>
            </w:pPr>
            <w:r>
              <w:rPr>
                <w:rStyle w:val="01bodybold"/>
              </w:rPr>
              <w:t>37</w:t>
            </w:r>
          </w:p>
        </w:tc>
      </w:tr>
      <w:tr w:rsidR="00247AD2" w14:paraId="34D12C71" w14:textId="77777777" w:rsidTr="006A0585">
        <w:trPr>
          <w:trHeight w:val="396"/>
        </w:trPr>
        <w:tc>
          <w:tcPr>
            <w:tcW w:w="725" w:type="pct"/>
          </w:tcPr>
          <w:p w14:paraId="327F6335" w14:textId="77777777" w:rsidR="00247AD2" w:rsidRDefault="00247AD2" w:rsidP="001045FA">
            <w:pPr>
              <w:pStyle w:val="BodyText"/>
            </w:pPr>
            <w:r>
              <w:t>APS1</w:t>
            </w:r>
          </w:p>
        </w:tc>
        <w:tc>
          <w:tcPr>
            <w:tcW w:w="611" w:type="pct"/>
          </w:tcPr>
          <w:p w14:paraId="5C0DA5C5" w14:textId="77777777" w:rsidR="00247AD2" w:rsidRDefault="00247AD2" w:rsidP="001045FA">
            <w:pPr>
              <w:pStyle w:val="BodyText"/>
            </w:pPr>
            <w:r>
              <w:t>23</w:t>
            </w:r>
          </w:p>
        </w:tc>
        <w:tc>
          <w:tcPr>
            <w:tcW w:w="611" w:type="pct"/>
          </w:tcPr>
          <w:p w14:paraId="129D5547" w14:textId="77777777" w:rsidR="00247AD2" w:rsidRDefault="00247AD2" w:rsidP="001045FA">
            <w:pPr>
              <w:pStyle w:val="BodyText"/>
            </w:pPr>
            <w:r>
              <w:t>12</w:t>
            </w:r>
          </w:p>
        </w:tc>
        <w:tc>
          <w:tcPr>
            <w:tcW w:w="611" w:type="pct"/>
          </w:tcPr>
          <w:p w14:paraId="38DD4F0C" w14:textId="77777777" w:rsidR="00247AD2" w:rsidRDefault="00247AD2" w:rsidP="001045FA">
            <w:pPr>
              <w:pStyle w:val="BodyText"/>
            </w:pPr>
            <w:r>
              <w:t>35</w:t>
            </w:r>
          </w:p>
        </w:tc>
        <w:tc>
          <w:tcPr>
            <w:tcW w:w="611" w:type="pct"/>
          </w:tcPr>
          <w:p w14:paraId="1D2E596D" w14:textId="77777777" w:rsidR="00247AD2" w:rsidRDefault="00247AD2" w:rsidP="001045FA">
            <w:pPr>
              <w:pStyle w:val="BodyText"/>
            </w:pPr>
            <w:r>
              <w:t>2</w:t>
            </w:r>
          </w:p>
        </w:tc>
        <w:tc>
          <w:tcPr>
            <w:tcW w:w="611" w:type="pct"/>
          </w:tcPr>
          <w:p w14:paraId="16296AD0" w14:textId="77777777" w:rsidR="00247AD2" w:rsidRDefault="00247AD2" w:rsidP="001045FA">
            <w:pPr>
              <w:pStyle w:val="BodyText"/>
            </w:pPr>
            <w:r>
              <w:t>0</w:t>
            </w:r>
          </w:p>
        </w:tc>
        <w:tc>
          <w:tcPr>
            <w:tcW w:w="611" w:type="pct"/>
          </w:tcPr>
          <w:p w14:paraId="4DF37A97" w14:textId="77777777" w:rsidR="00247AD2" w:rsidRDefault="00247AD2" w:rsidP="001045FA">
            <w:pPr>
              <w:pStyle w:val="BodyText"/>
            </w:pPr>
            <w:r>
              <w:t>2</w:t>
            </w:r>
          </w:p>
        </w:tc>
        <w:tc>
          <w:tcPr>
            <w:tcW w:w="611" w:type="pct"/>
          </w:tcPr>
          <w:p w14:paraId="10B2C235" w14:textId="77777777" w:rsidR="00247AD2" w:rsidRDefault="00247AD2" w:rsidP="001045FA">
            <w:pPr>
              <w:pStyle w:val="BodyText"/>
            </w:pPr>
            <w:r>
              <w:rPr>
                <w:rStyle w:val="01bodybold"/>
              </w:rPr>
              <w:t>37</w:t>
            </w:r>
          </w:p>
        </w:tc>
      </w:tr>
      <w:tr w:rsidR="00247AD2" w14:paraId="45E188FC" w14:textId="77777777" w:rsidTr="006A0585">
        <w:trPr>
          <w:trHeight w:val="396"/>
        </w:trPr>
        <w:tc>
          <w:tcPr>
            <w:tcW w:w="725" w:type="pct"/>
          </w:tcPr>
          <w:p w14:paraId="57A2C5F0" w14:textId="77777777" w:rsidR="00247AD2" w:rsidRDefault="00247AD2" w:rsidP="001045FA">
            <w:pPr>
              <w:pStyle w:val="BodyText"/>
            </w:pPr>
            <w:r>
              <w:t>Other</w:t>
            </w:r>
          </w:p>
        </w:tc>
        <w:tc>
          <w:tcPr>
            <w:tcW w:w="611" w:type="pct"/>
          </w:tcPr>
          <w:p w14:paraId="1A906EB1" w14:textId="77777777" w:rsidR="00247AD2" w:rsidRDefault="00247AD2" w:rsidP="001045FA">
            <w:pPr>
              <w:pStyle w:val="BodyText"/>
            </w:pPr>
            <w:r>
              <w:t>215</w:t>
            </w:r>
          </w:p>
        </w:tc>
        <w:tc>
          <w:tcPr>
            <w:tcW w:w="611" w:type="pct"/>
          </w:tcPr>
          <w:p w14:paraId="31F3425C" w14:textId="77777777" w:rsidR="00247AD2" w:rsidRDefault="00247AD2" w:rsidP="001045FA">
            <w:pPr>
              <w:pStyle w:val="BodyText"/>
            </w:pPr>
            <w:r>
              <w:t>29</w:t>
            </w:r>
          </w:p>
        </w:tc>
        <w:tc>
          <w:tcPr>
            <w:tcW w:w="611" w:type="pct"/>
          </w:tcPr>
          <w:p w14:paraId="5C4596E4" w14:textId="77777777" w:rsidR="00247AD2" w:rsidRDefault="00247AD2" w:rsidP="001045FA">
            <w:pPr>
              <w:pStyle w:val="BodyText"/>
            </w:pPr>
            <w:r>
              <w:t>244</w:t>
            </w:r>
          </w:p>
        </w:tc>
        <w:tc>
          <w:tcPr>
            <w:tcW w:w="611" w:type="pct"/>
          </w:tcPr>
          <w:p w14:paraId="74BA9000" w14:textId="77777777" w:rsidR="00247AD2" w:rsidRDefault="00247AD2" w:rsidP="001045FA">
            <w:pPr>
              <w:pStyle w:val="BodyText"/>
            </w:pPr>
            <w:r>
              <w:t>0</w:t>
            </w:r>
          </w:p>
        </w:tc>
        <w:tc>
          <w:tcPr>
            <w:tcW w:w="611" w:type="pct"/>
          </w:tcPr>
          <w:p w14:paraId="343354C6" w14:textId="77777777" w:rsidR="00247AD2" w:rsidRDefault="00247AD2" w:rsidP="001045FA">
            <w:pPr>
              <w:pStyle w:val="BodyText"/>
            </w:pPr>
            <w:r>
              <w:t>0</w:t>
            </w:r>
          </w:p>
        </w:tc>
        <w:tc>
          <w:tcPr>
            <w:tcW w:w="611" w:type="pct"/>
          </w:tcPr>
          <w:p w14:paraId="304804AD" w14:textId="77777777" w:rsidR="00247AD2" w:rsidRDefault="00247AD2" w:rsidP="001045FA">
            <w:pPr>
              <w:pStyle w:val="BodyText"/>
            </w:pPr>
            <w:r>
              <w:t>0</w:t>
            </w:r>
          </w:p>
        </w:tc>
        <w:tc>
          <w:tcPr>
            <w:tcW w:w="611" w:type="pct"/>
          </w:tcPr>
          <w:p w14:paraId="55E82508" w14:textId="77777777" w:rsidR="00247AD2" w:rsidRDefault="00247AD2" w:rsidP="001045FA">
            <w:pPr>
              <w:pStyle w:val="BodyText"/>
            </w:pPr>
            <w:r>
              <w:rPr>
                <w:rStyle w:val="01bodybold"/>
              </w:rPr>
              <w:t>244</w:t>
            </w:r>
          </w:p>
        </w:tc>
      </w:tr>
      <w:tr w:rsidR="00247AD2" w14:paraId="6B35B267" w14:textId="77777777" w:rsidTr="006A0585">
        <w:trPr>
          <w:trHeight w:val="396"/>
        </w:trPr>
        <w:tc>
          <w:tcPr>
            <w:tcW w:w="725" w:type="pct"/>
          </w:tcPr>
          <w:p w14:paraId="785106A8" w14:textId="77777777" w:rsidR="00247AD2" w:rsidRDefault="00247AD2" w:rsidP="001045FA">
            <w:pPr>
              <w:pStyle w:val="BodyText"/>
            </w:pPr>
            <w:r>
              <w:rPr>
                <w:rStyle w:val="Bold"/>
              </w:rPr>
              <w:t>Total</w:t>
            </w:r>
          </w:p>
        </w:tc>
        <w:tc>
          <w:tcPr>
            <w:tcW w:w="611" w:type="pct"/>
          </w:tcPr>
          <w:p w14:paraId="57795670" w14:textId="77777777" w:rsidR="00247AD2" w:rsidRDefault="00247AD2" w:rsidP="001045FA">
            <w:pPr>
              <w:pStyle w:val="BodyText"/>
            </w:pPr>
            <w:r>
              <w:rPr>
                <w:rStyle w:val="Bold"/>
              </w:rPr>
              <w:t>27,654</w:t>
            </w:r>
          </w:p>
        </w:tc>
        <w:tc>
          <w:tcPr>
            <w:tcW w:w="611" w:type="pct"/>
          </w:tcPr>
          <w:p w14:paraId="64F5E6D2" w14:textId="77777777" w:rsidR="00247AD2" w:rsidRDefault="00247AD2" w:rsidP="001045FA">
            <w:pPr>
              <w:pStyle w:val="BodyText"/>
            </w:pPr>
            <w:r>
              <w:rPr>
                <w:rStyle w:val="Bold"/>
              </w:rPr>
              <w:t>7,112</w:t>
            </w:r>
          </w:p>
        </w:tc>
        <w:tc>
          <w:tcPr>
            <w:tcW w:w="611" w:type="pct"/>
          </w:tcPr>
          <w:p w14:paraId="48A4E1DA" w14:textId="77777777" w:rsidR="00247AD2" w:rsidRDefault="00247AD2" w:rsidP="001045FA">
            <w:pPr>
              <w:pStyle w:val="BodyText"/>
            </w:pPr>
            <w:r>
              <w:rPr>
                <w:rStyle w:val="Bold"/>
              </w:rPr>
              <w:t>34,766</w:t>
            </w:r>
          </w:p>
        </w:tc>
        <w:tc>
          <w:tcPr>
            <w:tcW w:w="611" w:type="pct"/>
          </w:tcPr>
          <w:p w14:paraId="787940AF" w14:textId="77777777" w:rsidR="00247AD2" w:rsidRDefault="00247AD2" w:rsidP="001045FA">
            <w:pPr>
              <w:pStyle w:val="BodyText"/>
            </w:pPr>
            <w:r>
              <w:rPr>
                <w:rStyle w:val="Bold"/>
              </w:rPr>
              <w:t>102</w:t>
            </w:r>
          </w:p>
        </w:tc>
        <w:tc>
          <w:tcPr>
            <w:tcW w:w="611" w:type="pct"/>
          </w:tcPr>
          <w:p w14:paraId="5EB36745" w14:textId="77777777" w:rsidR="00247AD2" w:rsidRDefault="00247AD2" w:rsidP="001045FA">
            <w:pPr>
              <w:pStyle w:val="BodyText"/>
            </w:pPr>
            <w:r>
              <w:rPr>
                <w:rStyle w:val="Bold"/>
              </w:rPr>
              <w:t>335</w:t>
            </w:r>
          </w:p>
        </w:tc>
        <w:tc>
          <w:tcPr>
            <w:tcW w:w="611" w:type="pct"/>
          </w:tcPr>
          <w:p w14:paraId="238D98E9" w14:textId="77777777" w:rsidR="00247AD2" w:rsidRDefault="00247AD2" w:rsidP="001045FA">
            <w:pPr>
              <w:pStyle w:val="BodyText"/>
            </w:pPr>
            <w:r>
              <w:rPr>
                <w:rStyle w:val="Bold"/>
              </w:rPr>
              <w:t>437</w:t>
            </w:r>
          </w:p>
        </w:tc>
        <w:tc>
          <w:tcPr>
            <w:tcW w:w="611" w:type="pct"/>
          </w:tcPr>
          <w:p w14:paraId="0A2FEA21" w14:textId="77777777" w:rsidR="00247AD2" w:rsidRDefault="00247AD2" w:rsidP="001045FA">
            <w:pPr>
              <w:pStyle w:val="BodyText"/>
            </w:pPr>
            <w:r>
              <w:rPr>
                <w:rStyle w:val="Bold"/>
              </w:rPr>
              <w:t>35,203</w:t>
            </w:r>
          </w:p>
        </w:tc>
      </w:tr>
    </w:tbl>
    <w:p w14:paraId="48894858" w14:textId="747FC957" w:rsidR="00247AD2" w:rsidRDefault="00247AD2" w:rsidP="001D2CCD">
      <w:pPr>
        <w:pStyle w:val="ProductCode"/>
      </w:pPr>
      <w:r>
        <w:t>(a)</w:t>
      </w:r>
      <w:r w:rsidR="001D2CCD">
        <w:t xml:space="preserve"> </w:t>
      </w:r>
      <w:r>
        <w:t>Non-ongoing employees include irregular/intermittent staff.</w:t>
      </w:r>
    </w:p>
    <w:p w14:paraId="55A93687" w14:textId="12309885" w:rsidR="00247AD2" w:rsidRPr="001D2CCD" w:rsidRDefault="001D2CCD" w:rsidP="001D2CCD">
      <w:pPr>
        <w:pStyle w:val="BodyText"/>
        <w:rPr>
          <w:b/>
          <w:bCs/>
        </w:rPr>
      </w:pPr>
      <w:r w:rsidRPr="001D2CCD">
        <w:rPr>
          <w:b/>
          <w:bCs/>
        </w:rPr>
        <w:t>Table 71:</w:t>
      </w:r>
      <w:r w:rsidR="00247AD2" w:rsidRPr="001D2CCD">
        <w:rPr>
          <w:b/>
          <w:bCs/>
        </w:rPr>
        <w:t xml:space="preserve"> Australian Public Service Act employees by full-time and part-time status 2023–24</w:t>
      </w:r>
      <w:r w:rsidR="00247AD2" w:rsidRPr="001D2CCD">
        <w:rPr>
          <w:b/>
          <w:bCs/>
          <w:vertAlign w:val="superscript"/>
        </w:rPr>
        <w:t>(a)</w:t>
      </w:r>
      <w:r w:rsidR="00247AD2" w:rsidRPr="001D2CCD">
        <w:rPr>
          <w:b/>
          <w:bCs/>
        </w:rPr>
        <w:t xml:space="preserve"> (as at 30 June 2024)</w:t>
      </w:r>
    </w:p>
    <w:tbl>
      <w:tblPr>
        <w:tblStyle w:val="TableGrid"/>
        <w:tblW w:w="5000" w:type="pct"/>
        <w:tblLook w:val="04A0" w:firstRow="1" w:lastRow="0" w:firstColumn="1" w:lastColumn="0" w:noHBand="0" w:noVBand="1"/>
        <w:tblCaption w:val="Australian Public Service Act employees by full-time and part-time status 2023–24(a) (as at 30 June 2024)"/>
      </w:tblPr>
      <w:tblGrid>
        <w:gridCol w:w="1737"/>
        <w:gridCol w:w="1337"/>
        <w:gridCol w:w="1337"/>
        <w:gridCol w:w="1338"/>
        <w:gridCol w:w="1338"/>
        <w:gridCol w:w="1338"/>
        <w:gridCol w:w="1338"/>
        <w:gridCol w:w="1333"/>
      </w:tblGrid>
      <w:tr w:rsidR="00247AD2" w14:paraId="266F8CC0" w14:textId="77777777" w:rsidTr="001045FA">
        <w:trPr>
          <w:trHeight w:val="60"/>
          <w:tblHeader/>
        </w:trPr>
        <w:tc>
          <w:tcPr>
            <w:tcW w:w="725" w:type="pct"/>
          </w:tcPr>
          <w:p w14:paraId="579DBBB9" w14:textId="77777777" w:rsidR="00247AD2" w:rsidRDefault="00247AD2" w:rsidP="001045FA">
            <w:pPr>
              <w:pStyle w:val="BodyText"/>
            </w:pPr>
          </w:p>
        </w:tc>
        <w:tc>
          <w:tcPr>
            <w:tcW w:w="1832" w:type="pct"/>
            <w:gridSpan w:val="3"/>
          </w:tcPr>
          <w:p w14:paraId="59378A83" w14:textId="77777777" w:rsidR="00247AD2" w:rsidRPr="00891C1C" w:rsidRDefault="00247AD2" w:rsidP="001045FA">
            <w:pPr>
              <w:pStyle w:val="BodyText"/>
              <w:rPr>
                <w:b/>
                <w:bCs/>
              </w:rPr>
            </w:pPr>
            <w:r w:rsidRPr="00891C1C">
              <w:rPr>
                <w:b/>
                <w:bCs/>
              </w:rPr>
              <w:t>Ongoing</w:t>
            </w:r>
          </w:p>
        </w:tc>
        <w:tc>
          <w:tcPr>
            <w:tcW w:w="1832" w:type="pct"/>
            <w:gridSpan w:val="3"/>
          </w:tcPr>
          <w:p w14:paraId="42C9A96B" w14:textId="77777777" w:rsidR="00247AD2" w:rsidRPr="00891C1C" w:rsidRDefault="00247AD2" w:rsidP="001045FA">
            <w:pPr>
              <w:pStyle w:val="BodyText"/>
              <w:rPr>
                <w:b/>
                <w:bCs/>
              </w:rPr>
            </w:pPr>
            <w:r w:rsidRPr="00891C1C">
              <w:rPr>
                <w:b/>
                <w:bCs/>
              </w:rPr>
              <w:t>Non-ongoing</w:t>
            </w:r>
            <w:r w:rsidRPr="00891C1C">
              <w:rPr>
                <w:b/>
                <w:bCs/>
                <w:vertAlign w:val="superscript"/>
              </w:rPr>
              <w:t>(a)</w:t>
            </w:r>
          </w:p>
        </w:tc>
        <w:tc>
          <w:tcPr>
            <w:tcW w:w="611" w:type="pct"/>
          </w:tcPr>
          <w:p w14:paraId="4D7541F1" w14:textId="77777777" w:rsidR="00247AD2" w:rsidRDefault="00247AD2" w:rsidP="001045FA">
            <w:pPr>
              <w:pStyle w:val="BodyText"/>
            </w:pPr>
          </w:p>
        </w:tc>
      </w:tr>
      <w:tr w:rsidR="00247AD2" w14:paraId="5F0E8861" w14:textId="77777777" w:rsidTr="001045FA">
        <w:trPr>
          <w:trHeight w:val="616"/>
          <w:tblHeader/>
        </w:trPr>
        <w:tc>
          <w:tcPr>
            <w:tcW w:w="725" w:type="pct"/>
          </w:tcPr>
          <w:p w14:paraId="20775F32" w14:textId="77777777" w:rsidR="00247AD2" w:rsidRDefault="00247AD2" w:rsidP="001045FA">
            <w:pPr>
              <w:pStyle w:val="BodyText"/>
            </w:pPr>
            <w:r>
              <w:rPr>
                <w:rStyle w:val="Bold"/>
              </w:rPr>
              <w:t>Substantive classification</w:t>
            </w:r>
          </w:p>
        </w:tc>
        <w:tc>
          <w:tcPr>
            <w:tcW w:w="611" w:type="pct"/>
          </w:tcPr>
          <w:p w14:paraId="1E8BB28B" w14:textId="77777777" w:rsidR="00247AD2" w:rsidRDefault="00247AD2" w:rsidP="001045FA">
            <w:pPr>
              <w:pStyle w:val="BodyText"/>
            </w:pPr>
            <w:r>
              <w:rPr>
                <w:rStyle w:val="Bold"/>
              </w:rPr>
              <w:t>Full-time</w:t>
            </w:r>
          </w:p>
        </w:tc>
        <w:tc>
          <w:tcPr>
            <w:tcW w:w="611" w:type="pct"/>
          </w:tcPr>
          <w:p w14:paraId="704D4CDE" w14:textId="77777777" w:rsidR="00247AD2" w:rsidRDefault="00247AD2" w:rsidP="001045FA">
            <w:pPr>
              <w:pStyle w:val="BodyText"/>
            </w:pPr>
            <w:r>
              <w:rPr>
                <w:rStyle w:val="Bold"/>
              </w:rPr>
              <w:t>Part-time</w:t>
            </w:r>
          </w:p>
        </w:tc>
        <w:tc>
          <w:tcPr>
            <w:tcW w:w="611" w:type="pct"/>
          </w:tcPr>
          <w:p w14:paraId="608AE0B3" w14:textId="77777777" w:rsidR="00247AD2" w:rsidRDefault="00247AD2" w:rsidP="001045FA">
            <w:pPr>
              <w:pStyle w:val="BodyText"/>
            </w:pPr>
            <w:r>
              <w:rPr>
                <w:rStyle w:val="Bold"/>
              </w:rPr>
              <w:t>Total Ongoing</w:t>
            </w:r>
          </w:p>
        </w:tc>
        <w:tc>
          <w:tcPr>
            <w:tcW w:w="611" w:type="pct"/>
          </w:tcPr>
          <w:p w14:paraId="4ADB1D33" w14:textId="77777777" w:rsidR="00247AD2" w:rsidRDefault="00247AD2" w:rsidP="001045FA">
            <w:pPr>
              <w:pStyle w:val="BodyText"/>
            </w:pPr>
            <w:r>
              <w:rPr>
                <w:rStyle w:val="Bold"/>
              </w:rPr>
              <w:t>Full-time</w:t>
            </w:r>
          </w:p>
        </w:tc>
        <w:tc>
          <w:tcPr>
            <w:tcW w:w="611" w:type="pct"/>
          </w:tcPr>
          <w:p w14:paraId="52FC1620" w14:textId="77777777" w:rsidR="00247AD2" w:rsidRDefault="00247AD2" w:rsidP="001045FA">
            <w:pPr>
              <w:pStyle w:val="BodyText"/>
            </w:pPr>
            <w:r>
              <w:rPr>
                <w:rStyle w:val="Bold"/>
              </w:rPr>
              <w:t>Part-time</w:t>
            </w:r>
          </w:p>
        </w:tc>
        <w:tc>
          <w:tcPr>
            <w:tcW w:w="611" w:type="pct"/>
          </w:tcPr>
          <w:p w14:paraId="2BE9B958" w14:textId="77777777" w:rsidR="00247AD2" w:rsidRDefault="00247AD2" w:rsidP="001045FA">
            <w:pPr>
              <w:pStyle w:val="BodyText"/>
            </w:pPr>
            <w:r>
              <w:rPr>
                <w:rStyle w:val="Bold"/>
                <w:spacing w:val="-4"/>
              </w:rPr>
              <w:t>Total Non-ongoing</w:t>
            </w:r>
          </w:p>
        </w:tc>
        <w:tc>
          <w:tcPr>
            <w:tcW w:w="611" w:type="pct"/>
          </w:tcPr>
          <w:p w14:paraId="40783824" w14:textId="77777777" w:rsidR="00247AD2" w:rsidRDefault="00247AD2" w:rsidP="001045FA">
            <w:pPr>
              <w:pStyle w:val="BodyText"/>
            </w:pPr>
            <w:r>
              <w:rPr>
                <w:rStyle w:val="Bold"/>
              </w:rPr>
              <w:t>Total</w:t>
            </w:r>
          </w:p>
        </w:tc>
      </w:tr>
      <w:tr w:rsidR="00247AD2" w14:paraId="0CD52AA8" w14:textId="77777777" w:rsidTr="006A0585">
        <w:trPr>
          <w:trHeight w:val="396"/>
        </w:trPr>
        <w:tc>
          <w:tcPr>
            <w:tcW w:w="725" w:type="pct"/>
          </w:tcPr>
          <w:p w14:paraId="4B92E022" w14:textId="77777777" w:rsidR="00247AD2" w:rsidRDefault="00247AD2" w:rsidP="001045FA">
            <w:pPr>
              <w:pStyle w:val="BodyText"/>
            </w:pPr>
            <w:r>
              <w:t>SES3</w:t>
            </w:r>
          </w:p>
        </w:tc>
        <w:tc>
          <w:tcPr>
            <w:tcW w:w="611" w:type="pct"/>
          </w:tcPr>
          <w:p w14:paraId="5CAD4B98" w14:textId="77777777" w:rsidR="00247AD2" w:rsidRDefault="00247AD2" w:rsidP="001045FA">
            <w:pPr>
              <w:pStyle w:val="BodyText"/>
            </w:pPr>
            <w:r>
              <w:t>6</w:t>
            </w:r>
          </w:p>
        </w:tc>
        <w:tc>
          <w:tcPr>
            <w:tcW w:w="611" w:type="pct"/>
          </w:tcPr>
          <w:p w14:paraId="7F39FEDA" w14:textId="77777777" w:rsidR="00247AD2" w:rsidRDefault="00247AD2" w:rsidP="001045FA">
            <w:pPr>
              <w:pStyle w:val="BodyText"/>
            </w:pPr>
            <w:r>
              <w:t>0</w:t>
            </w:r>
          </w:p>
        </w:tc>
        <w:tc>
          <w:tcPr>
            <w:tcW w:w="611" w:type="pct"/>
          </w:tcPr>
          <w:p w14:paraId="6EF2DBF7" w14:textId="77777777" w:rsidR="00247AD2" w:rsidRDefault="00247AD2" w:rsidP="001045FA">
            <w:pPr>
              <w:pStyle w:val="BodyText"/>
            </w:pPr>
            <w:r>
              <w:t>6</w:t>
            </w:r>
          </w:p>
        </w:tc>
        <w:tc>
          <w:tcPr>
            <w:tcW w:w="611" w:type="pct"/>
          </w:tcPr>
          <w:p w14:paraId="75ED8CC9" w14:textId="77777777" w:rsidR="00247AD2" w:rsidRDefault="00247AD2" w:rsidP="001045FA">
            <w:pPr>
              <w:pStyle w:val="BodyText"/>
            </w:pPr>
            <w:r>
              <w:t>0</w:t>
            </w:r>
          </w:p>
        </w:tc>
        <w:tc>
          <w:tcPr>
            <w:tcW w:w="611" w:type="pct"/>
          </w:tcPr>
          <w:p w14:paraId="353EF72D" w14:textId="77777777" w:rsidR="00247AD2" w:rsidRDefault="00247AD2" w:rsidP="001045FA">
            <w:pPr>
              <w:pStyle w:val="BodyText"/>
            </w:pPr>
            <w:r>
              <w:t>0</w:t>
            </w:r>
          </w:p>
        </w:tc>
        <w:tc>
          <w:tcPr>
            <w:tcW w:w="611" w:type="pct"/>
          </w:tcPr>
          <w:p w14:paraId="4B9D5270" w14:textId="77777777" w:rsidR="00247AD2" w:rsidRDefault="00247AD2" w:rsidP="001045FA">
            <w:pPr>
              <w:pStyle w:val="BodyText"/>
            </w:pPr>
            <w:r>
              <w:t>0</w:t>
            </w:r>
          </w:p>
        </w:tc>
        <w:tc>
          <w:tcPr>
            <w:tcW w:w="611" w:type="pct"/>
          </w:tcPr>
          <w:p w14:paraId="6D706B66" w14:textId="77777777" w:rsidR="00247AD2" w:rsidRDefault="00247AD2" w:rsidP="001045FA">
            <w:pPr>
              <w:pStyle w:val="BodyText"/>
            </w:pPr>
            <w:r>
              <w:rPr>
                <w:rStyle w:val="01bodybold"/>
              </w:rPr>
              <w:t>6</w:t>
            </w:r>
          </w:p>
        </w:tc>
      </w:tr>
      <w:tr w:rsidR="00247AD2" w14:paraId="10D375B3" w14:textId="77777777" w:rsidTr="006A0585">
        <w:trPr>
          <w:trHeight w:val="396"/>
        </w:trPr>
        <w:tc>
          <w:tcPr>
            <w:tcW w:w="725" w:type="pct"/>
          </w:tcPr>
          <w:p w14:paraId="68D23995" w14:textId="77777777" w:rsidR="00247AD2" w:rsidRDefault="00247AD2" w:rsidP="001045FA">
            <w:pPr>
              <w:pStyle w:val="BodyText"/>
            </w:pPr>
            <w:r>
              <w:t>SES2</w:t>
            </w:r>
          </w:p>
        </w:tc>
        <w:tc>
          <w:tcPr>
            <w:tcW w:w="611" w:type="pct"/>
          </w:tcPr>
          <w:p w14:paraId="63F7FF10" w14:textId="77777777" w:rsidR="00247AD2" w:rsidRDefault="00247AD2" w:rsidP="001045FA">
            <w:pPr>
              <w:pStyle w:val="BodyText"/>
            </w:pPr>
            <w:r>
              <w:t>33</w:t>
            </w:r>
          </w:p>
        </w:tc>
        <w:tc>
          <w:tcPr>
            <w:tcW w:w="611" w:type="pct"/>
          </w:tcPr>
          <w:p w14:paraId="3C010545" w14:textId="77777777" w:rsidR="00247AD2" w:rsidRDefault="00247AD2" w:rsidP="001045FA">
            <w:pPr>
              <w:pStyle w:val="BodyText"/>
            </w:pPr>
            <w:r>
              <w:t>1</w:t>
            </w:r>
          </w:p>
        </w:tc>
        <w:tc>
          <w:tcPr>
            <w:tcW w:w="611" w:type="pct"/>
          </w:tcPr>
          <w:p w14:paraId="0E33F698" w14:textId="77777777" w:rsidR="00247AD2" w:rsidRDefault="00247AD2" w:rsidP="001045FA">
            <w:pPr>
              <w:pStyle w:val="BodyText"/>
            </w:pPr>
            <w:r>
              <w:t>34</w:t>
            </w:r>
          </w:p>
        </w:tc>
        <w:tc>
          <w:tcPr>
            <w:tcW w:w="611" w:type="pct"/>
          </w:tcPr>
          <w:p w14:paraId="7A87E67A" w14:textId="77777777" w:rsidR="00247AD2" w:rsidRDefault="00247AD2" w:rsidP="001045FA">
            <w:pPr>
              <w:pStyle w:val="BodyText"/>
            </w:pPr>
            <w:r>
              <w:t>0</w:t>
            </w:r>
          </w:p>
        </w:tc>
        <w:tc>
          <w:tcPr>
            <w:tcW w:w="611" w:type="pct"/>
          </w:tcPr>
          <w:p w14:paraId="4AA1DE8A" w14:textId="77777777" w:rsidR="00247AD2" w:rsidRDefault="00247AD2" w:rsidP="001045FA">
            <w:pPr>
              <w:pStyle w:val="BodyText"/>
            </w:pPr>
            <w:r>
              <w:t>0</w:t>
            </w:r>
          </w:p>
        </w:tc>
        <w:tc>
          <w:tcPr>
            <w:tcW w:w="611" w:type="pct"/>
          </w:tcPr>
          <w:p w14:paraId="3EE336AA" w14:textId="77777777" w:rsidR="00247AD2" w:rsidRDefault="00247AD2" w:rsidP="001045FA">
            <w:pPr>
              <w:pStyle w:val="BodyText"/>
            </w:pPr>
            <w:r>
              <w:t>0</w:t>
            </w:r>
          </w:p>
        </w:tc>
        <w:tc>
          <w:tcPr>
            <w:tcW w:w="611" w:type="pct"/>
          </w:tcPr>
          <w:p w14:paraId="2DB4EC21" w14:textId="77777777" w:rsidR="00247AD2" w:rsidRDefault="00247AD2" w:rsidP="001045FA">
            <w:pPr>
              <w:pStyle w:val="BodyText"/>
            </w:pPr>
            <w:r>
              <w:rPr>
                <w:rStyle w:val="01bodybold"/>
              </w:rPr>
              <w:t>34</w:t>
            </w:r>
          </w:p>
        </w:tc>
      </w:tr>
      <w:tr w:rsidR="00247AD2" w14:paraId="070DCC68" w14:textId="77777777" w:rsidTr="006A0585">
        <w:trPr>
          <w:trHeight w:val="396"/>
        </w:trPr>
        <w:tc>
          <w:tcPr>
            <w:tcW w:w="725" w:type="pct"/>
          </w:tcPr>
          <w:p w14:paraId="1B5700FD" w14:textId="77777777" w:rsidR="00247AD2" w:rsidRDefault="00247AD2" w:rsidP="001045FA">
            <w:pPr>
              <w:pStyle w:val="BodyText"/>
            </w:pPr>
            <w:r>
              <w:t>SES1</w:t>
            </w:r>
          </w:p>
        </w:tc>
        <w:tc>
          <w:tcPr>
            <w:tcW w:w="611" w:type="pct"/>
          </w:tcPr>
          <w:p w14:paraId="73CD9CC9" w14:textId="77777777" w:rsidR="00247AD2" w:rsidRDefault="00247AD2" w:rsidP="001045FA">
            <w:pPr>
              <w:pStyle w:val="BodyText"/>
            </w:pPr>
            <w:r>
              <w:t>122</w:t>
            </w:r>
          </w:p>
        </w:tc>
        <w:tc>
          <w:tcPr>
            <w:tcW w:w="611" w:type="pct"/>
          </w:tcPr>
          <w:p w14:paraId="3204B1AC" w14:textId="77777777" w:rsidR="00247AD2" w:rsidRDefault="00247AD2" w:rsidP="001045FA">
            <w:pPr>
              <w:pStyle w:val="BodyText"/>
            </w:pPr>
            <w:r>
              <w:t>1</w:t>
            </w:r>
          </w:p>
        </w:tc>
        <w:tc>
          <w:tcPr>
            <w:tcW w:w="611" w:type="pct"/>
          </w:tcPr>
          <w:p w14:paraId="7920E7A0" w14:textId="77777777" w:rsidR="00247AD2" w:rsidRDefault="00247AD2" w:rsidP="001045FA">
            <w:pPr>
              <w:pStyle w:val="BodyText"/>
            </w:pPr>
            <w:r>
              <w:t>123</w:t>
            </w:r>
          </w:p>
        </w:tc>
        <w:tc>
          <w:tcPr>
            <w:tcW w:w="611" w:type="pct"/>
          </w:tcPr>
          <w:p w14:paraId="7E62E4A6" w14:textId="77777777" w:rsidR="00247AD2" w:rsidRDefault="00247AD2" w:rsidP="001045FA">
            <w:pPr>
              <w:pStyle w:val="BodyText"/>
            </w:pPr>
            <w:r>
              <w:t>0</w:t>
            </w:r>
          </w:p>
        </w:tc>
        <w:tc>
          <w:tcPr>
            <w:tcW w:w="611" w:type="pct"/>
          </w:tcPr>
          <w:p w14:paraId="32EABA81" w14:textId="77777777" w:rsidR="00247AD2" w:rsidRDefault="00247AD2" w:rsidP="001045FA">
            <w:pPr>
              <w:pStyle w:val="BodyText"/>
            </w:pPr>
            <w:r>
              <w:t>0</w:t>
            </w:r>
          </w:p>
        </w:tc>
        <w:tc>
          <w:tcPr>
            <w:tcW w:w="611" w:type="pct"/>
          </w:tcPr>
          <w:p w14:paraId="7201A6A0" w14:textId="77777777" w:rsidR="00247AD2" w:rsidRDefault="00247AD2" w:rsidP="001045FA">
            <w:pPr>
              <w:pStyle w:val="BodyText"/>
            </w:pPr>
            <w:r>
              <w:t>0</w:t>
            </w:r>
          </w:p>
        </w:tc>
        <w:tc>
          <w:tcPr>
            <w:tcW w:w="611" w:type="pct"/>
          </w:tcPr>
          <w:p w14:paraId="44623811" w14:textId="77777777" w:rsidR="00247AD2" w:rsidRDefault="00247AD2" w:rsidP="001045FA">
            <w:pPr>
              <w:pStyle w:val="BodyText"/>
            </w:pPr>
            <w:r>
              <w:rPr>
                <w:rStyle w:val="01bodybold"/>
              </w:rPr>
              <w:t>123</w:t>
            </w:r>
          </w:p>
        </w:tc>
      </w:tr>
      <w:tr w:rsidR="00247AD2" w14:paraId="21D9830F" w14:textId="77777777" w:rsidTr="006A0585">
        <w:trPr>
          <w:trHeight w:val="396"/>
        </w:trPr>
        <w:tc>
          <w:tcPr>
            <w:tcW w:w="725" w:type="pct"/>
          </w:tcPr>
          <w:p w14:paraId="3767584C" w14:textId="77777777" w:rsidR="00247AD2" w:rsidRDefault="00247AD2" w:rsidP="001045FA">
            <w:pPr>
              <w:pStyle w:val="BodyText"/>
            </w:pPr>
            <w:r>
              <w:t>EL2</w:t>
            </w:r>
          </w:p>
        </w:tc>
        <w:tc>
          <w:tcPr>
            <w:tcW w:w="611" w:type="pct"/>
          </w:tcPr>
          <w:p w14:paraId="12B31D06" w14:textId="77777777" w:rsidR="00247AD2" w:rsidRDefault="00247AD2" w:rsidP="001045FA">
            <w:pPr>
              <w:pStyle w:val="BodyText"/>
            </w:pPr>
            <w:r>
              <w:t>866</w:t>
            </w:r>
          </w:p>
        </w:tc>
        <w:tc>
          <w:tcPr>
            <w:tcW w:w="611" w:type="pct"/>
          </w:tcPr>
          <w:p w14:paraId="7C6D389B" w14:textId="77777777" w:rsidR="00247AD2" w:rsidRDefault="00247AD2" w:rsidP="001045FA">
            <w:pPr>
              <w:pStyle w:val="BodyText"/>
            </w:pPr>
            <w:r>
              <w:t>45</w:t>
            </w:r>
          </w:p>
        </w:tc>
        <w:tc>
          <w:tcPr>
            <w:tcW w:w="611" w:type="pct"/>
          </w:tcPr>
          <w:p w14:paraId="052192D1" w14:textId="77777777" w:rsidR="00247AD2" w:rsidRDefault="00247AD2" w:rsidP="001045FA">
            <w:pPr>
              <w:pStyle w:val="BodyText"/>
            </w:pPr>
            <w:r>
              <w:t>911</w:t>
            </w:r>
          </w:p>
        </w:tc>
        <w:tc>
          <w:tcPr>
            <w:tcW w:w="611" w:type="pct"/>
          </w:tcPr>
          <w:p w14:paraId="7409FCD1" w14:textId="77777777" w:rsidR="00247AD2" w:rsidRDefault="00247AD2" w:rsidP="001045FA">
            <w:pPr>
              <w:pStyle w:val="BodyText"/>
            </w:pPr>
            <w:r>
              <w:t>2</w:t>
            </w:r>
          </w:p>
        </w:tc>
        <w:tc>
          <w:tcPr>
            <w:tcW w:w="611" w:type="pct"/>
          </w:tcPr>
          <w:p w14:paraId="3E34D42A" w14:textId="77777777" w:rsidR="00247AD2" w:rsidRDefault="00247AD2" w:rsidP="001045FA">
            <w:pPr>
              <w:pStyle w:val="BodyText"/>
            </w:pPr>
            <w:r>
              <w:t>1</w:t>
            </w:r>
          </w:p>
        </w:tc>
        <w:tc>
          <w:tcPr>
            <w:tcW w:w="611" w:type="pct"/>
          </w:tcPr>
          <w:p w14:paraId="0BBC1B04" w14:textId="77777777" w:rsidR="00247AD2" w:rsidRDefault="00247AD2" w:rsidP="001045FA">
            <w:pPr>
              <w:pStyle w:val="BodyText"/>
            </w:pPr>
            <w:r>
              <w:t>3</w:t>
            </w:r>
          </w:p>
        </w:tc>
        <w:tc>
          <w:tcPr>
            <w:tcW w:w="611" w:type="pct"/>
          </w:tcPr>
          <w:p w14:paraId="4A650E11" w14:textId="77777777" w:rsidR="00247AD2" w:rsidRDefault="00247AD2" w:rsidP="001045FA">
            <w:pPr>
              <w:pStyle w:val="BodyText"/>
            </w:pPr>
            <w:r>
              <w:rPr>
                <w:rStyle w:val="01bodybold"/>
              </w:rPr>
              <w:t>914</w:t>
            </w:r>
          </w:p>
        </w:tc>
      </w:tr>
      <w:tr w:rsidR="00247AD2" w14:paraId="3CD91722" w14:textId="77777777" w:rsidTr="006A0585">
        <w:trPr>
          <w:trHeight w:val="396"/>
        </w:trPr>
        <w:tc>
          <w:tcPr>
            <w:tcW w:w="725" w:type="pct"/>
          </w:tcPr>
          <w:p w14:paraId="3085AAF8" w14:textId="77777777" w:rsidR="00247AD2" w:rsidRDefault="00247AD2" w:rsidP="001045FA">
            <w:pPr>
              <w:pStyle w:val="BodyText"/>
            </w:pPr>
            <w:r>
              <w:t>EL1</w:t>
            </w:r>
          </w:p>
        </w:tc>
        <w:tc>
          <w:tcPr>
            <w:tcW w:w="611" w:type="pct"/>
          </w:tcPr>
          <w:p w14:paraId="12FCC1BD" w14:textId="77777777" w:rsidR="00247AD2" w:rsidRDefault="00247AD2" w:rsidP="001045FA">
            <w:pPr>
              <w:pStyle w:val="BodyText"/>
            </w:pPr>
            <w:r>
              <w:t>2,324</w:t>
            </w:r>
          </w:p>
        </w:tc>
        <w:tc>
          <w:tcPr>
            <w:tcW w:w="611" w:type="pct"/>
          </w:tcPr>
          <w:p w14:paraId="05A13ABE" w14:textId="77777777" w:rsidR="00247AD2" w:rsidRDefault="00247AD2" w:rsidP="001045FA">
            <w:pPr>
              <w:pStyle w:val="BodyText"/>
            </w:pPr>
            <w:r>
              <w:t>315</w:t>
            </w:r>
          </w:p>
        </w:tc>
        <w:tc>
          <w:tcPr>
            <w:tcW w:w="611" w:type="pct"/>
          </w:tcPr>
          <w:p w14:paraId="15573EA7" w14:textId="77777777" w:rsidR="00247AD2" w:rsidRDefault="00247AD2" w:rsidP="001045FA">
            <w:pPr>
              <w:pStyle w:val="BodyText"/>
            </w:pPr>
            <w:r>
              <w:t>2,639</w:t>
            </w:r>
          </w:p>
        </w:tc>
        <w:tc>
          <w:tcPr>
            <w:tcW w:w="611" w:type="pct"/>
          </w:tcPr>
          <w:p w14:paraId="4F0B45EA" w14:textId="77777777" w:rsidR="00247AD2" w:rsidRDefault="00247AD2" w:rsidP="001045FA">
            <w:pPr>
              <w:pStyle w:val="BodyText"/>
            </w:pPr>
            <w:r>
              <w:t>13</w:t>
            </w:r>
          </w:p>
        </w:tc>
        <w:tc>
          <w:tcPr>
            <w:tcW w:w="611" w:type="pct"/>
          </w:tcPr>
          <w:p w14:paraId="7E85F327" w14:textId="77777777" w:rsidR="00247AD2" w:rsidRDefault="00247AD2" w:rsidP="001045FA">
            <w:pPr>
              <w:pStyle w:val="BodyText"/>
            </w:pPr>
            <w:r>
              <w:t>4</w:t>
            </w:r>
          </w:p>
        </w:tc>
        <w:tc>
          <w:tcPr>
            <w:tcW w:w="611" w:type="pct"/>
          </w:tcPr>
          <w:p w14:paraId="73CE1481" w14:textId="77777777" w:rsidR="00247AD2" w:rsidRDefault="00247AD2" w:rsidP="001045FA">
            <w:pPr>
              <w:pStyle w:val="BodyText"/>
            </w:pPr>
            <w:r>
              <w:t>17</w:t>
            </w:r>
          </w:p>
        </w:tc>
        <w:tc>
          <w:tcPr>
            <w:tcW w:w="611" w:type="pct"/>
          </w:tcPr>
          <w:p w14:paraId="43F58416" w14:textId="77777777" w:rsidR="00247AD2" w:rsidRDefault="00247AD2" w:rsidP="001045FA">
            <w:pPr>
              <w:pStyle w:val="BodyText"/>
            </w:pPr>
            <w:r>
              <w:rPr>
                <w:rStyle w:val="01bodybold"/>
              </w:rPr>
              <w:t>2,656</w:t>
            </w:r>
          </w:p>
        </w:tc>
      </w:tr>
      <w:tr w:rsidR="00247AD2" w14:paraId="248968B9" w14:textId="77777777" w:rsidTr="006A0585">
        <w:trPr>
          <w:trHeight w:val="396"/>
        </w:trPr>
        <w:tc>
          <w:tcPr>
            <w:tcW w:w="725" w:type="pct"/>
          </w:tcPr>
          <w:p w14:paraId="6F5956B4" w14:textId="77777777" w:rsidR="00247AD2" w:rsidRDefault="00247AD2" w:rsidP="001045FA">
            <w:pPr>
              <w:pStyle w:val="BodyText"/>
            </w:pPr>
            <w:r>
              <w:t>APS6</w:t>
            </w:r>
          </w:p>
        </w:tc>
        <w:tc>
          <w:tcPr>
            <w:tcW w:w="611" w:type="pct"/>
          </w:tcPr>
          <w:p w14:paraId="5160320C" w14:textId="77777777" w:rsidR="00247AD2" w:rsidRDefault="00247AD2" w:rsidP="001045FA">
            <w:pPr>
              <w:pStyle w:val="BodyText"/>
            </w:pPr>
            <w:r>
              <w:t>4,510</w:t>
            </w:r>
          </w:p>
        </w:tc>
        <w:tc>
          <w:tcPr>
            <w:tcW w:w="611" w:type="pct"/>
          </w:tcPr>
          <w:p w14:paraId="726CDD88" w14:textId="77777777" w:rsidR="00247AD2" w:rsidRDefault="00247AD2" w:rsidP="001045FA">
            <w:pPr>
              <w:pStyle w:val="BodyText"/>
            </w:pPr>
            <w:r>
              <w:t>1,185</w:t>
            </w:r>
          </w:p>
        </w:tc>
        <w:tc>
          <w:tcPr>
            <w:tcW w:w="611" w:type="pct"/>
          </w:tcPr>
          <w:p w14:paraId="557BAF2E" w14:textId="77777777" w:rsidR="00247AD2" w:rsidRDefault="00247AD2" w:rsidP="001045FA">
            <w:pPr>
              <w:pStyle w:val="BodyText"/>
            </w:pPr>
            <w:r>
              <w:t>5,695</w:t>
            </w:r>
          </w:p>
        </w:tc>
        <w:tc>
          <w:tcPr>
            <w:tcW w:w="611" w:type="pct"/>
          </w:tcPr>
          <w:p w14:paraId="04FC4C75" w14:textId="77777777" w:rsidR="00247AD2" w:rsidRDefault="00247AD2" w:rsidP="001045FA">
            <w:pPr>
              <w:pStyle w:val="BodyText"/>
            </w:pPr>
            <w:r>
              <w:t>15</w:t>
            </w:r>
          </w:p>
        </w:tc>
        <w:tc>
          <w:tcPr>
            <w:tcW w:w="611" w:type="pct"/>
          </w:tcPr>
          <w:p w14:paraId="5E0DE8B0" w14:textId="77777777" w:rsidR="00247AD2" w:rsidRDefault="00247AD2" w:rsidP="001045FA">
            <w:pPr>
              <w:pStyle w:val="BodyText"/>
            </w:pPr>
            <w:r>
              <w:t>3</w:t>
            </w:r>
          </w:p>
        </w:tc>
        <w:tc>
          <w:tcPr>
            <w:tcW w:w="611" w:type="pct"/>
          </w:tcPr>
          <w:p w14:paraId="56A48D04" w14:textId="77777777" w:rsidR="00247AD2" w:rsidRDefault="00247AD2" w:rsidP="001045FA">
            <w:pPr>
              <w:pStyle w:val="BodyText"/>
            </w:pPr>
            <w:r>
              <w:t>18</w:t>
            </w:r>
          </w:p>
        </w:tc>
        <w:tc>
          <w:tcPr>
            <w:tcW w:w="611" w:type="pct"/>
          </w:tcPr>
          <w:p w14:paraId="01C2AD92" w14:textId="77777777" w:rsidR="00247AD2" w:rsidRDefault="00247AD2" w:rsidP="001045FA">
            <w:pPr>
              <w:pStyle w:val="BodyText"/>
            </w:pPr>
            <w:r>
              <w:rPr>
                <w:rStyle w:val="01bodybold"/>
              </w:rPr>
              <w:t>5,713</w:t>
            </w:r>
          </w:p>
        </w:tc>
      </w:tr>
      <w:tr w:rsidR="00247AD2" w14:paraId="66C46F18" w14:textId="77777777" w:rsidTr="006A0585">
        <w:trPr>
          <w:trHeight w:val="396"/>
        </w:trPr>
        <w:tc>
          <w:tcPr>
            <w:tcW w:w="725" w:type="pct"/>
          </w:tcPr>
          <w:p w14:paraId="46833AE7" w14:textId="77777777" w:rsidR="00247AD2" w:rsidRDefault="00247AD2" w:rsidP="001045FA">
            <w:pPr>
              <w:pStyle w:val="BodyText"/>
            </w:pPr>
            <w:r>
              <w:t>APS5</w:t>
            </w:r>
          </w:p>
        </w:tc>
        <w:tc>
          <w:tcPr>
            <w:tcW w:w="611" w:type="pct"/>
          </w:tcPr>
          <w:p w14:paraId="33779B84" w14:textId="77777777" w:rsidR="00247AD2" w:rsidRDefault="00247AD2" w:rsidP="001045FA">
            <w:pPr>
              <w:pStyle w:val="BodyText"/>
            </w:pPr>
            <w:r>
              <w:t>2,642</w:t>
            </w:r>
          </w:p>
        </w:tc>
        <w:tc>
          <w:tcPr>
            <w:tcW w:w="611" w:type="pct"/>
          </w:tcPr>
          <w:p w14:paraId="0E95EA80" w14:textId="77777777" w:rsidR="00247AD2" w:rsidRDefault="00247AD2" w:rsidP="001045FA">
            <w:pPr>
              <w:pStyle w:val="BodyText"/>
            </w:pPr>
            <w:r>
              <w:t>584</w:t>
            </w:r>
          </w:p>
        </w:tc>
        <w:tc>
          <w:tcPr>
            <w:tcW w:w="611" w:type="pct"/>
          </w:tcPr>
          <w:p w14:paraId="2851F848" w14:textId="77777777" w:rsidR="00247AD2" w:rsidRDefault="00247AD2" w:rsidP="001045FA">
            <w:pPr>
              <w:pStyle w:val="BodyText"/>
            </w:pPr>
            <w:r>
              <w:t>3,226</w:t>
            </w:r>
          </w:p>
        </w:tc>
        <w:tc>
          <w:tcPr>
            <w:tcW w:w="611" w:type="pct"/>
          </w:tcPr>
          <w:p w14:paraId="6BAEBC71" w14:textId="77777777" w:rsidR="00247AD2" w:rsidRDefault="00247AD2" w:rsidP="001045FA">
            <w:pPr>
              <w:pStyle w:val="BodyText"/>
            </w:pPr>
            <w:r>
              <w:t>19</w:t>
            </w:r>
          </w:p>
        </w:tc>
        <w:tc>
          <w:tcPr>
            <w:tcW w:w="611" w:type="pct"/>
          </w:tcPr>
          <w:p w14:paraId="29803689" w14:textId="77777777" w:rsidR="00247AD2" w:rsidRDefault="00247AD2" w:rsidP="001045FA">
            <w:pPr>
              <w:pStyle w:val="BodyText"/>
            </w:pPr>
            <w:r>
              <w:t>3</w:t>
            </w:r>
          </w:p>
        </w:tc>
        <w:tc>
          <w:tcPr>
            <w:tcW w:w="611" w:type="pct"/>
          </w:tcPr>
          <w:p w14:paraId="36B8E66F" w14:textId="77777777" w:rsidR="00247AD2" w:rsidRDefault="00247AD2" w:rsidP="001045FA">
            <w:pPr>
              <w:pStyle w:val="BodyText"/>
            </w:pPr>
            <w:r>
              <w:t>22</w:t>
            </w:r>
          </w:p>
        </w:tc>
        <w:tc>
          <w:tcPr>
            <w:tcW w:w="611" w:type="pct"/>
          </w:tcPr>
          <w:p w14:paraId="6E6D00CB" w14:textId="77777777" w:rsidR="00247AD2" w:rsidRDefault="00247AD2" w:rsidP="001045FA">
            <w:pPr>
              <w:pStyle w:val="BodyText"/>
            </w:pPr>
            <w:r>
              <w:rPr>
                <w:rStyle w:val="01bodybold"/>
              </w:rPr>
              <w:t>3,248</w:t>
            </w:r>
          </w:p>
        </w:tc>
      </w:tr>
      <w:tr w:rsidR="00247AD2" w14:paraId="2B3FA3F7" w14:textId="77777777" w:rsidTr="006A0585">
        <w:trPr>
          <w:trHeight w:val="396"/>
        </w:trPr>
        <w:tc>
          <w:tcPr>
            <w:tcW w:w="725" w:type="pct"/>
          </w:tcPr>
          <w:p w14:paraId="18E6D598" w14:textId="77777777" w:rsidR="00247AD2" w:rsidRDefault="00247AD2" w:rsidP="001045FA">
            <w:pPr>
              <w:pStyle w:val="BodyText"/>
            </w:pPr>
            <w:r>
              <w:t>APS4</w:t>
            </w:r>
          </w:p>
        </w:tc>
        <w:tc>
          <w:tcPr>
            <w:tcW w:w="611" w:type="pct"/>
          </w:tcPr>
          <w:p w14:paraId="6A9CF4F1" w14:textId="77777777" w:rsidR="00247AD2" w:rsidRDefault="00247AD2" w:rsidP="001045FA">
            <w:pPr>
              <w:pStyle w:val="BodyText"/>
            </w:pPr>
            <w:r>
              <w:t>10,940</w:t>
            </w:r>
          </w:p>
        </w:tc>
        <w:tc>
          <w:tcPr>
            <w:tcW w:w="611" w:type="pct"/>
          </w:tcPr>
          <w:p w14:paraId="226DC1C1" w14:textId="77777777" w:rsidR="00247AD2" w:rsidRDefault="00247AD2" w:rsidP="001045FA">
            <w:pPr>
              <w:pStyle w:val="BodyText"/>
            </w:pPr>
            <w:r>
              <w:t>3,665</w:t>
            </w:r>
          </w:p>
        </w:tc>
        <w:tc>
          <w:tcPr>
            <w:tcW w:w="611" w:type="pct"/>
          </w:tcPr>
          <w:p w14:paraId="67AEDAC8" w14:textId="77777777" w:rsidR="00247AD2" w:rsidRDefault="00247AD2" w:rsidP="001045FA">
            <w:pPr>
              <w:pStyle w:val="BodyText"/>
            </w:pPr>
            <w:r>
              <w:t>14,605</w:t>
            </w:r>
          </w:p>
        </w:tc>
        <w:tc>
          <w:tcPr>
            <w:tcW w:w="611" w:type="pct"/>
          </w:tcPr>
          <w:p w14:paraId="3A0C2A69" w14:textId="77777777" w:rsidR="00247AD2" w:rsidRDefault="00247AD2" w:rsidP="001045FA">
            <w:pPr>
              <w:pStyle w:val="BodyText"/>
            </w:pPr>
            <w:r>
              <w:t>33</w:t>
            </w:r>
          </w:p>
        </w:tc>
        <w:tc>
          <w:tcPr>
            <w:tcW w:w="611" w:type="pct"/>
          </w:tcPr>
          <w:p w14:paraId="7FC3CC5E" w14:textId="77777777" w:rsidR="00247AD2" w:rsidRDefault="00247AD2" w:rsidP="001045FA">
            <w:pPr>
              <w:pStyle w:val="BodyText"/>
            </w:pPr>
            <w:r>
              <w:t>34</w:t>
            </w:r>
          </w:p>
        </w:tc>
        <w:tc>
          <w:tcPr>
            <w:tcW w:w="611" w:type="pct"/>
          </w:tcPr>
          <w:p w14:paraId="15842444" w14:textId="77777777" w:rsidR="00247AD2" w:rsidRDefault="00247AD2" w:rsidP="001045FA">
            <w:pPr>
              <w:pStyle w:val="BodyText"/>
            </w:pPr>
            <w:r>
              <w:t>67</w:t>
            </w:r>
          </w:p>
        </w:tc>
        <w:tc>
          <w:tcPr>
            <w:tcW w:w="611" w:type="pct"/>
          </w:tcPr>
          <w:p w14:paraId="097010C2" w14:textId="77777777" w:rsidR="00247AD2" w:rsidRDefault="00247AD2" w:rsidP="001045FA">
            <w:pPr>
              <w:pStyle w:val="BodyText"/>
            </w:pPr>
            <w:r>
              <w:rPr>
                <w:rStyle w:val="01bodybold"/>
              </w:rPr>
              <w:t>14,672</w:t>
            </w:r>
          </w:p>
        </w:tc>
      </w:tr>
      <w:tr w:rsidR="00247AD2" w14:paraId="4A3CAD1B" w14:textId="77777777" w:rsidTr="006A0585">
        <w:trPr>
          <w:trHeight w:val="396"/>
        </w:trPr>
        <w:tc>
          <w:tcPr>
            <w:tcW w:w="725" w:type="pct"/>
          </w:tcPr>
          <w:p w14:paraId="43820B21" w14:textId="77777777" w:rsidR="00247AD2" w:rsidRDefault="00247AD2" w:rsidP="001045FA">
            <w:pPr>
              <w:pStyle w:val="BodyText"/>
            </w:pPr>
            <w:r>
              <w:t>APS3</w:t>
            </w:r>
          </w:p>
        </w:tc>
        <w:tc>
          <w:tcPr>
            <w:tcW w:w="611" w:type="pct"/>
          </w:tcPr>
          <w:p w14:paraId="6EF1C701" w14:textId="77777777" w:rsidR="00247AD2" w:rsidRDefault="00247AD2" w:rsidP="001045FA">
            <w:pPr>
              <w:pStyle w:val="BodyText"/>
            </w:pPr>
            <w:r>
              <w:t>4,408</w:t>
            </w:r>
          </w:p>
        </w:tc>
        <w:tc>
          <w:tcPr>
            <w:tcW w:w="611" w:type="pct"/>
          </w:tcPr>
          <w:p w14:paraId="4C6C5F48" w14:textId="77777777" w:rsidR="00247AD2" w:rsidRDefault="00247AD2" w:rsidP="001045FA">
            <w:pPr>
              <w:pStyle w:val="BodyText"/>
            </w:pPr>
            <w:r>
              <w:t>773</w:t>
            </w:r>
          </w:p>
        </w:tc>
        <w:tc>
          <w:tcPr>
            <w:tcW w:w="611" w:type="pct"/>
          </w:tcPr>
          <w:p w14:paraId="749038FA" w14:textId="77777777" w:rsidR="00247AD2" w:rsidRDefault="00247AD2" w:rsidP="001045FA">
            <w:pPr>
              <w:pStyle w:val="BodyText"/>
            </w:pPr>
            <w:r>
              <w:t>5,181</w:t>
            </w:r>
          </w:p>
        </w:tc>
        <w:tc>
          <w:tcPr>
            <w:tcW w:w="611" w:type="pct"/>
          </w:tcPr>
          <w:p w14:paraId="5BE6B745" w14:textId="77777777" w:rsidR="00247AD2" w:rsidRDefault="00247AD2" w:rsidP="001045FA">
            <w:pPr>
              <w:pStyle w:val="BodyText"/>
            </w:pPr>
            <w:r>
              <w:t>38</w:t>
            </w:r>
          </w:p>
        </w:tc>
        <w:tc>
          <w:tcPr>
            <w:tcW w:w="611" w:type="pct"/>
          </w:tcPr>
          <w:p w14:paraId="3D11B400" w14:textId="77777777" w:rsidR="00247AD2" w:rsidRDefault="00247AD2" w:rsidP="001045FA">
            <w:pPr>
              <w:pStyle w:val="BodyText"/>
            </w:pPr>
            <w:r>
              <w:t>651</w:t>
            </w:r>
          </w:p>
        </w:tc>
        <w:tc>
          <w:tcPr>
            <w:tcW w:w="611" w:type="pct"/>
          </w:tcPr>
          <w:p w14:paraId="6B3326FC" w14:textId="77777777" w:rsidR="00247AD2" w:rsidRDefault="00247AD2" w:rsidP="001045FA">
            <w:pPr>
              <w:pStyle w:val="BodyText"/>
            </w:pPr>
            <w:r>
              <w:t>689</w:t>
            </w:r>
          </w:p>
        </w:tc>
        <w:tc>
          <w:tcPr>
            <w:tcW w:w="611" w:type="pct"/>
          </w:tcPr>
          <w:p w14:paraId="246B7A39" w14:textId="77777777" w:rsidR="00247AD2" w:rsidRDefault="00247AD2" w:rsidP="001045FA">
            <w:pPr>
              <w:pStyle w:val="BodyText"/>
            </w:pPr>
            <w:r>
              <w:rPr>
                <w:rStyle w:val="01bodybold"/>
              </w:rPr>
              <w:t>5,870</w:t>
            </w:r>
          </w:p>
        </w:tc>
      </w:tr>
      <w:tr w:rsidR="00247AD2" w14:paraId="40FBF335" w14:textId="77777777" w:rsidTr="006A0585">
        <w:trPr>
          <w:trHeight w:val="396"/>
        </w:trPr>
        <w:tc>
          <w:tcPr>
            <w:tcW w:w="725" w:type="pct"/>
          </w:tcPr>
          <w:p w14:paraId="14C9BAD4" w14:textId="77777777" w:rsidR="00247AD2" w:rsidRDefault="00247AD2" w:rsidP="001045FA">
            <w:pPr>
              <w:pStyle w:val="BodyText"/>
            </w:pPr>
            <w:r>
              <w:t>APS2</w:t>
            </w:r>
          </w:p>
        </w:tc>
        <w:tc>
          <w:tcPr>
            <w:tcW w:w="611" w:type="pct"/>
          </w:tcPr>
          <w:p w14:paraId="1A111E93" w14:textId="77777777" w:rsidR="00247AD2" w:rsidRDefault="00247AD2" w:rsidP="001045FA">
            <w:pPr>
              <w:pStyle w:val="BodyText"/>
            </w:pPr>
            <w:r>
              <w:t>28</w:t>
            </w:r>
          </w:p>
        </w:tc>
        <w:tc>
          <w:tcPr>
            <w:tcW w:w="611" w:type="pct"/>
          </w:tcPr>
          <w:p w14:paraId="1DCEB2CA" w14:textId="77777777" w:rsidR="00247AD2" w:rsidRDefault="00247AD2" w:rsidP="001045FA">
            <w:pPr>
              <w:pStyle w:val="BodyText"/>
            </w:pPr>
            <w:r>
              <w:t>10</w:t>
            </w:r>
          </w:p>
        </w:tc>
        <w:tc>
          <w:tcPr>
            <w:tcW w:w="611" w:type="pct"/>
          </w:tcPr>
          <w:p w14:paraId="1DADAA81" w14:textId="77777777" w:rsidR="00247AD2" w:rsidRDefault="00247AD2" w:rsidP="001045FA">
            <w:pPr>
              <w:pStyle w:val="BodyText"/>
            </w:pPr>
            <w:r>
              <w:t>38</w:t>
            </w:r>
          </w:p>
        </w:tc>
        <w:tc>
          <w:tcPr>
            <w:tcW w:w="611" w:type="pct"/>
          </w:tcPr>
          <w:p w14:paraId="2A72D667" w14:textId="77777777" w:rsidR="00247AD2" w:rsidRDefault="00247AD2" w:rsidP="001045FA">
            <w:pPr>
              <w:pStyle w:val="BodyText"/>
            </w:pPr>
            <w:r>
              <w:t>0</w:t>
            </w:r>
          </w:p>
        </w:tc>
        <w:tc>
          <w:tcPr>
            <w:tcW w:w="611" w:type="pct"/>
          </w:tcPr>
          <w:p w14:paraId="12980875" w14:textId="77777777" w:rsidR="00247AD2" w:rsidRDefault="00247AD2" w:rsidP="001045FA">
            <w:pPr>
              <w:pStyle w:val="BodyText"/>
            </w:pPr>
            <w:r>
              <w:t>0</w:t>
            </w:r>
          </w:p>
        </w:tc>
        <w:tc>
          <w:tcPr>
            <w:tcW w:w="611" w:type="pct"/>
          </w:tcPr>
          <w:p w14:paraId="6D893E94" w14:textId="77777777" w:rsidR="00247AD2" w:rsidRDefault="00247AD2" w:rsidP="001045FA">
            <w:pPr>
              <w:pStyle w:val="BodyText"/>
            </w:pPr>
            <w:r>
              <w:t>0</w:t>
            </w:r>
          </w:p>
        </w:tc>
        <w:tc>
          <w:tcPr>
            <w:tcW w:w="611" w:type="pct"/>
          </w:tcPr>
          <w:p w14:paraId="453297F2" w14:textId="77777777" w:rsidR="00247AD2" w:rsidRDefault="00247AD2" w:rsidP="001045FA">
            <w:pPr>
              <w:pStyle w:val="BodyText"/>
            </w:pPr>
            <w:r>
              <w:rPr>
                <w:rStyle w:val="01bodybold"/>
              </w:rPr>
              <w:t>38</w:t>
            </w:r>
          </w:p>
        </w:tc>
      </w:tr>
      <w:tr w:rsidR="00247AD2" w14:paraId="615B47BB" w14:textId="77777777" w:rsidTr="006A0585">
        <w:trPr>
          <w:trHeight w:val="396"/>
        </w:trPr>
        <w:tc>
          <w:tcPr>
            <w:tcW w:w="725" w:type="pct"/>
          </w:tcPr>
          <w:p w14:paraId="1CAE1F5C" w14:textId="77777777" w:rsidR="00247AD2" w:rsidRDefault="00247AD2" w:rsidP="001045FA">
            <w:pPr>
              <w:pStyle w:val="BodyText"/>
            </w:pPr>
            <w:r>
              <w:t>APS1</w:t>
            </w:r>
          </w:p>
        </w:tc>
        <w:tc>
          <w:tcPr>
            <w:tcW w:w="611" w:type="pct"/>
          </w:tcPr>
          <w:p w14:paraId="5EF5BD80" w14:textId="77777777" w:rsidR="00247AD2" w:rsidRDefault="00247AD2" w:rsidP="001045FA">
            <w:pPr>
              <w:pStyle w:val="BodyText"/>
            </w:pPr>
            <w:r>
              <w:t>28</w:t>
            </w:r>
          </w:p>
        </w:tc>
        <w:tc>
          <w:tcPr>
            <w:tcW w:w="611" w:type="pct"/>
          </w:tcPr>
          <w:p w14:paraId="1473B05E" w14:textId="77777777" w:rsidR="00247AD2" w:rsidRDefault="00247AD2" w:rsidP="001045FA">
            <w:pPr>
              <w:pStyle w:val="BodyText"/>
            </w:pPr>
            <w:r>
              <w:t>12</w:t>
            </w:r>
          </w:p>
        </w:tc>
        <w:tc>
          <w:tcPr>
            <w:tcW w:w="611" w:type="pct"/>
          </w:tcPr>
          <w:p w14:paraId="3541C9F6" w14:textId="77777777" w:rsidR="00247AD2" w:rsidRDefault="00247AD2" w:rsidP="001045FA">
            <w:pPr>
              <w:pStyle w:val="BodyText"/>
            </w:pPr>
            <w:r>
              <w:t>40</w:t>
            </w:r>
          </w:p>
        </w:tc>
        <w:tc>
          <w:tcPr>
            <w:tcW w:w="611" w:type="pct"/>
          </w:tcPr>
          <w:p w14:paraId="37EDA49B" w14:textId="77777777" w:rsidR="00247AD2" w:rsidRDefault="00247AD2" w:rsidP="001045FA">
            <w:pPr>
              <w:pStyle w:val="BodyText"/>
            </w:pPr>
            <w:r>
              <w:t>1</w:t>
            </w:r>
          </w:p>
        </w:tc>
        <w:tc>
          <w:tcPr>
            <w:tcW w:w="611" w:type="pct"/>
          </w:tcPr>
          <w:p w14:paraId="32D097AA" w14:textId="77777777" w:rsidR="00247AD2" w:rsidRDefault="00247AD2" w:rsidP="001045FA">
            <w:pPr>
              <w:pStyle w:val="BodyText"/>
            </w:pPr>
            <w:r>
              <w:t>0</w:t>
            </w:r>
          </w:p>
        </w:tc>
        <w:tc>
          <w:tcPr>
            <w:tcW w:w="611" w:type="pct"/>
          </w:tcPr>
          <w:p w14:paraId="075727EF" w14:textId="77777777" w:rsidR="00247AD2" w:rsidRDefault="00247AD2" w:rsidP="001045FA">
            <w:pPr>
              <w:pStyle w:val="BodyText"/>
            </w:pPr>
            <w:r>
              <w:t>1</w:t>
            </w:r>
          </w:p>
        </w:tc>
        <w:tc>
          <w:tcPr>
            <w:tcW w:w="611" w:type="pct"/>
          </w:tcPr>
          <w:p w14:paraId="35A3A0C4" w14:textId="77777777" w:rsidR="00247AD2" w:rsidRDefault="00247AD2" w:rsidP="001045FA">
            <w:pPr>
              <w:pStyle w:val="BodyText"/>
            </w:pPr>
            <w:r>
              <w:rPr>
                <w:rStyle w:val="01bodybold"/>
              </w:rPr>
              <w:t>41</w:t>
            </w:r>
          </w:p>
        </w:tc>
      </w:tr>
      <w:tr w:rsidR="00247AD2" w14:paraId="27FAD53B" w14:textId="77777777" w:rsidTr="006A0585">
        <w:trPr>
          <w:trHeight w:val="396"/>
        </w:trPr>
        <w:tc>
          <w:tcPr>
            <w:tcW w:w="725" w:type="pct"/>
          </w:tcPr>
          <w:p w14:paraId="05DBCA8C" w14:textId="77777777" w:rsidR="00247AD2" w:rsidRDefault="00247AD2" w:rsidP="001045FA">
            <w:pPr>
              <w:pStyle w:val="BodyText"/>
            </w:pPr>
            <w:r>
              <w:t>Other</w:t>
            </w:r>
          </w:p>
        </w:tc>
        <w:tc>
          <w:tcPr>
            <w:tcW w:w="611" w:type="pct"/>
          </w:tcPr>
          <w:p w14:paraId="5BF608C4" w14:textId="77777777" w:rsidR="00247AD2" w:rsidRDefault="00247AD2" w:rsidP="001045FA">
            <w:pPr>
              <w:pStyle w:val="BodyText"/>
            </w:pPr>
            <w:r>
              <w:t>206</w:t>
            </w:r>
          </w:p>
        </w:tc>
        <w:tc>
          <w:tcPr>
            <w:tcW w:w="611" w:type="pct"/>
          </w:tcPr>
          <w:p w14:paraId="08BB31FB" w14:textId="77777777" w:rsidR="00247AD2" w:rsidRDefault="00247AD2" w:rsidP="001045FA">
            <w:pPr>
              <w:pStyle w:val="BodyText"/>
            </w:pPr>
            <w:r>
              <w:t>33</w:t>
            </w:r>
          </w:p>
        </w:tc>
        <w:tc>
          <w:tcPr>
            <w:tcW w:w="611" w:type="pct"/>
          </w:tcPr>
          <w:p w14:paraId="10791772" w14:textId="77777777" w:rsidR="00247AD2" w:rsidRDefault="00247AD2" w:rsidP="001045FA">
            <w:pPr>
              <w:pStyle w:val="BodyText"/>
            </w:pPr>
            <w:r>
              <w:t>239</w:t>
            </w:r>
          </w:p>
        </w:tc>
        <w:tc>
          <w:tcPr>
            <w:tcW w:w="611" w:type="pct"/>
          </w:tcPr>
          <w:p w14:paraId="108518CE" w14:textId="77777777" w:rsidR="00247AD2" w:rsidRDefault="00247AD2" w:rsidP="001045FA">
            <w:pPr>
              <w:pStyle w:val="BodyText"/>
            </w:pPr>
            <w:r>
              <w:t>0</w:t>
            </w:r>
          </w:p>
        </w:tc>
        <w:tc>
          <w:tcPr>
            <w:tcW w:w="611" w:type="pct"/>
          </w:tcPr>
          <w:p w14:paraId="5D1546A4" w14:textId="77777777" w:rsidR="00247AD2" w:rsidRDefault="00247AD2" w:rsidP="001045FA">
            <w:pPr>
              <w:pStyle w:val="BodyText"/>
            </w:pPr>
            <w:r>
              <w:t>0</w:t>
            </w:r>
          </w:p>
        </w:tc>
        <w:tc>
          <w:tcPr>
            <w:tcW w:w="611" w:type="pct"/>
          </w:tcPr>
          <w:p w14:paraId="1443D713" w14:textId="77777777" w:rsidR="00247AD2" w:rsidRDefault="00247AD2" w:rsidP="001045FA">
            <w:pPr>
              <w:pStyle w:val="BodyText"/>
            </w:pPr>
            <w:r>
              <w:t>0</w:t>
            </w:r>
          </w:p>
        </w:tc>
        <w:tc>
          <w:tcPr>
            <w:tcW w:w="611" w:type="pct"/>
          </w:tcPr>
          <w:p w14:paraId="099EB10C" w14:textId="77777777" w:rsidR="00247AD2" w:rsidRDefault="00247AD2" w:rsidP="001045FA">
            <w:pPr>
              <w:pStyle w:val="BodyText"/>
            </w:pPr>
            <w:r>
              <w:rPr>
                <w:rStyle w:val="01bodybold"/>
              </w:rPr>
              <w:t>239</w:t>
            </w:r>
          </w:p>
        </w:tc>
      </w:tr>
      <w:tr w:rsidR="00247AD2" w14:paraId="610EDE6A" w14:textId="77777777" w:rsidTr="006A0585">
        <w:trPr>
          <w:trHeight w:val="396"/>
        </w:trPr>
        <w:tc>
          <w:tcPr>
            <w:tcW w:w="725" w:type="pct"/>
          </w:tcPr>
          <w:p w14:paraId="5CD2F0EE" w14:textId="77777777" w:rsidR="00247AD2" w:rsidRDefault="00247AD2" w:rsidP="001045FA">
            <w:pPr>
              <w:pStyle w:val="BodyText"/>
            </w:pPr>
            <w:r>
              <w:rPr>
                <w:rStyle w:val="Bold"/>
              </w:rPr>
              <w:t>Total</w:t>
            </w:r>
          </w:p>
        </w:tc>
        <w:tc>
          <w:tcPr>
            <w:tcW w:w="611" w:type="pct"/>
          </w:tcPr>
          <w:p w14:paraId="2371B2A7" w14:textId="77777777" w:rsidR="00247AD2" w:rsidRDefault="00247AD2" w:rsidP="001045FA">
            <w:pPr>
              <w:pStyle w:val="BodyText"/>
            </w:pPr>
            <w:r>
              <w:rPr>
                <w:rStyle w:val="Bold"/>
              </w:rPr>
              <w:t>26,113</w:t>
            </w:r>
          </w:p>
        </w:tc>
        <w:tc>
          <w:tcPr>
            <w:tcW w:w="611" w:type="pct"/>
          </w:tcPr>
          <w:p w14:paraId="5BDF827D" w14:textId="77777777" w:rsidR="00247AD2" w:rsidRDefault="00247AD2" w:rsidP="001045FA">
            <w:pPr>
              <w:pStyle w:val="BodyText"/>
            </w:pPr>
            <w:r>
              <w:rPr>
                <w:rStyle w:val="Bold"/>
              </w:rPr>
              <w:t>6,624</w:t>
            </w:r>
          </w:p>
        </w:tc>
        <w:tc>
          <w:tcPr>
            <w:tcW w:w="611" w:type="pct"/>
          </w:tcPr>
          <w:p w14:paraId="289DDCBD" w14:textId="77777777" w:rsidR="00247AD2" w:rsidRDefault="00247AD2" w:rsidP="001045FA">
            <w:pPr>
              <w:pStyle w:val="BodyText"/>
            </w:pPr>
            <w:r>
              <w:rPr>
                <w:rStyle w:val="Bold"/>
              </w:rPr>
              <w:t>32,737</w:t>
            </w:r>
          </w:p>
        </w:tc>
        <w:tc>
          <w:tcPr>
            <w:tcW w:w="611" w:type="pct"/>
          </w:tcPr>
          <w:p w14:paraId="4B2A04A5" w14:textId="77777777" w:rsidR="00247AD2" w:rsidRDefault="00247AD2" w:rsidP="001045FA">
            <w:pPr>
              <w:pStyle w:val="BodyText"/>
            </w:pPr>
            <w:r>
              <w:rPr>
                <w:rStyle w:val="Bold"/>
              </w:rPr>
              <w:t>121</w:t>
            </w:r>
          </w:p>
        </w:tc>
        <w:tc>
          <w:tcPr>
            <w:tcW w:w="611" w:type="pct"/>
          </w:tcPr>
          <w:p w14:paraId="2600FA72" w14:textId="77777777" w:rsidR="00247AD2" w:rsidRDefault="00247AD2" w:rsidP="001045FA">
            <w:pPr>
              <w:pStyle w:val="BodyText"/>
            </w:pPr>
            <w:r>
              <w:rPr>
                <w:rStyle w:val="Bold"/>
              </w:rPr>
              <w:t>696</w:t>
            </w:r>
          </w:p>
        </w:tc>
        <w:tc>
          <w:tcPr>
            <w:tcW w:w="611" w:type="pct"/>
          </w:tcPr>
          <w:p w14:paraId="0E94AC5A" w14:textId="77777777" w:rsidR="00247AD2" w:rsidRDefault="00247AD2" w:rsidP="001045FA">
            <w:pPr>
              <w:pStyle w:val="BodyText"/>
            </w:pPr>
            <w:r>
              <w:rPr>
                <w:rStyle w:val="Bold"/>
              </w:rPr>
              <w:t>817</w:t>
            </w:r>
          </w:p>
        </w:tc>
        <w:tc>
          <w:tcPr>
            <w:tcW w:w="611" w:type="pct"/>
          </w:tcPr>
          <w:p w14:paraId="78A4B05D" w14:textId="77777777" w:rsidR="00247AD2" w:rsidRDefault="00247AD2" w:rsidP="001045FA">
            <w:pPr>
              <w:pStyle w:val="BodyText"/>
            </w:pPr>
            <w:r>
              <w:rPr>
                <w:rStyle w:val="Bold"/>
              </w:rPr>
              <w:t>33,554</w:t>
            </w:r>
          </w:p>
        </w:tc>
      </w:tr>
    </w:tbl>
    <w:p w14:paraId="08E2438F" w14:textId="2E6539E4" w:rsidR="00247AD2" w:rsidRDefault="001D2CCD" w:rsidP="001D2CCD">
      <w:pPr>
        <w:pStyle w:val="ProductCode"/>
      </w:pPr>
      <w:r w:rsidRPr="001D2CCD">
        <w:t>(a</w:t>
      </w:r>
      <w:r>
        <w:t xml:space="preserve">) </w:t>
      </w:r>
      <w:r w:rsidR="00247AD2">
        <w:t>Non-ongoing employees include irregular/intermittent staff.</w:t>
      </w:r>
    </w:p>
    <w:p w14:paraId="6B468310" w14:textId="77777777" w:rsidR="00247AD2" w:rsidRDefault="00247AD2" w:rsidP="00247AD2">
      <w:pPr>
        <w:pStyle w:val="Heading3"/>
      </w:pPr>
      <w:r>
        <w:t>PGPA Rule section 17AG(4)(b)(v) Australian Public Service Act</w:t>
      </w:r>
    </w:p>
    <w:p w14:paraId="0B1EECE9" w14:textId="0F6F2360" w:rsidR="00247AD2" w:rsidRPr="001D2CCD" w:rsidRDefault="001D2CCD" w:rsidP="001D2CCD">
      <w:pPr>
        <w:pStyle w:val="BodyText"/>
        <w:rPr>
          <w:b/>
          <w:bCs/>
        </w:rPr>
      </w:pPr>
      <w:r w:rsidRPr="001D2CCD">
        <w:rPr>
          <w:b/>
          <w:bCs/>
        </w:rPr>
        <w:t>Table 72:</w:t>
      </w:r>
      <w:r w:rsidR="00247AD2" w:rsidRPr="001D2CCD">
        <w:rPr>
          <w:b/>
          <w:bCs/>
        </w:rPr>
        <w:t xml:space="preserve"> Australian Public Service Act employees by employment  type by location 2024–25 (as at 30 June 2025)</w:t>
      </w:r>
    </w:p>
    <w:tbl>
      <w:tblPr>
        <w:tblStyle w:val="TableGrid"/>
        <w:tblW w:w="5000" w:type="pct"/>
        <w:tblLook w:val="04A0" w:firstRow="1" w:lastRow="0" w:firstColumn="1" w:lastColumn="0" w:noHBand="0" w:noVBand="1"/>
        <w:tblCaption w:val="Australian Public Service Act employees by employment  type by location 2024–25 (as at 30 June 2025)"/>
      </w:tblPr>
      <w:tblGrid>
        <w:gridCol w:w="3992"/>
        <w:gridCol w:w="2368"/>
        <w:gridCol w:w="2368"/>
        <w:gridCol w:w="2368"/>
      </w:tblGrid>
      <w:tr w:rsidR="00247AD2" w14:paraId="19B0F0D3" w14:textId="77777777" w:rsidTr="001045FA">
        <w:trPr>
          <w:trHeight w:val="396"/>
          <w:tblHeader/>
        </w:trPr>
        <w:tc>
          <w:tcPr>
            <w:tcW w:w="1799" w:type="pct"/>
          </w:tcPr>
          <w:p w14:paraId="3C734FEE" w14:textId="77777777" w:rsidR="00247AD2" w:rsidRDefault="00247AD2" w:rsidP="001045FA">
            <w:pPr>
              <w:pStyle w:val="BodyText"/>
            </w:pPr>
          </w:p>
        </w:tc>
        <w:tc>
          <w:tcPr>
            <w:tcW w:w="1067" w:type="pct"/>
          </w:tcPr>
          <w:p w14:paraId="2ECE3A86" w14:textId="77777777" w:rsidR="00247AD2" w:rsidRPr="00891C1C" w:rsidRDefault="00247AD2" w:rsidP="001045FA">
            <w:pPr>
              <w:pStyle w:val="BodyText"/>
              <w:rPr>
                <w:b/>
                <w:bCs/>
              </w:rPr>
            </w:pPr>
            <w:r w:rsidRPr="00891C1C">
              <w:rPr>
                <w:b/>
                <w:bCs/>
              </w:rPr>
              <w:t>Ongoing</w:t>
            </w:r>
          </w:p>
        </w:tc>
        <w:tc>
          <w:tcPr>
            <w:tcW w:w="1067" w:type="pct"/>
          </w:tcPr>
          <w:p w14:paraId="38A7F116" w14:textId="77777777" w:rsidR="00247AD2" w:rsidRPr="00891C1C" w:rsidRDefault="00247AD2" w:rsidP="001045FA">
            <w:pPr>
              <w:pStyle w:val="BodyText"/>
              <w:rPr>
                <w:b/>
                <w:bCs/>
              </w:rPr>
            </w:pPr>
            <w:r w:rsidRPr="00891C1C">
              <w:rPr>
                <w:b/>
                <w:bCs/>
              </w:rPr>
              <w:t>Non-ongoing</w:t>
            </w:r>
            <w:r w:rsidRPr="00891C1C">
              <w:rPr>
                <w:b/>
                <w:bCs/>
                <w:vertAlign w:val="superscript"/>
              </w:rPr>
              <w:t>(a)</w:t>
            </w:r>
          </w:p>
        </w:tc>
        <w:tc>
          <w:tcPr>
            <w:tcW w:w="1067" w:type="pct"/>
          </w:tcPr>
          <w:p w14:paraId="1DD89AA2" w14:textId="77777777" w:rsidR="00247AD2" w:rsidRPr="00891C1C" w:rsidRDefault="00247AD2" w:rsidP="001045FA">
            <w:pPr>
              <w:pStyle w:val="BodyText"/>
              <w:rPr>
                <w:b/>
                <w:bCs/>
              </w:rPr>
            </w:pPr>
            <w:r w:rsidRPr="00891C1C">
              <w:rPr>
                <w:b/>
                <w:bCs/>
              </w:rPr>
              <w:t>Total</w:t>
            </w:r>
          </w:p>
        </w:tc>
      </w:tr>
      <w:tr w:rsidR="00247AD2" w14:paraId="00C41D29" w14:textId="77777777" w:rsidTr="006A0585">
        <w:trPr>
          <w:trHeight w:val="396"/>
        </w:trPr>
        <w:tc>
          <w:tcPr>
            <w:tcW w:w="1799" w:type="pct"/>
          </w:tcPr>
          <w:p w14:paraId="34139C6E" w14:textId="77777777" w:rsidR="00247AD2" w:rsidRDefault="00247AD2" w:rsidP="001045FA">
            <w:pPr>
              <w:pStyle w:val="BodyText"/>
            </w:pPr>
            <w:r>
              <w:t>NSW</w:t>
            </w:r>
          </w:p>
        </w:tc>
        <w:tc>
          <w:tcPr>
            <w:tcW w:w="1067" w:type="pct"/>
          </w:tcPr>
          <w:p w14:paraId="6F64F044" w14:textId="77777777" w:rsidR="00247AD2" w:rsidRDefault="00247AD2" w:rsidP="001045FA">
            <w:pPr>
              <w:pStyle w:val="BodyText"/>
            </w:pPr>
            <w:r>
              <w:t>8,344</w:t>
            </w:r>
          </w:p>
        </w:tc>
        <w:tc>
          <w:tcPr>
            <w:tcW w:w="1067" w:type="pct"/>
          </w:tcPr>
          <w:p w14:paraId="0E624569" w14:textId="77777777" w:rsidR="00247AD2" w:rsidRDefault="00247AD2" w:rsidP="001045FA">
            <w:pPr>
              <w:pStyle w:val="BodyText"/>
            </w:pPr>
            <w:r>
              <w:t>70</w:t>
            </w:r>
          </w:p>
        </w:tc>
        <w:tc>
          <w:tcPr>
            <w:tcW w:w="1067" w:type="pct"/>
          </w:tcPr>
          <w:p w14:paraId="6B0D856A" w14:textId="77777777" w:rsidR="00247AD2" w:rsidRDefault="00247AD2" w:rsidP="001045FA">
            <w:pPr>
              <w:pStyle w:val="BodyText"/>
            </w:pPr>
            <w:r>
              <w:rPr>
                <w:rStyle w:val="Bold"/>
              </w:rPr>
              <w:t>8,414</w:t>
            </w:r>
          </w:p>
        </w:tc>
      </w:tr>
      <w:tr w:rsidR="00247AD2" w14:paraId="480E338F" w14:textId="77777777" w:rsidTr="006A0585">
        <w:trPr>
          <w:trHeight w:val="396"/>
        </w:trPr>
        <w:tc>
          <w:tcPr>
            <w:tcW w:w="1799" w:type="pct"/>
          </w:tcPr>
          <w:p w14:paraId="7E9F65DD" w14:textId="77777777" w:rsidR="00247AD2" w:rsidRDefault="00247AD2" w:rsidP="001045FA">
            <w:pPr>
              <w:pStyle w:val="BodyText"/>
            </w:pPr>
            <w:r>
              <w:t>Qld</w:t>
            </w:r>
          </w:p>
        </w:tc>
        <w:tc>
          <w:tcPr>
            <w:tcW w:w="1067" w:type="pct"/>
          </w:tcPr>
          <w:p w14:paraId="4413C36D" w14:textId="77777777" w:rsidR="00247AD2" w:rsidRDefault="00247AD2" w:rsidP="001045FA">
            <w:pPr>
              <w:pStyle w:val="BodyText"/>
            </w:pPr>
            <w:r>
              <w:t>7,794</w:t>
            </w:r>
          </w:p>
        </w:tc>
        <w:tc>
          <w:tcPr>
            <w:tcW w:w="1067" w:type="pct"/>
          </w:tcPr>
          <w:p w14:paraId="453D0071" w14:textId="77777777" w:rsidR="00247AD2" w:rsidRDefault="00247AD2" w:rsidP="001045FA">
            <w:pPr>
              <w:pStyle w:val="BodyText"/>
            </w:pPr>
            <w:r>
              <w:t>60</w:t>
            </w:r>
          </w:p>
        </w:tc>
        <w:tc>
          <w:tcPr>
            <w:tcW w:w="1067" w:type="pct"/>
          </w:tcPr>
          <w:p w14:paraId="5046D2B4" w14:textId="77777777" w:rsidR="00247AD2" w:rsidRDefault="00247AD2" w:rsidP="001045FA">
            <w:pPr>
              <w:pStyle w:val="BodyText"/>
            </w:pPr>
            <w:r>
              <w:rPr>
                <w:rStyle w:val="Bold"/>
              </w:rPr>
              <w:t>7,854</w:t>
            </w:r>
          </w:p>
        </w:tc>
      </w:tr>
      <w:tr w:rsidR="00247AD2" w14:paraId="10083AD3" w14:textId="77777777" w:rsidTr="006A0585">
        <w:trPr>
          <w:trHeight w:val="396"/>
        </w:trPr>
        <w:tc>
          <w:tcPr>
            <w:tcW w:w="1799" w:type="pct"/>
          </w:tcPr>
          <w:p w14:paraId="63DCCB91" w14:textId="77777777" w:rsidR="00247AD2" w:rsidRDefault="00247AD2" w:rsidP="001045FA">
            <w:pPr>
              <w:pStyle w:val="BodyText"/>
            </w:pPr>
            <w:r>
              <w:t>SA</w:t>
            </w:r>
          </w:p>
        </w:tc>
        <w:tc>
          <w:tcPr>
            <w:tcW w:w="1067" w:type="pct"/>
          </w:tcPr>
          <w:p w14:paraId="287A529E" w14:textId="77777777" w:rsidR="00247AD2" w:rsidRDefault="00247AD2" w:rsidP="001045FA">
            <w:pPr>
              <w:pStyle w:val="BodyText"/>
            </w:pPr>
            <w:r>
              <w:t>3,154</w:t>
            </w:r>
          </w:p>
        </w:tc>
        <w:tc>
          <w:tcPr>
            <w:tcW w:w="1067" w:type="pct"/>
          </w:tcPr>
          <w:p w14:paraId="77C0422C" w14:textId="77777777" w:rsidR="00247AD2" w:rsidRDefault="00247AD2" w:rsidP="001045FA">
            <w:pPr>
              <w:pStyle w:val="BodyText"/>
            </w:pPr>
            <w:r>
              <w:t>33</w:t>
            </w:r>
          </w:p>
        </w:tc>
        <w:tc>
          <w:tcPr>
            <w:tcW w:w="1067" w:type="pct"/>
          </w:tcPr>
          <w:p w14:paraId="25B79CD4" w14:textId="77777777" w:rsidR="00247AD2" w:rsidRDefault="00247AD2" w:rsidP="001045FA">
            <w:pPr>
              <w:pStyle w:val="BodyText"/>
            </w:pPr>
            <w:r>
              <w:rPr>
                <w:rStyle w:val="Bold"/>
              </w:rPr>
              <w:t>3,187</w:t>
            </w:r>
          </w:p>
        </w:tc>
      </w:tr>
      <w:tr w:rsidR="00247AD2" w14:paraId="4265E784" w14:textId="77777777" w:rsidTr="006A0585">
        <w:trPr>
          <w:trHeight w:val="396"/>
        </w:trPr>
        <w:tc>
          <w:tcPr>
            <w:tcW w:w="1799" w:type="pct"/>
          </w:tcPr>
          <w:p w14:paraId="26C560E8" w14:textId="77777777" w:rsidR="00247AD2" w:rsidRDefault="00247AD2" w:rsidP="001045FA">
            <w:pPr>
              <w:pStyle w:val="BodyText"/>
            </w:pPr>
            <w:r>
              <w:t>Tas</w:t>
            </w:r>
          </w:p>
        </w:tc>
        <w:tc>
          <w:tcPr>
            <w:tcW w:w="1067" w:type="pct"/>
          </w:tcPr>
          <w:p w14:paraId="7D237D38" w14:textId="77777777" w:rsidR="00247AD2" w:rsidRDefault="00247AD2" w:rsidP="001045FA">
            <w:pPr>
              <w:pStyle w:val="BodyText"/>
            </w:pPr>
            <w:r>
              <w:t>1,547</w:t>
            </w:r>
          </w:p>
        </w:tc>
        <w:tc>
          <w:tcPr>
            <w:tcW w:w="1067" w:type="pct"/>
          </w:tcPr>
          <w:p w14:paraId="5587BE7C" w14:textId="77777777" w:rsidR="00247AD2" w:rsidRDefault="00247AD2" w:rsidP="001045FA">
            <w:pPr>
              <w:pStyle w:val="BodyText"/>
            </w:pPr>
            <w:r>
              <w:t>13</w:t>
            </w:r>
          </w:p>
        </w:tc>
        <w:tc>
          <w:tcPr>
            <w:tcW w:w="1067" w:type="pct"/>
          </w:tcPr>
          <w:p w14:paraId="53A37FAD" w14:textId="77777777" w:rsidR="00247AD2" w:rsidRDefault="00247AD2" w:rsidP="001045FA">
            <w:pPr>
              <w:pStyle w:val="BodyText"/>
            </w:pPr>
            <w:r>
              <w:rPr>
                <w:rStyle w:val="Bold"/>
              </w:rPr>
              <w:t>1,560</w:t>
            </w:r>
          </w:p>
        </w:tc>
      </w:tr>
      <w:tr w:rsidR="00247AD2" w14:paraId="7F5D0FA8" w14:textId="77777777" w:rsidTr="006A0585">
        <w:trPr>
          <w:trHeight w:val="396"/>
        </w:trPr>
        <w:tc>
          <w:tcPr>
            <w:tcW w:w="1799" w:type="pct"/>
          </w:tcPr>
          <w:p w14:paraId="5A6F7A5C" w14:textId="77777777" w:rsidR="00247AD2" w:rsidRDefault="00247AD2" w:rsidP="001045FA">
            <w:pPr>
              <w:pStyle w:val="BodyText"/>
            </w:pPr>
            <w:r>
              <w:lastRenderedPageBreak/>
              <w:t>Vic</w:t>
            </w:r>
          </w:p>
        </w:tc>
        <w:tc>
          <w:tcPr>
            <w:tcW w:w="1067" w:type="pct"/>
          </w:tcPr>
          <w:p w14:paraId="01B5F93C" w14:textId="77777777" w:rsidR="00247AD2" w:rsidRDefault="00247AD2" w:rsidP="001045FA">
            <w:pPr>
              <w:pStyle w:val="BodyText"/>
            </w:pPr>
            <w:r>
              <w:t>6,571</w:t>
            </w:r>
          </w:p>
        </w:tc>
        <w:tc>
          <w:tcPr>
            <w:tcW w:w="1067" w:type="pct"/>
          </w:tcPr>
          <w:p w14:paraId="3D273628" w14:textId="77777777" w:rsidR="00247AD2" w:rsidRDefault="00247AD2" w:rsidP="001045FA">
            <w:pPr>
              <w:pStyle w:val="BodyText"/>
            </w:pPr>
            <w:r>
              <w:t>134</w:t>
            </w:r>
          </w:p>
        </w:tc>
        <w:tc>
          <w:tcPr>
            <w:tcW w:w="1067" w:type="pct"/>
          </w:tcPr>
          <w:p w14:paraId="245581B0" w14:textId="77777777" w:rsidR="00247AD2" w:rsidRDefault="00247AD2" w:rsidP="001045FA">
            <w:pPr>
              <w:pStyle w:val="BodyText"/>
            </w:pPr>
            <w:r>
              <w:rPr>
                <w:rStyle w:val="Bold"/>
              </w:rPr>
              <w:t>6,705</w:t>
            </w:r>
          </w:p>
        </w:tc>
      </w:tr>
      <w:tr w:rsidR="00247AD2" w14:paraId="4ADFAB67" w14:textId="77777777" w:rsidTr="006A0585">
        <w:trPr>
          <w:trHeight w:val="396"/>
        </w:trPr>
        <w:tc>
          <w:tcPr>
            <w:tcW w:w="1799" w:type="pct"/>
          </w:tcPr>
          <w:p w14:paraId="302E8E41" w14:textId="77777777" w:rsidR="00247AD2" w:rsidRDefault="00247AD2" w:rsidP="001045FA">
            <w:pPr>
              <w:pStyle w:val="BodyText"/>
            </w:pPr>
            <w:r>
              <w:t>WA</w:t>
            </w:r>
          </w:p>
        </w:tc>
        <w:tc>
          <w:tcPr>
            <w:tcW w:w="1067" w:type="pct"/>
          </w:tcPr>
          <w:p w14:paraId="05140E96" w14:textId="77777777" w:rsidR="00247AD2" w:rsidRDefault="00247AD2" w:rsidP="001045FA">
            <w:pPr>
              <w:pStyle w:val="BodyText"/>
            </w:pPr>
            <w:r>
              <w:t>2,426</w:t>
            </w:r>
          </w:p>
        </w:tc>
        <w:tc>
          <w:tcPr>
            <w:tcW w:w="1067" w:type="pct"/>
          </w:tcPr>
          <w:p w14:paraId="6D804218" w14:textId="77777777" w:rsidR="00247AD2" w:rsidRDefault="00247AD2" w:rsidP="001045FA">
            <w:pPr>
              <w:pStyle w:val="BodyText"/>
            </w:pPr>
            <w:r>
              <w:t>62</w:t>
            </w:r>
          </w:p>
        </w:tc>
        <w:tc>
          <w:tcPr>
            <w:tcW w:w="1067" w:type="pct"/>
          </w:tcPr>
          <w:p w14:paraId="6C7475FF" w14:textId="77777777" w:rsidR="00247AD2" w:rsidRDefault="00247AD2" w:rsidP="001045FA">
            <w:pPr>
              <w:pStyle w:val="BodyText"/>
            </w:pPr>
            <w:r>
              <w:rPr>
                <w:rStyle w:val="Bold"/>
              </w:rPr>
              <w:t>2,488</w:t>
            </w:r>
          </w:p>
        </w:tc>
      </w:tr>
      <w:tr w:rsidR="00247AD2" w14:paraId="1C60F852" w14:textId="77777777" w:rsidTr="006A0585">
        <w:trPr>
          <w:trHeight w:val="396"/>
        </w:trPr>
        <w:tc>
          <w:tcPr>
            <w:tcW w:w="1799" w:type="pct"/>
          </w:tcPr>
          <w:p w14:paraId="01BF5A53" w14:textId="77777777" w:rsidR="00247AD2" w:rsidRDefault="00247AD2" w:rsidP="001045FA">
            <w:pPr>
              <w:pStyle w:val="BodyText"/>
            </w:pPr>
            <w:r>
              <w:t>ACT</w:t>
            </w:r>
          </w:p>
        </w:tc>
        <w:tc>
          <w:tcPr>
            <w:tcW w:w="1067" w:type="pct"/>
          </w:tcPr>
          <w:p w14:paraId="24F8D5B4" w14:textId="77777777" w:rsidR="00247AD2" w:rsidRDefault="00247AD2" w:rsidP="001045FA">
            <w:pPr>
              <w:pStyle w:val="BodyText"/>
            </w:pPr>
            <w:r>
              <w:t>4,520</w:t>
            </w:r>
          </w:p>
        </w:tc>
        <w:tc>
          <w:tcPr>
            <w:tcW w:w="1067" w:type="pct"/>
          </w:tcPr>
          <w:p w14:paraId="792B3308" w14:textId="77777777" w:rsidR="00247AD2" w:rsidRDefault="00247AD2" w:rsidP="001045FA">
            <w:pPr>
              <w:pStyle w:val="BodyText"/>
            </w:pPr>
            <w:r>
              <w:t>52</w:t>
            </w:r>
          </w:p>
        </w:tc>
        <w:tc>
          <w:tcPr>
            <w:tcW w:w="1067" w:type="pct"/>
          </w:tcPr>
          <w:p w14:paraId="0951A62E" w14:textId="77777777" w:rsidR="00247AD2" w:rsidRDefault="00247AD2" w:rsidP="001045FA">
            <w:pPr>
              <w:pStyle w:val="BodyText"/>
            </w:pPr>
            <w:r>
              <w:rPr>
                <w:rStyle w:val="Bold"/>
              </w:rPr>
              <w:t>4,572</w:t>
            </w:r>
          </w:p>
        </w:tc>
      </w:tr>
      <w:tr w:rsidR="00247AD2" w14:paraId="61678ECD" w14:textId="77777777" w:rsidTr="006A0585">
        <w:trPr>
          <w:trHeight w:val="396"/>
        </w:trPr>
        <w:tc>
          <w:tcPr>
            <w:tcW w:w="1799" w:type="pct"/>
          </w:tcPr>
          <w:p w14:paraId="4F2331D0" w14:textId="77777777" w:rsidR="00247AD2" w:rsidRDefault="00247AD2" w:rsidP="001045FA">
            <w:pPr>
              <w:pStyle w:val="BodyText"/>
            </w:pPr>
            <w:r>
              <w:t>NT</w:t>
            </w:r>
          </w:p>
        </w:tc>
        <w:tc>
          <w:tcPr>
            <w:tcW w:w="1067" w:type="pct"/>
          </w:tcPr>
          <w:p w14:paraId="143AD21B" w14:textId="77777777" w:rsidR="00247AD2" w:rsidRDefault="00247AD2" w:rsidP="001045FA">
            <w:pPr>
              <w:pStyle w:val="BodyText"/>
            </w:pPr>
            <w:r>
              <w:t>410</w:t>
            </w:r>
          </w:p>
        </w:tc>
        <w:tc>
          <w:tcPr>
            <w:tcW w:w="1067" w:type="pct"/>
          </w:tcPr>
          <w:p w14:paraId="2F9B0B9C" w14:textId="77777777" w:rsidR="00247AD2" w:rsidRDefault="00247AD2" w:rsidP="001045FA">
            <w:pPr>
              <w:pStyle w:val="BodyText"/>
            </w:pPr>
            <w:r>
              <w:t>13</w:t>
            </w:r>
          </w:p>
        </w:tc>
        <w:tc>
          <w:tcPr>
            <w:tcW w:w="1067" w:type="pct"/>
          </w:tcPr>
          <w:p w14:paraId="6A19232E" w14:textId="77777777" w:rsidR="00247AD2" w:rsidRDefault="00247AD2" w:rsidP="001045FA">
            <w:pPr>
              <w:pStyle w:val="BodyText"/>
            </w:pPr>
            <w:r>
              <w:rPr>
                <w:rStyle w:val="Bold"/>
              </w:rPr>
              <w:t>423</w:t>
            </w:r>
          </w:p>
        </w:tc>
      </w:tr>
      <w:tr w:rsidR="00247AD2" w14:paraId="05EB6804" w14:textId="77777777" w:rsidTr="006A0585">
        <w:trPr>
          <w:trHeight w:val="396"/>
        </w:trPr>
        <w:tc>
          <w:tcPr>
            <w:tcW w:w="1799" w:type="pct"/>
          </w:tcPr>
          <w:p w14:paraId="5CDE284F" w14:textId="77777777" w:rsidR="00247AD2" w:rsidRDefault="00247AD2" w:rsidP="001045FA">
            <w:pPr>
              <w:pStyle w:val="BodyText"/>
            </w:pPr>
            <w:r>
              <w:t>External territories</w:t>
            </w:r>
          </w:p>
        </w:tc>
        <w:tc>
          <w:tcPr>
            <w:tcW w:w="1067" w:type="pct"/>
          </w:tcPr>
          <w:p w14:paraId="51BD56BC" w14:textId="77777777" w:rsidR="00247AD2" w:rsidRDefault="00247AD2" w:rsidP="001045FA">
            <w:pPr>
              <w:pStyle w:val="BodyText"/>
            </w:pPr>
            <w:r>
              <w:t>0</w:t>
            </w:r>
          </w:p>
        </w:tc>
        <w:tc>
          <w:tcPr>
            <w:tcW w:w="1067" w:type="pct"/>
          </w:tcPr>
          <w:p w14:paraId="67B543AF" w14:textId="77777777" w:rsidR="00247AD2" w:rsidRDefault="00247AD2" w:rsidP="001045FA">
            <w:pPr>
              <w:pStyle w:val="BodyText"/>
            </w:pPr>
            <w:r>
              <w:t>0</w:t>
            </w:r>
          </w:p>
        </w:tc>
        <w:tc>
          <w:tcPr>
            <w:tcW w:w="1067" w:type="pct"/>
          </w:tcPr>
          <w:p w14:paraId="2FF2852A" w14:textId="77777777" w:rsidR="00247AD2" w:rsidRDefault="00247AD2" w:rsidP="001045FA">
            <w:pPr>
              <w:pStyle w:val="BodyText"/>
            </w:pPr>
            <w:r>
              <w:rPr>
                <w:rStyle w:val="Bold"/>
              </w:rPr>
              <w:t>0</w:t>
            </w:r>
          </w:p>
        </w:tc>
      </w:tr>
      <w:tr w:rsidR="00247AD2" w14:paraId="35F783D0" w14:textId="77777777" w:rsidTr="006A0585">
        <w:trPr>
          <w:trHeight w:val="396"/>
        </w:trPr>
        <w:tc>
          <w:tcPr>
            <w:tcW w:w="1799" w:type="pct"/>
          </w:tcPr>
          <w:p w14:paraId="33020711" w14:textId="77777777" w:rsidR="00247AD2" w:rsidRDefault="00247AD2" w:rsidP="001045FA">
            <w:pPr>
              <w:pStyle w:val="BodyText"/>
            </w:pPr>
            <w:r>
              <w:t>Overseas</w:t>
            </w:r>
          </w:p>
        </w:tc>
        <w:tc>
          <w:tcPr>
            <w:tcW w:w="1067" w:type="pct"/>
          </w:tcPr>
          <w:p w14:paraId="6FD5F80E" w14:textId="77777777" w:rsidR="00247AD2" w:rsidRDefault="00247AD2" w:rsidP="001045FA">
            <w:pPr>
              <w:pStyle w:val="BodyText"/>
            </w:pPr>
            <w:r>
              <w:t>0</w:t>
            </w:r>
          </w:p>
        </w:tc>
        <w:tc>
          <w:tcPr>
            <w:tcW w:w="1067" w:type="pct"/>
          </w:tcPr>
          <w:p w14:paraId="7E9A2BF7" w14:textId="77777777" w:rsidR="00247AD2" w:rsidRDefault="00247AD2" w:rsidP="001045FA">
            <w:pPr>
              <w:pStyle w:val="BodyText"/>
            </w:pPr>
            <w:r>
              <w:t>0</w:t>
            </w:r>
          </w:p>
        </w:tc>
        <w:tc>
          <w:tcPr>
            <w:tcW w:w="1067" w:type="pct"/>
          </w:tcPr>
          <w:p w14:paraId="7B959EBC" w14:textId="77777777" w:rsidR="00247AD2" w:rsidRDefault="00247AD2" w:rsidP="001045FA">
            <w:pPr>
              <w:pStyle w:val="BodyText"/>
            </w:pPr>
            <w:r>
              <w:rPr>
                <w:rStyle w:val="Bold"/>
              </w:rPr>
              <w:t>0</w:t>
            </w:r>
          </w:p>
        </w:tc>
      </w:tr>
      <w:tr w:rsidR="00247AD2" w14:paraId="2B070725" w14:textId="77777777" w:rsidTr="006A0585">
        <w:trPr>
          <w:trHeight w:val="396"/>
        </w:trPr>
        <w:tc>
          <w:tcPr>
            <w:tcW w:w="1799" w:type="pct"/>
          </w:tcPr>
          <w:p w14:paraId="7388A398" w14:textId="77777777" w:rsidR="00247AD2" w:rsidRDefault="00247AD2" w:rsidP="001045FA">
            <w:pPr>
              <w:pStyle w:val="BodyText"/>
            </w:pPr>
            <w:r>
              <w:rPr>
                <w:rStyle w:val="Bold"/>
              </w:rPr>
              <w:t>Total</w:t>
            </w:r>
          </w:p>
        </w:tc>
        <w:tc>
          <w:tcPr>
            <w:tcW w:w="1067" w:type="pct"/>
          </w:tcPr>
          <w:p w14:paraId="5BF8E0AC" w14:textId="77777777" w:rsidR="00247AD2" w:rsidRDefault="00247AD2" w:rsidP="001045FA">
            <w:pPr>
              <w:pStyle w:val="BodyText"/>
            </w:pPr>
            <w:r>
              <w:rPr>
                <w:rStyle w:val="Bold"/>
              </w:rPr>
              <w:t>34,766</w:t>
            </w:r>
          </w:p>
        </w:tc>
        <w:tc>
          <w:tcPr>
            <w:tcW w:w="1067" w:type="pct"/>
          </w:tcPr>
          <w:p w14:paraId="75D01A65" w14:textId="77777777" w:rsidR="00247AD2" w:rsidRDefault="00247AD2" w:rsidP="001045FA">
            <w:pPr>
              <w:pStyle w:val="BodyText"/>
            </w:pPr>
            <w:r>
              <w:rPr>
                <w:rStyle w:val="Bold"/>
              </w:rPr>
              <w:t>437</w:t>
            </w:r>
          </w:p>
        </w:tc>
        <w:tc>
          <w:tcPr>
            <w:tcW w:w="1067" w:type="pct"/>
          </w:tcPr>
          <w:p w14:paraId="4B9194D2" w14:textId="77777777" w:rsidR="00247AD2" w:rsidRDefault="00247AD2" w:rsidP="001045FA">
            <w:pPr>
              <w:pStyle w:val="BodyText"/>
            </w:pPr>
            <w:r>
              <w:rPr>
                <w:rStyle w:val="Bold"/>
              </w:rPr>
              <w:t>35,203</w:t>
            </w:r>
          </w:p>
        </w:tc>
      </w:tr>
    </w:tbl>
    <w:p w14:paraId="5A578FA6" w14:textId="1C735A76" w:rsidR="00247AD2" w:rsidRDefault="001D2CCD" w:rsidP="001D2CCD">
      <w:pPr>
        <w:pStyle w:val="ProductCode"/>
        <w:rPr>
          <w:rFonts w:ascii="Roboto-Bold" w:hAnsi="Roboto-Bold" w:cs="Roboto-Bold"/>
          <w:b/>
          <w:bCs/>
        </w:rPr>
      </w:pPr>
      <w:r w:rsidRPr="001D2CCD">
        <w:rPr>
          <w:rFonts w:ascii="Roboto-Regular" w:eastAsiaTheme="minorEastAsia" w:hAnsi="Roboto-Regular" w:cs="Roboto-Regular"/>
          <w:color w:val="000000"/>
          <w:sz w:val="16"/>
          <w:szCs w:val="16"/>
          <w:lang w:val="en-GB" w:eastAsia="en-AU"/>
          <w14:ligatures w14:val="standardContextual"/>
        </w:rPr>
        <w:t>(a</w:t>
      </w:r>
      <w:r>
        <w:t xml:space="preserve">) </w:t>
      </w:r>
      <w:r w:rsidR="00247AD2">
        <w:t>Non-ongoing employees includes irregular/intermittent staff.</w:t>
      </w:r>
      <w:r w:rsidR="00247AD2">
        <w:rPr>
          <w:rFonts w:ascii="Roboto-Bold" w:hAnsi="Roboto-Bold" w:cs="Roboto-Bold"/>
          <w:b/>
          <w:bCs/>
        </w:rPr>
        <w:t xml:space="preserve"> </w:t>
      </w:r>
    </w:p>
    <w:p w14:paraId="6C2EC9B0" w14:textId="35C7EAF5" w:rsidR="00247AD2" w:rsidRPr="001D2CCD" w:rsidRDefault="001D2CCD" w:rsidP="001D2CCD">
      <w:pPr>
        <w:pStyle w:val="BodyText"/>
        <w:rPr>
          <w:b/>
          <w:bCs/>
        </w:rPr>
      </w:pPr>
      <w:r w:rsidRPr="001D2CCD">
        <w:rPr>
          <w:b/>
          <w:bCs/>
        </w:rPr>
        <w:t>Table 73:</w:t>
      </w:r>
      <w:r w:rsidR="00247AD2" w:rsidRPr="001D2CCD">
        <w:rPr>
          <w:b/>
          <w:bCs/>
        </w:rPr>
        <w:t xml:space="preserve"> Australian Public Service Act employees by employment type by location 2023–24 (as at 30 June 2024)</w:t>
      </w:r>
    </w:p>
    <w:tbl>
      <w:tblPr>
        <w:tblStyle w:val="TableGrid"/>
        <w:tblW w:w="5000" w:type="pct"/>
        <w:tblLook w:val="04A0" w:firstRow="1" w:lastRow="0" w:firstColumn="1" w:lastColumn="0" w:noHBand="0" w:noVBand="1"/>
        <w:tblCaption w:val="Australian Public Service Act employees by employment type by location 2023–24 (as at 30 June 2024)"/>
      </w:tblPr>
      <w:tblGrid>
        <w:gridCol w:w="3992"/>
        <w:gridCol w:w="2368"/>
        <w:gridCol w:w="2368"/>
        <w:gridCol w:w="2368"/>
      </w:tblGrid>
      <w:tr w:rsidR="00247AD2" w14:paraId="235D4FD1" w14:textId="77777777" w:rsidTr="001045FA">
        <w:trPr>
          <w:trHeight w:val="396"/>
          <w:tblHeader/>
        </w:trPr>
        <w:tc>
          <w:tcPr>
            <w:tcW w:w="1799" w:type="pct"/>
          </w:tcPr>
          <w:p w14:paraId="59FC64D7" w14:textId="77777777" w:rsidR="00247AD2" w:rsidRDefault="00247AD2" w:rsidP="001045FA">
            <w:pPr>
              <w:pStyle w:val="BodyText"/>
            </w:pPr>
          </w:p>
        </w:tc>
        <w:tc>
          <w:tcPr>
            <w:tcW w:w="1067" w:type="pct"/>
          </w:tcPr>
          <w:p w14:paraId="42B56858" w14:textId="77777777" w:rsidR="00247AD2" w:rsidRPr="00891C1C" w:rsidRDefault="00247AD2" w:rsidP="001045FA">
            <w:pPr>
              <w:pStyle w:val="BodyText"/>
              <w:rPr>
                <w:b/>
                <w:bCs/>
              </w:rPr>
            </w:pPr>
            <w:r w:rsidRPr="00891C1C">
              <w:rPr>
                <w:b/>
                <w:bCs/>
              </w:rPr>
              <w:t>Ongoing</w:t>
            </w:r>
          </w:p>
        </w:tc>
        <w:tc>
          <w:tcPr>
            <w:tcW w:w="1067" w:type="pct"/>
          </w:tcPr>
          <w:p w14:paraId="4470C273" w14:textId="77777777" w:rsidR="00247AD2" w:rsidRPr="00891C1C" w:rsidRDefault="00247AD2" w:rsidP="001045FA">
            <w:pPr>
              <w:pStyle w:val="BodyText"/>
              <w:rPr>
                <w:b/>
                <w:bCs/>
              </w:rPr>
            </w:pPr>
            <w:r w:rsidRPr="00891C1C">
              <w:rPr>
                <w:b/>
                <w:bCs/>
              </w:rPr>
              <w:t>Non-ongoing</w:t>
            </w:r>
            <w:r w:rsidRPr="00891C1C">
              <w:rPr>
                <w:b/>
                <w:bCs/>
                <w:vertAlign w:val="superscript"/>
              </w:rPr>
              <w:t>(a)</w:t>
            </w:r>
          </w:p>
        </w:tc>
        <w:tc>
          <w:tcPr>
            <w:tcW w:w="1067" w:type="pct"/>
          </w:tcPr>
          <w:p w14:paraId="34E07E62" w14:textId="77777777" w:rsidR="00247AD2" w:rsidRPr="00891C1C" w:rsidRDefault="00247AD2" w:rsidP="001045FA">
            <w:pPr>
              <w:pStyle w:val="BodyText"/>
              <w:rPr>
                <w:b/>
                <w:bCs/>
              </w:rPr>
            </w:pPr>
            <w:r w:rsidRPr="00891C1C">
              <w:rPr>
                <w:b/>
                <w:bCs/>
              </w:rPr>
              <w:t>Total</w:t>
            </w:r>
          </w:p>
        </w:tc>
      </w:tr>
      <w:tr w:rsidR="00247AD2" w14:paraId="3AE2CB27" w14:textId="77777777" w:rsidTr="006A0585">
        <w:trPr>
          <w:trHeight w:val="396"/>
        </w:trPr>
        <w:tc>
          <w:tcPr>
            <w:tcW w:w="1799" w:type="pct"/>
          </w:tcPr>
          <w:p w14:paraId="4DCBD313" w14:textId="77777777" w:rsidR="00247AD2" w:rsidRDefault="00247AD2" w:rsidP="001045FA">
            <w:pPr>
              <w:pStyle w:val="BodyText"/>
            </w:pPr>
            <w:r>
              <w:t>NSW</w:t>
            </w:r>
          </w:p>
        </w:tc>
        <w:tc>
          <w:tcPr>
            <w:tcW w:w="1067" w:type="pct"/>
          </w:tcPr>
          <w:p w14:paraId="1F6D6B0D" w14:textId="77777777" w:rsidR="00247AD2" w:rsidRDefault="00247AD2" w:rsidP="001045FA">
            <w:pPr>
              <w:pStyle w:val="BodyText"/>
            </w:pPr>
            <w:r>
              <w:t>7,714</w:t>
            </w:r>
          </w:p>
        </w:tc>
        <w:tc>
          <w:tcPr>
            <w:tcW w:w="1067" w:type="pct"/>
          </w:tcPr>
          <w:p w14:paraId="43B0A1D2" w14:textId="77777777" w:rsidR="00247AD2" w:rsidRDefault="00247AD2" w:rsidP="001045FA">
            <w:pPr>
              <w:pStyle w:val="BodyText"/>
            </w:pPr>
            <w:r>
              <w:t>145</w:t>
            </w:r>
          </w:p>
        </w:tc>
        <w:tc>
          <w:tcPr>
            <w:tcW w:w="1067" w:type="pct"/>
          </w:tcPr>
          <w:p w14:paraId="6A3CD5CB" w14:textId="77777777" w:rsidR="00247AD2" w:rsidRDefault="00247AD2" w:rsidP="001045FA">
            <w:pPr>
              <w:pStyle w:val="BodyText"/>
            </w:pPr>
            <w:r>
              <w:rPr>
                <w:rStyle w:val="Bold"/>
              </w:rPr>
              <w:t>7,859</w:t>
            </w:r>
          </w:p>
        </w:tc>
      </w:tr>
      <w:tr w:rsidR="00247AD2" w14:paraId="2669E037" w14:textId="77777777" w:rsidTr="006A0585">
        <w:trPr>
          <w:trHeight w:val="396"/>
        </w:trPr>
        <w:tc>
          <w:tcPr>
            <w:tcW w:w="1799" w:type="pct"/>
          </w:tcPr>
          <w:p w14:paraId="29985B0E" w14:textId="77777777" w:rsidR="00247AD2" w:rsidRDefault="00247AD2" w:rsidP="001045FA">
            <w:pPr>
              <w:pStyle w:val="BodyText"/>
            </w:pPr>
            <w:r>
              <w:t>Qld</w:t>
            </w:r>
          </w:p>
        </w:tc>
        <w:tc>
          <w:tcPr>
            <w:tcW w:w="1067" w:type="pct"/>
          </w:tcPr>
          <w:p w14:paraId="54E9F14A" w14:textId="77777777" w:rsidR="00247AD2" w:rsidRDefault="00247AD2" w:rsidP="001045FA">
            <w:pPr>
              <w:pStyle w:val="BodyText"/>
            </w:pPr>
            <w:r>
              <w:t>7,336</w:t>
            </w:r>
          </w:p>
        </w:tc>
        <w:tc>
          <w:tcPr>
            <w:tcW w:w="1067" w:type="pct"/>
          </w:tcPr>
          <w:p w14:paraId="2DDA8F7B" w14:textId="77777777" w:rsidR="00247AD2" w:rsidRDefault="00247AD2" w:rsidP="001045FA">
            <w:pPr>
              <w:pStyle w:val="BodyText"/>
            </w:pPr>
            <w:r>
              <w:t>154</w:t>
            </w:r>
          </w:p>
        </w:tc>
        <w:tc>
          <w:tcPr>
            <w:tcW w:w="1067" w:type="pct"/>
          </w:tcPr>
          <w:p w14:paraId="34BF353B" w14:textId="77777777" w:rsidR="00247AD2" w:rsidRDefault="00247AD2" w:rsidP="001045FA">
            <w:pPr>
              <w:pStyle w:val="BodyText"/>
            </w:pPr>
            <w:r>
              <w:rPr>
                <w:rStyle w:val="Bold"/>
              </w:rPr>
              <w:t>7,490</w:t>
            </w:r>
          </w:p>
        </w:tc>
      </w:tr>
      <w:tr w:rsidR="00247AD2" w14:paraId="04ABAB5C" w14:textId="77777777" w:rsidTr="006A0585">
        <w:trPr>
          <w:trHeight w:val="396"/>
        </w:trPr>
        <w:tc>
          <w:tcPr>
            <w:tcW w:w="1799" w:type="pct"/>
          </w:tcPr>
          <w:p w14:paraId="46CB7845" w14:textId="77777777" w:rsidR="00247AD2" w:rsidRDefault="00247AD2" w:rsidP="001045FA">
            <w:pPr>
              <w:pStyle w:val="BodyText"/>
            </w:pPr>
            <w:r>
              <w:t>SA</w:t>
            </w:r>
          </w:p>
        </w:tc>
        <w:tc>
          <w:tcPr>
            <w:tcW w:w="1067" w:type="pct"/>
          </w:tcPr>
          <w:p w14:paraId="06D1C430" w14:textId="77777777" w:rsidR="00247AD2" w:rsidRDefault="00247AD2" w:rsidP="001045FA">
            <w:pPr>
              <w:pStyle w:val="BodyText"/>
            </w:pPr>
            <w:r>
              <w:t>2,926</w:t>
            </w:r>
          </w:p>
        </w:tc>
        <w:tc>
          <w:tcPr>
            <w:tcW w:w="1067" w:type="pct"/>
          </w:tcPr>
          <w:p w14:paraId="3860261A" w14:textId="77777777" w:rsidR="00247AD2" w:rsidRDefault="00247AD2" w:rsidP="001045FA">
            <w:pPr>
              <w:pStyle w:val="BodyText"/>
            </w:pPr>
            <w:r>
              <w:t>55</w:t>
            </w:r>
          </w:p>
        </w:tc>
        <w:tc>
          <w:tcPr>
            <w:tcW w:w="1067" w:type="pct"/>
          </w:tcPr>
          <w:p w14:paraId="5BA283EB" w14:textId="77777777" w:rsidR="00247AD2" w:rsidRDefault="00247AD2" w:rsidP="001045FA">
            <w:pPr>
              <w:pStyle w:val="BodyText"/>
            </w:pPr>
            <w:r>
              <w:rPr>
                <w:rStyle w:val="Bold"/>
              </w:rPr>
              <w:t>2,981</w:t>
            </w:r>
          </w:p>
        </w:tc>
      </w:tr>
      <w:tr w:rsidR="00247AD2" w14:paraId="2B495112" w14:textId="77777777" w:rsidTr="006A0585">
        <w:trPr>
          <w:trHeight w:val="396"/>
        </w:trPr>
        <w:tc>
          <w:tcPr>
            <w:tcW w:w="1799" w:type="pct"/>
          </w:tcPr>
          <w:p w14:paraId="48D9ABDB" w14:textId="77777777" w:rsidR="00247AD2" w:rsidRDefault="00247AD2" w:rsidP="001045FA">
            <w:pPr>
              <w:pStyle w:val="BodyText"/>
            </w:pPr>
            <w:r>
              <w:t>Tas</w:t>
            </w:r>
          </w:p>
        </w:tc>
        <w:tc>
          <w:tcPr>
            <w:tcW w:w="1067" w:type="pct"/>
          </w:tcPr>
          <w:p w14:paraId="61A2DCAE" w14:textId="77777777" w:rsidR="00247AD2" w:rsidRDefault="00247AD2" w:rsidP="001045FA">
            <w:pPr>
              <w:pStyle w:val="BodyText"/>
            </w:pPr>
            <w:r>
              <w:t>1,503</w:t>
            </w:r>
          </w:p>
        </w:tc>
        <w:tc>
          <w:tcPr>
            <w:tcW w:w="1067" w:type="pct"/>
          </w:tcPr>
          <w:p w14:paraId="3FF8DD2C" w14:textId="77777777" w:rsidR="00247AD2" w:rsidRDefault="00247AD2" w:rsidP="001045FA">
            <w:pPr>
              <w:pStyle w:val="BodyText"/>
            </w:pPr>
            <w:r>
              <w:t>19</w:t>
            </w:r>
          </w:p>
        </w:tc>
        <w:tc>
          <w:tcPr>
            <w:tcW w:w="1067" w:type="pct"/>
          </w:tcPr>
          <w:p w14:paraId="4949B248" w14:textId="77777777" w:rsidR="00247AD2" w:rsidRDefault="00247AD2" w:rsidP="001045FA">
            <w:pPr>
              <w:pStyle w:val="BodyText"/>
            </w:pPr>
            <w:r>
              <w:rPr>
                <w:rStyle w:val="Bold"/>
              </w:rPr>
              <w:t>1,522</w:t>
            </w:r>
          </w:p>
        </w:tc>
      </w:tr>
      <w:tr w:rsidR="00247AD2" w14:paraId="2033253F" w14:textId="77777777" w:rsidTr="006A0585">
        <w:trPr>
          <w:trHeight w:val="396"/>
        </w:trPr>
        <w:tc>
          <w:tcPr>
            <w:tcW w:w="1799" w:type="pct"/>
          </w:tcPr>
          <w:p w14:paraId="36B7DC02" w14:textId="77777777" w:rsidR="00247AD2" w:rsidRDefault="00247AD2" w:rsidP="001045FA">
            <w:pPr>
              <w:pStyle w:val="BodyText"/>
            </w:pPr>
            <w:r>
              <w:t>Vic</w:t>
            </w:r>
          </w:p>
        </w:tc>
        <w:tc>
          <w:tcPr>
            <w:tcW w:w="1067" w:type="pct"/>
          </w:tcPr>
          <w:p w14:paraId="4680029B" w14:textId="77777777" w:rsidR="00247AD2" w:rsidRDefault="00247AD2" w:rsidP="001045FA">
            <w:pPr>
              <w:pStyle w:val="BodyText"/>
            </w:pPr>
            <w:r>
              <w:t>6,173</w:t>
            </w:r>
          </w:p>
        </w:tc>
        <w:tc>
          <w:tcPr>
            <w:tcW w:w="1067" w:type="pct"/>
          </w:tcPr>
          <w:p w14:paraId="37F0D1E5" w14:textId="77777777" w:rsidR="00247AD2" w:rsidRDefault="00247AD2" w:rsidP="001045FA">
            <w:pPr>
              <w:pStyle w:val="BodyText"/>
            </w:pPr>
            <w:r>
              <w:t>245</w:t>
            </w:r>
          </w:p>
        </w:tc>
        <w:tc>
          <w:tcPr>
            <w:tcW w:w="1067" w:type="pct"/>
          </w:tcPr>
          <w:p w14:paraId="2CB11303" w14:textId="77777777" w:rsidR="00247AD2" w:rsidRDefault="00247AD2" w:rsidP="001045FA">
            <w:pPr>
              <w:pStyle w:val="BodyText"/>
            </w:pPr>
            <w:r>
              <w:rPr>
                <w:rStyle w:val="Bold"/>
              </w:rPr>
              <w:t>6,418</w:t>
            </w:r>
          </w:p>
        </w:tc>
      </w:tr>
      <w:tr w:rsidR="00247AD2" w14:paraId="125E96AE" w14:textId="77777777" w:rsidTr="006A0585">
        <w:trPr>
          <w:trHeight w:val="396"/>
        </w:trPr>
        <w:tc>
          <w:tcPr>
            <w:tcW w:w="1799" w:type="pct"/>
          </w:tcPr>
          <w:p w14:paraId="65289C7B" w14:textId="77777777" w:rsidR="00247AD2" w:rsidRDefault="00247AD2" w:rsidP="001045FA">
            <w:pPr>
              <w:pStyle w:val="BodyText"/>
            </w:pPr>
            <w:r>
              <w:t>WA</w:t>
            </w:r>
          </w:p>
        </w:tc>
        <w:tc>
          <w:tcPr>
            <w:tcW w:w="1067" w:type="pct"/>
          </w:tcPr>
          <w:p w14:paraId="6207F62B" w14:textId="77777777" w:rsidR="00247AD2" w:rsidRDefault="00247AD2" w:rsidP="001045FA">
            <w:pPr>
              <w:pStyle w:val="BodyText"/>
            </w:pPr>
            <w:r>
              <w:t>2,333</w:t>
            </w:r>
          </w:p>
        </w:tc>
        <w:tc>
          <w:tcPr>
            <w:tcW w:w="1067" w:type="pct"/>
          </w:tcPr>
          <w:p w14:paraId="667BC781" w14:textId="77777777" w:rsidR="00247AD2" w:rsidRDefault="00247AD2" w:rsidP="001045FA">
            <w:pPr>
              <w:pStyle w:val="BodyText"/>
            </w:pPr>
            <w:r>
              <w:t>111</w:t>
            </w:r>
          </w:p>
        </w:tc>
        <w:tc>
          <w:tcPr>
            <w:tcW w:w="1067" w:type="pct"/>
          </w:tcPr>
          <w:p w14:paraId="35A191AE" w14:textId="77777777" w:rsidR="00247AD2" w:rsidRDefault="00247AD2" w:rsidP="001045FA">
            <w:pPr>
              <w:pStyle w:val="BodyText"/>
            </w:pPr>
            <w:r>
              <w:rPr>
                <w:rStyle w:val="Bold"/>
              </w:rPr>
              <w:t>2,444</w:t>
            </w:r>
          </w:p>
        </w:tc>
      </w:tr>
      <w:tr w:rsidR="00247AD2" w14:paraId="1FEE5C41" w14:textId="77777777" w:rsidTr="006A0585">
        <w:trPr>
          <w:trHeight w:val="396"/>
        </w:trPr>
        <w:tc>
          <w:tcPr>
            <w:tcW w:w="1799" w:type="pct"/>
          </w:tcPr>
          <w:p w14:paraId="51C75C37" w14:textId="77777777" w:rsidR="00247AD2" w:rsidRDefault="00247AD2" w:rsidP="001045FA">
            <w:pPr>
              <w:pStyle w:val="BodyText"/>
            </w:pPr>
            <w:r>
              <w:t>ACT</w:t>
            </w:r>
          </w:p>
        </w:tc>
        <w:tc>
          <w:tcPr>
            <w:tcW w:w="1067" w:type="pct"/>
          </w:tcPr>
          <w:p w14:paraId="68297D00" w14:textId="77777777" w:rsidR="00247AD2" w:rsidRDefault="00247AD2" w:rsidP="001045FA">
            <w:pPr>
              <w:pStyle w:val="BodyText"/>
            </w:pPr>
            <w:r>
              <w:t>4,352</w:t>
            </w:r>
          </w:p>
        </w:tc>
        <w:tc>
          <w:tcPr>
            <w:tcW w:w="1067" w:type="pct"/>
          </w:tcPr>
          <w:p w14:paraId="1AAD4CBB" w14:textId="77777777" w:rsidR="00247AD2" w:rsidRDefault="00247AD2" w:rsidP="001045FA">
            <w:pPr>
              <w:pStyle w:val="BodyText"/>
            </w:pPr>
            <w:r>
              <w:t>74</w:t>
            </w:r>
          </w:p>
        </w:tc>
        <w:tc>
          <w:tcPr>
            <w:tcW w:w="1067" w:type="pct"/>
          </w:tcPr>
          <w:p w14:paraId="056572B6" w14:textId="77777777" w:rsidR="00247AD2" w:rsidRDefault="00247AD2" w:rsidP="001045FA">
            <w:pPr>
              <w:pStyle w:val="BodyText"/>
            </w:pPr>
            <w:r>
              <w:rPr>
                <w:rStyle w:val="Bold"/>
              </w:rPr>
              <w:t>4,426</w:t>
            </w:r>
          </w:p>
        </w:tc>
      </w:tr>
      <w:tr w:rsidR="00247AD2" w14:paraId="1061EBA3" w14:textId="77777777" w:rsidTr="006A0585">
        <w:trPr>
          <w:trHeight w:val="396"/>
        </w:trPr>
        <w:tc>
          <w:tcPr>
            <w:tcW w:w="1799" w:type="pct"/>
          </w:tcPr>
          <w:p w14:paraId="1655DC91" w14:textId="77777777" w:rsidR="00247AD2" w:rsidRDefault="00247AD2" w:rsidP="001045FA">
            <w:pPr>
              <w:pStyle w:val="BodyText"/>
            </w:pPr>
            <w:r>
              <w:t>NT</w:t>
            </w:r>
          </w:p>
        </w:tc>
        <w:tc>
          <w:tcPr>
            <w:tcW w:w="1067" w:type="pct"/>
          </w:tcPr>
          <w:p w14:paraId="76FB6DEE" w14:textId="77777777" w:rsidR="00247AD2" w:rsidRDefault="00247AD2" w:rsidP="001045FA">
            <w:pPr>
              <w:pStyle w:val="BodyText"/>
            </w:pPr>
            <w:r>
              <w:t>400</w:t>
            </w:r>
          </w:p>
        </w:tc>
        <w:tc>
          <w:tcPr>
            <w:tcW w:w="1067" w:type="pct"/>
          </w:tcPr>
          <w:p w14:paraId="26B539B3" w14:textId="77777777" w:rsidR="00247AD2" w:rsidRDefault="00247AD2" w:rsidP="001045FA">
            <w:pPr>
              <w:pStyle w:val="BodyText"/>
            </w:pPr>
            <w:r>
              <w:t>14</w:t>
            </w:r>
          </w:p>
        </w:tc>
        <w:tc>
          <w:tcPr>
            <w:tcW w:w="1067" w:type="pct"/>
          </w:tcPr>
          <w:p w14:paraId="117353C8" w14:textId="77777777" w:rsidR="00247AD2" w:rsidRDefault="00247AD2" w:rsidP="001045FA">
            <w:pPr>
              <w:pStyle w:val="BodyText"/>
            </w:pPr>
            <w:r>
              <w:rPr>
                <w:rStyle w:val="Bold"/>
              </w:rPr>
              <w:t>414</w:t>
            </w:r>
          </w:p>
        </w:tc>
      </w:tr>
      <w:tr w:rsidR="00247AD2" w14:paraId="7CB7B9C1" w14:textId="77777777" w:rsidTr="006A0585">
        <w:trPr>
          <w:trHeight w:val="396"/>
        </w:trPr>
        <w:tc>
          <w:tcPr>
            <w:tcW w:w="1799" w:type="pct"/>
          </w:tcPr>
          <w:p w14:paraId="179986BD" w14:textId="77777777" w:rsidR="00247AD2" w:rsidRDefault="00247AD2" w:rsidP="001045FA">
            <w:pPr>
              <w:pStyle w:val="BodyText"/>
            </w:pPr>
            <w:r>
              <w:t>External territories</w:t>
            </w:r>
          </w:p>
        </w:tc>
        <w:tc>
          <w:tcPr>
            <w:tcW w:w="1067" w:type="pct"/>
          </w:tcPr>
          <w:p w14:paraId="77D2AED0" w14:textId="77777777" w:rsidR="00247AD2" w:rsidRDefault="00247AD2" w:rsidP="001045FA">
            <w:pPr>
              <w:pStyle w:val="BodyText"/>
            </w:pPr>
            <w:r>
              <w:t>0</w:t>
            </w:r>
          </w:p>
        </w:tc>
        <w:tc>
          <w:tcPr>
            <w:tcW w:w="1067" w:type="pct"/>
          </w:tcPr>
          <w:p w14:paraId="68895D91" w14:textId="77777777" w:rsidR="00247AD2" w:rsidRDefault="00247AD2" w:rsidP="001045FA">
            <w:pPr>
              <w:pStyle w:val="BodyText"/>
            </w:pPr>
            <w:r>
              <w:t>0</w:t>
            </w:r>
          </w:p>
        </w:tc>
        <w:tc>
          <w:tcPr>
            <w:tcW w:w="1067" w:type="pct"/>
          </w:tcPr>
          <w:p w14:paraId="78D77530" w14:textId="77777777" w:rsidR="00247AD2" w:rsidRDefault="00247AD2" w:rsidP="001045FA">
            <w:pPr>
              <w:pStyle w:val="BodyText"/>
            </w:pPr>
            <w:r>
              <w:rPr>
                <w:rStyle w:val="Bold"/>
              </w:rPr>
              <w:t>0</w:t>
            </w:r>
          </w:p>
        </w:tc>
      </w:tr>
      <w:tr w:rsidR="00247AD2" w14:paraId="389599E3" w14:textId="77777777" w:rsidTr="006A0585">
        <w:trPr>
          <w:trHeight w:val="396"/>
        </w:trPr>
        <w:tc>
          <w:tcPr>
            <w:tcW w:w="1799" w:type="pct"/>
          </w:tcPr>
          <w:p w14:paraId="2F5E231D" w14:textId="77777777" w:rsidR="00247AD2" w:rsidRDefault="00247AD2" w:rsidP="001045FA">
            <w:pPr>
              <w:pStyle w:val="BodyText"/>
            </w:pPr>
            <w:r>
              <w:t>Overseas</w:t>
            </w:r>
          </w:p>
        </w:tc>
        <w:tc>
          <w:tcPr>
            <w:tcW w:w="1067" w:type="pct"/>
          </w:tcPr>
          <w:p w14:paraId="4975EF12" w14:textId="77777777" w:rsidR="00247AD2" w:rsidRDefault="00247AD2" w:rsidP="001045FA">
            <w:pPr>
              <w:pStyle w:val="BodyText"/>
            </w:pPr>
            <w:r>
              <w:t>0</w:t>
            </w:r>
          </w:p>
        </w:tc>
        <w:tc>
          <w:tcPr>
            <w:tcW w:w="1067" w:type="pct"/>
          </w:tcPr>
          <w:p w14:paraId="4C614FB8" w14:textId="77777777" w:rsidR="00247AD2" w:rsidRDefault="00247AD2" w:rsidP="001045FA">
            <w:pPr>
              <w:pStyle w:val="BodyText"/>
            </w:pPr>
            <w:r>
              <w:t>0</w:t>
            </w:r>
          </w:p>
        </w:tc>
        <w:tc>
          <w:tcPr>
            <w:tcW w:w="1067" w:type="pct"/>
          </w:tcPr>
          <w:p w14:paraId="4C3C18F0" w14:textId="77777777" w:rsidR="00247AD2" w:rsidRDefault="00247AD2" w:rsidP="001045FA">
            <w:pPr>
              <w:pStyle w:val="BodyText"/>
            </w:pPr>
            <w:r>
              <w:rPr>
                <w:rStyle w:val="Bold"/>
              </w:rPr>
              <w:t>0</w:t>
            </w:r>
          </w:p>
        </w:tc>
      </w:tr>
      <w:tr w:rsidR="00247AD2" w14:paraId="1C12A262" w14:textId="77777777" w:rsidTr="006A0585">
        <w:trPr>
          <w:trHeight w:val="396"/>
        </w:trPr>
        <w:tc>
          <w:tcPr>
            <w:tcW w:w="1799" w:type="pct"/>
          </w:tcPr>
          <w:p w14:paraId="5E3D661D" w14:textId="77777777" w:rsidR="00247AD2" w:rsidRDefault="00247AD2" w:rsidP="001045FA">
            <w:pPr>
              <w:pStyle w:val="BodyText"/>
            </w:pPr>
            <w:r>
              <w:rPr>
                <w:rStyle w:val="Bold"/>
              </w:rPr>
              <w:t>Total</w:t>
            </w:r>
          </w:p>
        </w:tc>
        <w:tc>
          <w:tcPr>
            <w:tcW w:w="1067" w:type="pct"/>
          </w:tcPr>
          <w:p w14:paraId="74835FC4" w14:textId="77777777" w:rsidR="00247AD2" w:rsidRDefault="00247AD2" w:rsidP="001045FA">
            <w:pPr>
              <w:pStyle w:val="BodyText"/>
            </w:pPr>
            <w:r>
              <w:rPr>
                <w:rStyle w:val="Bold"/>
              </w:rPr>
              <w:t>32,737</w:t>
            </w:r>
          </w:p>
        </w:tc>
        <w:tc>
          <w:tcPr>
            <w:tcW w:w="1067" w:type="pct"/>
          </w:tcPr>
          <w:p w14:paraId="6EFDDE5B" w14:textId="77777777" w:rsidR="00247AD2" w:rsidRDefault="00247AD2" w:rsidP="001045FA">
            <w:pPr>
              <w:pStyle w:val="BodyText"/>
            </w:pPr>
            <w:r>
              <w:rPr>
                <w:rStyle w:val="Bold"/>
              </w:rPr>
              <w:t>817</w:t>
            </w:r>
          </w:p>
        </w:tc>
        <w:tc>
          <w:tcPr>
            <w:tcW w:w="1067" w:type="pct"/>
          </w:tcPr>
          <w:p w14:paraId="1C484884" w14:textId="77777777" w:rsidR="00247AD2" w:rsidRDefault="00247AD2" w:rsidP="001045FA">
            <w:pPr>
              <w:pStyle w:val="BodyText"/>
            </w:pPr>
            <w:r>
              <w:rPr>
                <w:rStyle w:val="Bold"/>
              </w:rPr>
              <w:t>33,554</w:t>
            </w:r>
          </w:p>
        </w:tc>
      </w:tr>
    </w:tbl>
    <w:p w14:paraId="305749C6" w14:textId="69B81F0A" w:rsidR="00247AD2" w:rsidRDefault="001D2CCD" w:rsidP="001D2CCD">
      <w:pPr>
        <w:pStyle w:val="ProductCode"/>
      </w:pPr>
      <w:r w:rsidRPr="001D2CCD">
        <w:t>(a</w:t>
      </w:r>
      <w:r>
        <w:t xml:space="preserve">) </w:t>
      </w:r>
      <w:r w:rsidR="00247AD2">
        <w:t>Non-ongoing employees includes irregular/intermittent staff.</w:t>
      </w:r>
    </w:p>
    <w:p w14:paraId="1FB5F9EA" w14:textId="77777777" w:rsidR="00247AD2" w:rsidRDefault="00247AD2" w:rsidP="00247AD2">
      <w:pPr>
        <w:pStyle w:val="Heading3"/>
      </w:pPr>
      <w:r>
        <w:lastRenderedPageBreak/>
        <w:t>PGPA Rule section 17AG(4)(b)(vi) Indigenous employment</w:t>
      </w:r>
    </w:p>
    <w:p w14:paraId="23413657" w14:textId="5BF14149" w:rsidR="00247AD2" w:rsidRPr="00943E49" w:rsidRDefault="00943E49" w:rsidP="00943E49">
      <w:pPr>
        <w:pStyle w:val="BodyText"/>
        <w:rPr>
          <w:b/>
          <w:bCs/>
        </w:rPr>
      </w:pPr>
      <w:r w:rsidRPr="00943E49">
        <w:rPr>
          <w:b/>
          <w:bCs/>
        </w:rPr>
        <w:t>Table 74:</w:t>
      </w:r>
      <w:r w:rsidR="00247AD2" w:rsidRPr="00943E49">
        <w:rPr>
          <w:b/>
          <w:bCs/>
        </w:rPr>
        <w:t xml:space="preserve"> Australian Public Service Act employees by Indigenous employment 2024–25 (as at 30 June 2025)</w:t>
      </w:r>
    </w:p>
    <w:tbl>
      <w:tblPr>
        <w:tblStyle w:val="TableGrid"/>
        <w:tblW w:w="5000" w:type="pct"/>
        <w:tblLook w:val="04A0" w:firstRow="1" w:lastRow="0" w:firstColumn="1" w:lastColumn="0" w:noHBand="0" w:noVBand="1"/>
        <w:tblCaption w:val="Australian Public Service Act employees by Indigenous employment 2024–25 (as at 30 June 2025)"/>
      </w:tblPr>
      <w:tblGrid>
        <w:gridCol w:w="5590"/>
        <w:gridCol w:w="5506"/>
      </w:tblGrid>
      <w:tr w:rsidR="00247AD2" w14:paraId="1DD1CB70" w14:textId="77777777" w:rsidTr="001045FA">
        <w:trPr>
          <w:trHeight w:val="396"/>
          <w:tblHeader/>
        </w:trPr>
        <w:tc>
          <w:tcPr>
            <w:tcW w:w="2519" w:type="pct"/>
          </w:tcPr>
          <w:p w14:paraId="6371DBD3" w14:textId="77777777" w:rsidR="00247AD2" w:rsidRDefault="00247AD2" w:rsidP="001045FA">
            <w:pPr>
              <w:pStyle w:val="BodyText"/>
            </w:pPr>
          </w:p>
        </w:tc>
        <w:tc>
          <w:tcPr>
            <w:tcW w:w="2481" w:type="pct"/>
          </w:tcPr>
          <w:p w14:paraId="220B1282" w14:textId="77777777" w:rsidR="00247AD2" w:rsidRPr="00891C1C" w:rsidRDefault="00247AD2" w:rsidP="001045FA">
            <w:pPr>
              <w:pStyle w:val="BodyText"/>
              <w:rPr>
                <w:b/>
                <w:bCs/>
              </w:rPr>
            </w:pPr>
            <w:r w:rsidRPr="00891C1C">
              <w:rPr>
                <w:b/>
                <w:bCs/>
              </w:rPr>
              <w:t>2024–25</w:t>
            </w:r>
          </w:p>
        </w:tc>
      </w:tr>
      <w:tr w:rsidR="00247AD2" w14:paraId="2874C9CF" w14:textId="77777777" w:rsidTr="006A0585">
        <w:trPr>
          <w:trHeight w:val="396"/>
        </w:trPr>
        <w:tc>
          <w:tcPr>
            <w:tcW w:w="2519" w:type="pct"/>
          </w:tcPr>
          <w:p w14:paraId="147642BC" w14:textId="77777777" w:rsidR="00247AD2" w:rsidRDefault="00247AD2" w:rsidP="001045FA">
            <w:pPr>
              <w:pStyle w:val="BodyText"/>
            </w:pPr>
            <w:r>
              <w:t>Ongoing</w:t>
            </w:r>
          </w:p>
        </w:tc>
        <w:tc>
          <w:tcPr>
            <w:tcW w:w="2481" w:type="pct"/>
          </w:tcPr>
          <w:p w14:paraId="17EADEDF" w14:textId="77777777" w:rsidR="00247AD2" w:rsidRDefault="00247AD2" w:rsidP="001045FA">
            <w:pPr>
              <w:pStyle w:val="BodyText"/>
            </w:pPr>
            <w:r>
              <w:t>1,878</w:t>
            </w:r>
          </w:p>
        </w:tc>
      </w:tr>
      <w:tr w:rsidR="00247AD2" w14:paraId="1327F871" w14:textId="77777777" w:rsidTr="006A0585">
        <w:trPr>
          <w:trHeight w:val="396"/>
        </w:trPr>
        <w:tc>
          <w:tcPr>
            <w:tcW w:w="2519" w:type="pct"/>
          </w:tcPr>
          <w:p w14:paraId="236ED7E7" w14:textId="77777777" w:rsidR="00247AD2" w:rsidRDefault="00247AD2" w:rsidP="001045FA">
            <w:pPr>
              <w:pStyle w:val="BodyText"/>
            </w:pPr>
            <w:r>
              <w:t>Non-ongoing</w:t>
            </w:r>
            <w:r>
              <w:rPr>
                <w:vertAlign w:val="superscript"/>
              </w:rPr>
              <w:t>(a)</w:t>
            </w:r>
          </w:p>
        </w:tc>
        <w:tc>
          <w:tcPr>
            <w:tcW w:w="2481" w:type="pct"/>
          </w:tcPr>
          <w:p w14:paraId="6E5D7A41" w14:textId="77777777" w:rsidR="00247AD2" w:rsidRDefault="00247AD2" w:rsidP="001045FA">
            <w:pPr>
              <w:pStyle w:val="BodyText"/>
            </w:pPr>
            <w:r>
              <w:t>20</w:t>
            </w:r>
          </w:p>
        </w:tc>
      </w:tr>
      <w:tr w:rsidR="00247AD2" w14:paraId="40D87D76" w14:textId="77777777" w:rsidTr="006A0585">
        <w:trPr>
          <w:trHeight w:val="396"/>
        </w:trPr>
        <w:tc>
          <w:tcPr>
            <w:tcW w:w="2519" w:type="pct"/>
          </w:tcPr>
          <w:p w14:paraId="7F72BF05" w14:textId="77777777" w:rsidR="00247AD2" w:rsidRDefault="00247AD2" w:rsidP="001045FA">
            <w:pPr>
              <w:pStyle w:val="BodyText"/>
            </w:pPr>
            <w:r>
              <w:rPr>
                <w:rStyle w:val="Bold"/>
              </w:rPr>
              <w:t>Total</w:t>
            </w:r>
          </w:p>
        </w:tc>
        <w:tc>
          <w:tcPr>
            <w:tcW w:w="2481" w:type="pct"/>
          </w:tcPr>
          <w:p w14:paraId="701716F4" w14:textId="77777777" w:rsidR="00247AD2" w:rsidRDefault="00247AD2" w:rsidP="001045FA">
            <w:pPr>
              <w:pStyle w:val="BodyText"/>
            </w:pPr>
            <w:r>
              <w:rPr>
                <w:rStyle w:val="Bold"/>
              </w:rPr>
              <w:t>1,898</w:t>
            </w:r>
          </w:p>
        </w:tc>
      </w:tr>
    </w:tbl>
    <w:p w14:paraId="7CAD15B3" w14:textId="10556F98" w:rsidR="00247AD2" w:rsidRDefault="00943E49" w:rsidP="00943E49">
      <w:pPr>
        <w:pStyle w:val="ProductCode"/>
      </w:pPr>
      <w:r w:rsidRPr="00943E49">
        <w:t>(a</w:t>
      </w:r>
      <w:r>
        <w:t xml:space="preserve">) </w:t>
      </w:r>
      <w:r w:rsidR="00247AD2">
        <w:t>Non-ongoing employees includes irregular/intermittent staff.</w:t>
      </w:r>
    </w:p>
    <w:p w14:paraId="172680AC" w14:textId="2C475F88" w:rsidR="00247AD2" w:rsidRPr="00943E49" w:rsidRDefault="00943E49" w:rsidP="00943E49">
      <w:pPr>
        <w:pStyle w:val="BodyText"/>
        <w:rPr>
          <w:b/>
          <w:bCs/>
        </w:rPr>
      </w:pPr>
      <w:r w:rsidRPr="00943E49">
        <w:rPr>
          <w:b/>
          <w:bCs/>
        </w:rPr>
        <w:t>Table 75:</w:t>
      </w:r>
      <w:r w:rsidR="00247AD2" w:rsidRPr="00943E49">
        <w:rPr>
          <w:b/>
          <w:bCs/>
        </w:rPr>
        <w:t xml:space="preserve"> Australian Public Service Act employees by Indigenous employment 2023–24 (as at 30 June 2024)</w:t>
      </w:r>
    </w:p>
    <w:tbl>
      <w:tblPr>
        <w:tblStyle w:val="TableGrid"/>
        <w:tblW w:w="5000" w:type="pct"/>
        <w:tblLook w:val="04A0" w:firstRow="1" w:lastRow="0" w:firstColumn="1" w:lastColumn="0" w:noHBand="0" w:noVBand="1"/>
        <w:tblCaption w:val="Australian Public Service Act employees by Indigenous employment 2023–24 (as at 30 June 2024)"/>
      </w:tblPr>
      <w:tblGrid>
        <w:gridCol w:w="5590"/>
        <w:gridCol w:w="5506"/>
      </w:tblGrid>
      <w:tr w:rsidR="00247AD2" w14:paraId="771F044D" w14:textId="77777777" w:rsidTr="001045FA">
        <w:trPr>
          <w:trHeight w:val="396"/>
          <w:tblHeader/>
        </w:trPr>
        <w:tc>
          <w:tcPr>
            <w:tcW w:w="2519" w:type="pct"/>
          </w:tcPr>
          <w:p w14:paraId="3B22F7B6" w14:textId="77777777" w:rsidR="00247AD2" w:rsidRDefault="00247AD2" w:rsidP="001045FA">
            <w:pPr>
              <w:pStyle w:val="BodyText"/>
            </w:pPr>
          </w:p>
        </w:tc>
        <w:tc>
          <w:tcPr>
            <w:tcW w:w="2481" w:type="pct"/>
          </w:tcPr>
          <w:p w14:paraId="4785E7EB" w14:textId="77777777" w:rsidR="00247AD2" w:rsidRPr="00891C1C" w:rsidRDefault="00247AD2" w:rsidP="001045FA">
            <w:pPr>
              <w:pStyle w:val="BodyText"/>
              <w:rPr>
                <w:b/>
                <w:bCs/>
              </w:rPr>
            </w:pPr>
            <w:r w:rsidRPr="00891C1C">
              <w:rPr>
                <w:b/>
                <w:bCs/>
              </w:rPr>
              <w:t>2023–24</w:t>
            </w:r>
          </w:p>
        </w:tc>
      </w:tr>
      <w:tr w:rsidR="00247AD2" w14:paraId="2B8BEE5F" w14:textId="77777777" w:rsidTr="006A0585">
        <w:trPr>
          <w:trHeight w:val="396"/>
        </w:trPr>
        <w:tc>
          <w:tcPr>
            <w:tcW w:w="2519" w:type="pct"/>
          </w:tcPr>
          <w:p w14:paraId="7BF4E752" w14:textId="77777777" w:rsidR="00247AD2" w:rsidRDefault="00247AD2" w:rsidP="001045FA">
            <w:pPr>
              <w:pStyle w:val="BodyText"/>
            </w:pPr>
            <w:r>
              <w:t>Ongoing</w:t>
            </w:r>
          </w:p>
        </w:tc>
        <w:tc>
          <w:tcPr>
            <w:tcW w:w="2481" w:type="pct"/>
          </w:tcPr>
          <w:p w14:paraId="7D5B1D9C" w14:textId="77777777" w:rsidR="00247AD2" w:rsidRDefault="00247AD2" w:rsidP="001045FA">
            <w:pPr>
              <w:pStyle w:val="BodyText"/>
            </w:pPr>
            <w:r>
              <w:t>1,823</w:t>
            </w:r>
          </w:p>
        </w:tc>
      </w:tr>
      <w:tr w:rsidR="00247AD2" w14:paraId="76690307" w14:textId="77777777" w:rsidTr="006A0585">
        <w:trPr>
          <w:trHeight w:val="396"/>
        </w:trPr>
        <w:tc>
          <w:tcPr>
            <w:tcW w:w="2519" w:type="pct"/>
          </w:tcPr>
          <w:p w14:paraId="3244805D" w14:textId="77777777" w:rsidR="00247AD2" w:rsidRDefault="00247AD2" w:rsidP="001045FA">
            <w:pPr>
              <w:pStyle w:val="BodyText"/>
            </w:pPr>
            <w:r>
              <w:t>Non-ongoing</w:t>
            </w:r>
            <w:r>
              <w:rPr>
                <w:vertAlign w:val="superscript"/>
              </w:rPr>
              <w:t>(a)</w:t>
            </w:r>
          </w:p>
        </w:tc>
        <w:tc>
          <w:tcPr>
            <w:tcW w:w="2481" w:type="pct"/>
          </w:tcPr>
          <w:p w14:paraId="08FD3F10" w14:textId="77777777" w:rsidR="00247AD2" w:rsidRDefault="00247AD2" w:rsidP="001045FA">
            <w:pPr>
              <w:pStyle w:val="BodyText"/>
            </w:pPr>
            <w:r>
              <w:t>19</w:t>
            </w:r>
          </w:p>
        </w:tc>
      </w:tr>
      <w:tr w:rsidR="00247AD2" w14:paraId="3D262B4C" w14:textId="77777777" w:rsidTr="006A0585">
        <w:trPr>
          <w:trHeight w:val="396"/>
        </w:trPr>
        <w:tc>
          <w:tcPr>
            <w:tcW w:w="2519" w:type="pct"/>
          </w:tcPr>
          <w:p w14:paraId="35A628EB" w14:textId="77777777" w:rsidR="00247AD2" w:rsidRDefault="00247AD2" w:rsidP="001045FA">
            <w:pPr>
              <w:pStyle w:val="BodyText"/>
            </w:pPr>
            <w:r>
              <w:rPr>
                <w:rStyle w:val="Bold"/>
              </w:rPr>
              <w:t>Total</w:t>
            </w:r>
          </w:p>
        </w:tc>
        <w:tc>
          <w:tcPr>
            <w:tcW w:w="2481" w:type="pct"/>
          </w:tcPr>
          <w:p w14:paraId="427C7F23" w14:textId="77777777" w:rsidR="00247AD2" w:rsidRDefault="00247AD2" w:rsidP="001045FA">
            <w:pPr>
              <w:pStyle w:val="BodyText"/>
            </w:pPr>
            <w:r>
              <w:rPr>
                <w:rStyle w:val="Bold"/>
              </w:rPr>
              <w:t>1,842</w:t>
            </w:r>
          </w:p>
        </w:tc>
      </w:tr>
    </w:tbl>
    <w:p w14:paraId="4E136317" w14:textId="4FA1CDC2" w:rsidR="00247AD2" w:rsidRDefault="00943E49" w:rsidP="00943E49">
      <w:pPr>
        <w:pStyle w:val="ProductCode"/>
      </w:pPr>
      <w:r w:rsidRPr="00943E49">
        <w:t>(a</w:t>
      </w:r>
      <w:r>
        <w:t xml:space="preserve">) </w:t>
      </w:r>
      <w:r w:rsidR="00247AD2">
        <w:t>Non-ongoing employees includes irregular/intermittent staff.</w:t>
      </w:r>
    </w:p>
    <w:p w14:paraId="58CD595F" w14:textId="77777777" w:rsidR="00247AD2" w:rsidRDefault="00247AD2" w:rsidP="00247AD2">
      <w:pPr>
        <w:pStyle w:val="Heading3"/>
      </w:pPr>
      <w:r>
        <w:t>PGPA Rule section 17AG(4)(c)(i) employment arrangements of SES and non-SES employees</w:t>
      </w:r>
    </w:p>
    <w:p w14:paraId="58EA808E" w14:textId="68085820" w:rsidR="00247AD2" w:rsidRPr="00E53A80" w:rsidRDefault="00E53A80" w:rsidP="00E53A80">
      <w:pPr>
        <w:pStyle w:val="BodyText"/>
        <w:rPr>
          <w:b/>
          <w:bCs/>
        </w:rPr>
      </w:pPr>
      <w:r w:rsidRPr="00E53A80">
        <w:rPr>
          <w:b/>
          <w:bCs/>
        </w:rPr>
        <w:t>Table 76:</w:t>
      </w:r>
      <w:r w:rsidR="00247AD2" w:rsidRPr="00E53A80">
        <w:rPr>
          <w:b/>
          <w:bCs/>
        </w:rPr>
        <w:t xml:space="preserve"> Australian Public Service Act employees by employment arrangements 2024–25 (as at 30 June 2025)</w:t>
      </w:r>
    </w:p>
    <w:tbl>
      <w:tblPr>
        <w:tblStyle w:val="TableGrid"/>
        <w:tblW w:w="5000" w:type="pct"/>
        <w:tblLook w:val="04A0" w:firstRow="1" w:lastRow="0" w:firstColumn="1" w:lastColumn="0" w:noHBand="0" w:noVBand="1"/>
        <w:tblCaption w:val="Australian Public Service Act employees by employment arrangements 2024–25 (as at 30 June 2025)"/>
      </w:tblPr>
      <w:tblGrid>
        <w:gridCol w:w="4743"/>
        <w:gridCol w:w="2117"/>
        <w:gridCol w:w="2117"/>
        <w:gridCol w:w="2119"/>
      </w:tblGrid>
      <w:tr w:rsidR="00247AD2" w14:paraId="2F7245B8" w14:textId="77777777" w:rsidTr="001045FA">
        <w:trPr>
          <w:trHeight w:val="396"/>
          <w:tblHeader/>
        </w:trPr>
        <w:tc>
          <w:tcPr>
            <w:tcW w:w="2137" w:type="pct"/>
          </w:tcPr>
          <w:p w14:paraId="3752A8C5" w14:textId="77777777" w:rsidR="00247AD2" w:rsidRDefault="00247AD2" w:rsidP="001045FA">
            <w:pPr>
              <w:pStyle w:val="BodyText"/>
            </w:pPr>
          </w:p>
        </w:tc>
        <w:tc>
          <w:tcPr>
            <w:tcW w:w="954" w:type="pct"/>
          </w:tcPr>
          <w:p w14:paraId="79215798" w14:textId="77777777" w:rsidR="00247AD2" w:rsidRPr="00891C1C" w:rsidRDefault="00247AD2" w:rsidP="001045FA">
            <w:pPr>
              <w:pStyle w:val="BodyText"/>
              <w:rPr>
                <w:b/>
                <w:bCs/>
              </w:rPr>
            </w:pPr>
            <w:r w:rsidRPr="00891C1C">
              <w:rPr>
                <w:b/>
                <w:bCs/>
              </w:rPr>
              <w:t>SES</w:t>
            </w:r>
          </w:p>
        </w:tc>
        <w:tc>
          <w:tcPr>
            <w:tcW w:w="954" w:type="pct"/>
          </w:tcPr>
          <w:p w14:paraId="0F2A4DBF" w14:textId="77777777" w:rsidR="00247AD2" w:rsidRPr="00891C1C" w:rsidRDefault="00247AD2" w:rsidP="001045FA">
            <w:pPr>
              <w:pStyle w:val="BodyText"/>
              <w:rPr>
                <w:b/>
                <w:bCs/>
              </w:rPr>
            </w:pPr>
            <w:r w:rsidRPr="00891C1C">
              <w:rPr>
                <w:b/>
                <w:bCs/>
              </w:rPr>
              <w:t>Non-SES</w:t>
            </w:r>
          </w:p>
        </w:tc>
        <w:tc>
          <w:tcPr>
            <w:tcW w:w="955" w:type="pct"/>
          </w:tcPr>
          <w:p w14:paraId="64F53EAC" w14:textId="77777777" w:rsidR="00247AD2" w:rsidRPr="00891C1C" w:rsidRDefault="00247AD2" w:rsidP="001045FA">
            <w:pPr>
              <w:pStyle w:val="BodyText"/>
              <w:rPr>
                <w:b/>
                <w:bCs/>
              </w:rPr>
            </w:pPr>
            <w:r w:rsidRPr="00891C1C">
              <w:rPr>
                <w:b/>
                <w:bCs/>
              </w:rPr>
              <w:t>Total</w:t>
            </w:r>
          </w:p>
        </w:tc>
      </w:tr>
      <w:tr w:rsidR="00247AD2" w14:paraId="3CF7E5A5" w14:textId="77777777" w:rsidTr="006A0585">
        <w:trPr>
          <w:trHeight w:val="396"/>
        </w:trPr>
        <w:tc>
          <w:tcPr>
            <w:tcW w:w="2137" w:type="pct"/>
          </w:tcPr>
          <w:p w14:paraId="4DE979A3" w14:textId="77777777" w:rsidR="00247AD2" w:rsidRDefault="00247AD2" w:rsidP="001045FA">
            <w:pPr>
              <w:pStyle w:val="BodyText"/>
            </w:pPr>
            <w:r>
              <w:t xml:space="preserve">Section 24(1) of the </w:t>
            </w:r>
            <w:r>
              <w:rPr>
                <w:rStyle w:val="Italic"/>
              </w:rPr>
              <w:t>Public Service Act 1999</w:t>
            </w:r>
          </w:p>
        </w:tc>
        <w:tc>
          <w:tcPr>
            <w:tcW w:w="954" w:type="pct"/>
          </w:tcPr>
          <w:p w14:paraId="10EC3B3C" w14:textId="77777777" w:rsidR="00247AD2" w:rsidRDefault="00247AD2" w:rsidP="001045FA">
            <w:pPr>
              <w:pStyle w:val="BodyText"/>
            </w:pPr>
            <w:r>
              <w:t>167</w:t>
            </w:r>
            <w:r>
              <w:rPr>
                <w:vertAlign w:val="superscript"/>
              </w:rPr>
              <w:t>(a)</w:t>
            </w:r>
          </w:p>
        </w:tc>
        <w:tc>
          <w:tcPr>
            <w:tcW w:w="954" w:type="pct"/>
          </w:tcPr>
          <w:p w14:paraId="51A9182E" w14:textId="77777777" w:rsidR="00247AD2" w:rsidRDefault="00247AD2" w:rsidP="001045FA">
            <w:pPr>
              <w:pStyle w:val="BodyText"/>
            </w:pPr>
            <w:r>
              <w:t>0</w:t>
            </w:r>
          </w:p>
        </w:tc>
        <w:tc>
          <w:tcPr>
            <w:tcW w:w="955" w:type="pct"/>
          </w:tcPr>
          <w:p w14:paraId="5F117D11" w14:textId="77777777" w:rsidR="00247AD2" w:rsidRDefault="00247AD2" w:rsidP="001045FA">
            <w:pPr>
              <w:pStyle w:val="BodyText"/>
            </w:pPr>
            <w:r>
              <w:rPr>
                <w:rStyle w:val="Bold"/>
              </w:rPr>
              <w:t>167</w:t>
            </w:r>
          </w:p>
        </w:tc>
      </w:tr>
      <w:tr w:rsidR="00247AD2" w14:paraId="6C287973" w14:textId="77777777" w:rsidTr="006A0585">
        <w:trPr>
          <w:trHeight w:val="396"/>
        </w:trPr>
        <w:tc>
          <w:tcPr>
            <w:tcW w:w="2137" w:type="pct"/>
          </w:tcPr>
          <w:p w14:paraId="0D31B712" w14:textId="77777777" w:rsidR="00247AD2" w:rsidRDefault="00247AD2" w:rsidP="001045FA">
            <w:pPr>
              <w:pStyle w:val="BodyText"/>
            </w:pPr>
            <w:r>
              <w:t>Individual flexibility agreements</w:t>
            </w:r>
          </w:p>
        </w:tc>
        <w:tc>
          <w:tcPr>
            <w:tcW w:w="954" w:type="pct"/>
          </w:tcPr>
          <w:p w14:paraId="4748F5FF" w14:textId="77777777" w:rsidR="00247AD2" w:rsidRDefault="00247AD2" w:rsidP="001045FA">
            <w:pPr>
              <w:pStyle w:val="BodyText"/>
            </w:pPr>
            <w:r>
              <w:t>0</w:t>
            </w:r>
          </w:p>
        </w:tc>
        <w:tc>
          <w:tcPr>
            <w:tcW w:w="954" w:type="pct"/>
          </w:tcPr>
          <w:p w14:paraId="551203EA" w14:textId="77777777" w:rsidR="00247AD2" w:rsidRDefault="00247AD2" w:rsidP="001045FA">
            <w:pPr>
              <w:pStyle w:val="BodyText"/>
            </w:pPr>
            <w:r>
              <w:t>155</w:t>
            </w:r>
            <w:r>
              <w:rPr>
                <w:vertAlign w:val="superscript"/>
              </w:rPr>
              <w:t>(b)</w:t>
            </w:r>
          </w:p>
        </w:tc>
        <w:tc>
          <w:tcPr>
            <w:tcW w:w="955" w:type="pct"/>
          </w:tcPr>
          <w:p w14:paraId="2F2CFE67" w14:textId="77777777" w:rsidR="00247AD2" w:rsidRDefault="00247AD2" w:rsidP="001045FA">
            <w:pPr>
              <w:pStyle w:val="BodyText"/>
            </w:pPr>
            <w:r>
              <w:rPr>
                <w:rStyle w:val="Bold"/>
              </w:rPr>
              <w:t>155</w:t>
            </w:r>
          </w:p>
        </w:tc>
      </w:tr>
      <w:tr w:rsidR="00247AD2" w14:paraId="20074F89" w14:textId="77777777" w:rsidTr="006A0585">
        <w:trPr>
          <w:trHeight w:val="396"/>
        </w:trPr>
        <w:tc>
          <w:tcPr>
            <w:tcW w:w="2137" w:type="pct"/>
          </w:tcPr>
          <w:p w14:paraId="67C82E48" w14:textId="77777777" w:rsidR="00247AD2" w:rsidRDefault="00247AD2" w:rsidP="001045FA">
            <w:pPr>
              <w:pStyle w:val="BodyText"/>
            </w:pPr>
            <w:r>
              <w:t>Enterprise agreement</w:t>
            </w:r>
          </w:p>
        </w:tc>
        <w:tc>
          <w:tcPr>
            <w:tcW w:w="954" w:type="pct"/>
          </w:tcPr>
          <w:p w14:paraId="05A46397" w14:textId="77777777" w:rsidR="00247AD2" w:rsidRDefault="00247AD2" w:rsidP="001045FA">
            <w:pPr>
              <w:pStyle w:val="BodyText"/>
            </w:pPr>
            <w:r>
              <w:t>0</w:t>
            </w:r>
          </w:p>
        </w:tc>
        <w:tc>
          <w:tcPr>
            <w:tcW w:w="954" w:type="pct"/>
          </w:tcPr>
          <w:p w14:paraId="0E8D4CC2" w14:textId="77777777" w:rsidR="00247AD2" w:rsidRDefault="00247AD2" w:rsidP="001045FA">
            <w:pPr>
              <w:pStyle w:val="BodyText"/>
            </w:pPr>
            <w:r>
              <w:t>35,029</w:t>
            </w:r>
            <w:r>
              <w:rPr>
                <w:vertAlign w:val="superscript"/>
              </w:rPr>
              <w:t>(c)</w:t>
            </w:r>
          </w:p>
        </w:tc>
        <w:tc>
          <w:tcPr>
            <w:tcW w:w="955" w:type="pct"/>
          </w:tcPr>
          <w:p w14:paraId="5DC66B18" w14:textId="77777777" w:rsidR="00247AD2" w:rsidRDefault="00247AD2" w:rsidP="001045FA">
            <w:pPr>
              <w:pStyle w:val="BodyText"/>
            </w:pPr>
            <w:r>
              <w:rPr>
                <w:rStyle w:val="Bold"/>
              </w:rPr>
              <w:t xml:space="preserve">35,029 </w:t>
            </w:r>
          </w:p>
        </w:tc>
      </w:tr>
      <w:tr w:rsidR="00247AD2" w14:paraId="7F706BEA" w14:textId="77777777" w:rsidTr="006A0585">
        <w:trPr>
          <w:trHeight w:val="396"/>
        </w:trPr>
        <w:tc>
          <w:tcPr>
            <w:tcW w:w="2137" w:type="pct"/>
          </w:tcPr>
          <w:p w14:paraId="5383101D" w14:textId="77777777" w:rsidR="00247AD2" w:rsidRDefault="00247AD2" w:rsidP="001045FA">
            <w:pPr>
              <w:pStyle w:val="BodyText"/>
            </w:pPr>
            <w:r>
              <w:t>Common law contract</w:t>
            </w:r>
          </w:p>
        </w:tc>
        <w:tc>
          <w:tcPr>
            <w:tcW w:w="954" w:type="pct"/>
          </w:tcPr>
          <w:p w14:paraId="660DFE1A" w14:textId="77777777" w:rsidR="00247AD2" w:rsidRDefault="00247AD2" w:rsidP="001045FA">
            <w:pPr>
              <w:pStyle w:val="BodyText"/>
            </w:pPr>
            <w:r>
              <w:t>0</w:t>
            </w:r>
          </w:p>
        </w:tc>
        <w:tc>
          <w:tcPr>
            <w:tcW w:w="954" w:type="pct"/>
          </w:tcPr>
          <w:p w14:paraId="41DA15EB" w14:textId="77777777" w:rsidR="00247AD2" w:rsidRDefault="00247AD2" w:rsidP="001045FA">
            <w:pPr>
              <w:pStyle w:val="BodyText"/>
            </w:pPr>
            <w:r>
              <w:t>0</w:t>
            </w:r>
          </w:p>
        </w:tc>
        <w:tc>
          <w:tcPr>
            <w:tcW w:w="955" w:type="pct"/>
          </w:tcPr>
          <w:p w14:paraId="6687B67B" w14:textId="77777777" w:rsidR="00247AD2" w:rsidRDefault="00247AD2" w:rsidP="001045FA">
            <w:pPr>
              <w:pStyle w:val="BodyText"/>
            </w:pPr>
            <w:r>
              <w:rPr>
                <w:rStyle w:val="Bold"/>
              </w:rPr>
              <w:t>0</w:t>
            </w:r>
          </w:p>
        </w:tc>
      </w:tr>
      <w:tr w:rsidR="00247AD2" w14:paraId="7C24C430" w14:textId="77777777" w:rsidTr="006A0585">
        <w:trPr>
          <w:trHeight w:val="396"/>
        </w:trPr>
        <w:tc>
          <w:tcPr>
            <w:tcW w:w="2137" w:type="pct"/>
          </w:tcPr>
          <w:p w14:paraId="16E8EB0B" w14:textId="77777777" w:rsidR="00247AD2" w:rsidRDefault="00247AD2" w:rsidP="001045FA">
            <w:pPr>
              <w:pStyle w:val="BodyText"/>
            </w:pPr>
            <w:r>
              <w:rPr>
                <w:rStyle w:val="Bold"/>
              </w:rPr>
              <w:t xml:space="preserve">Total </w:t>
            </w:r>
          </w:p>
        </w:tc>
        <w:tc>
          <w:tcPr>
            <w:tcW w:w="954" w:type="pct"/>
          </w:tcPr>
          <w:p w14:paraId="008DC25E" w14:textId="77777777" w:rsidR="00247AD2" w:rsidRDefault="00247AD2" w:rsidP="001045FA">
            <w:pPr>
              <w:pStyle w:val="BodyText"/>
            </w:pPr>
            <w:r>
              <w:rPr>
                <w:rStyle w:val="Bold"/>
              </w:rPr>
              <w:t xml:space="preserve">167 </w:t>
            </w:r>
          </w:p>
        </w:tc>
        <w:tc>
          <w:tcPr>
            <w:tcW w:w="954" w:type="pct"/>
          </w:tcPr>
          <w:p w14:paraId="59663A8E" w14:textId="77777777" w:rsidR="00247AD2" w:rsidRDefault="00247AD2" w:rsidP="001045FA">
            <w:pPr>
              <w:pStyle w:val="BodyText"/>
            </w:pPr>
            <w:r>
              <w:rPr>
                <w:rStyle w:val="Bold"/>
              </w:rPr>
              <w:t>35,184</w:t>
            </w:r>
            <w:r>
              <w:rPr>
                <w:rStyle w:val="Bold"/>
                <w:vertAlign w:val="superscript"/>
              </w:rPr>
              <w:t xml:space="preserve">(c) </w:t>
            </w:r>
          </w:p>
        </w:tc>
        <w:tc>
          <w:tcPr>
            <w:tcW w:w="955" w:type="pct"/>
          </w:tcPr>
          <w:p w14:paraId="41E15272" w14:textId="77777777" w:rsidR="00247AD2" w:rsidRDefault="00247AD2" w:rsidP="001045FA">
            <w:pPr>
              <w:pStyle w:val="BodyText"/>
            </w:pPr>
            <w:r>
              <w:rPr>
                <w:rStyle w:val="Bold"/>
              </w:rPr>
              <w:t>35,351</w:t>
            </w:r>
            <w:r>
              <w:rPr>
                <w:rStyle w:val="Bold"/>
                <w:vertAlign w:val="superscript"/>
              </w:rPr>
              <w:t>(c)</w:t>
            </w:r>
            <w:r>
              <w:rPr>
                <w:rStyle w:val="Bold"/>
              </w:rPr>
              <w:t xml:space="preserve"> </w:t>
            </w:r>
          </w:p>
        </w:tc>
      </w:tr>
    </w:tbl>
    <w:p w14:paraId="4C1661F2" w14:textId="6CF6BF1D" w:rsidR="00247AD2" w:rsidRDefault="00247AD2" w:rsidP="001D2CCD">
      <w:pPr>
        <w:pStyle w:val="ProductCode"/>
      </w:pPr>
      <w:r>
        <w:t>(a)</w:t>
      </w:r>
      <w:r w:rsidR="00E53A80">
        <w:t xml:space="preserve"> </w:t>
      </w:r>
      <w:r>
        <w:t>Numbers include staff that are not included in the total nominal SES headcount. These additional SES have been included as they still have an active employment arrangement but are currently on a secondment.</w:t>
      </w:r>
    </w:p>
    <w:p w14:paraId="11B85F7A" w14:textId="3C78FC84" w:rsidR="00247AD2" w:rsidRDefault="00247AD2" w:rsidP="001D2CCD">
      <w:pPr>
        <w:pStyle w:val="ProductCode"/>
      </w:pPr>
      <w:r>
        <w:lastRenderedPageBreak/>
        <w:t>(b)</w:t>
      </w:r>
      <w:r w:rsidR="00E53A80">
        <w:t xml:space="preserve"> </w:t>
      </w:r>
      <w:r>
        <w:t>Individual Flexibility Agreements (IFAs) data includes IFAs that are temporarily ceased due to temporary higher duties allowance at another classification level.</w:t>
      </w:r>
    </w:p>
    <w:p w14:paraId="693387A3" w14:textId="1CBF4FE6" w:rsidR="00247AD2" w:rsidRDefault="00247AD2" w:rsidP="001D2CCD">
      <w:pPr>
        <w:pStyle w:val="ProductCode"/>
      </w:pPr>
      <w:r>
        <w:t>(c)</w:t>
      </w:r>
      <w:r w:rsidR="00E53A80">
        <w:t xml:space="preserve"> </w:t>
      </w:r>
      <w:r>
        <w:t>Numbers exclude nominal SES and Medical Officers but include employees on IFAs..</w:t>
      </w:r>
    </w:p>
    <w:p w14:paraId="5E888624" w14:textId="650E4B95" w:rsidR="00247AD2" w:rsidRPr="00E53A80" w:rsidRDefault="00E53A80" w:rsidP="00E53A80">
      <w:pPr>
        <w:pStyle w:val="BodyText"/>
        <w:rPr>
          <w:b/>
          <w:bCs/>
        </w:rPr>
      </w:pPr>
      <w:r w:rsidRPr="00E53A80">
        <w:rPr>
          <w:b/>
          <w:bCs/>
        </w:rPr>
        <w:t xml:space="preserve">Table 77: </w:t>
      </w:r>
      <w:r w:rsidR="00247AD2" w:rsidRPr="00E53A80">
        <w:rPr>
          <w:b/>
          <w:bCs/>
        </w:rPr>
        <w:t>Australian Public Service Act employees by employment arrangements 2023–24 (as at 30 June 2024)</w:t>
      </w:r>
    </w:p>
    <w:tbl>
      <w:tblPr>
        <w:tblStyle w:val="TableGrid"/>
        <w:tblW w:w="5000" w:type="pct"/>
        <w:tblLook w:val="04A0" w:firstRow="1" w:lastRow="0" w:firstColumn="1" w:lastColumn="0" w:noHBand="0" w:noVBand="1"/>
        <w:tblCaption w:val="Australian Public Service Act employees by employment arrangements 2023–24 (as at 30 June 2024)"/>
      </w:tblPr>
      <w:tblGrid>
        <w:gridCol w:w="4743"/>
        <w:gridCol w:w="2117"/>
        <w:gridCol w:w="2117"/>
        <w:gridCol w:w="2119"/>
      </w:tblGrid>
      <w:tr w:rsidR="00247AD2" w14:paraId="11251470" w14:textId="77777777" w:rsidTr="001045FA">
        <w:trPr>
          <w:trHeight w:val="396"/>
          <w:tblHeader/>
        </w:trPr>
        <w:tc>
          <w:tcPr>
            <w:tcW w:w="2137" w:type="pct"/>
          </w:tcPr>
          <w:p w14:paraId="368F0D96" w14:textId="77777777" w:rsidR="00247AD2" w:rsidRDefault="00247AD2" w:rsidP="001045FA">
            <w:pPr>
              <w:pStyle w:val="BodyText"/>
            </w:pPr>
          </w:p>
        </w:tc>
        <w:tc>
          <w:tcPr>
            <w:tcW w:w="954" w:type="pct"/>
          </w:tcPr>
          <w:p w14:paraId="29090CA9" w14:textId="77777777" w:rsidR="00247AD2" w:rsidRPr="00891C1C" w:rsidRDefault="00247AD2" w:rsidP="001045FA">
            <w:pPr>
              <w:pStyle w:val="BodyText"/>
              <w:rPr>
                <w:b/>
                <w:bCs/>
              </w:rPr>
            </w:pPr>
            <w:r w:rsidRPr="00891C1C">
              <w:rPr>
                <w:b/>
                <w:bCs/>
              </w:rPr>
              <w:t>SES</w:t>
            </w:r>
          </w:p>
        </w:tc>
        <w:tc>
          <w:tcPr>
            <w:tcW w:w="954" w:type="pct"/>
          </w:tcPr>
          <w:p w14:paraId="5B3768B7" w14:textId="77777777" w:rsidR="00247AD2" w:rsidRPr="00891C1C" w:rsidRDefault="00247AD2" w:rsidP="001045FA">
            <w:pPr>
              <w:pStyle w:val="BodyText"/>
              <w:rPr>
                <w:b/>
                <w:bCs/>
              </w:rPr>
            </w:pPr>
            <w:r w:rsidRPr="00891C1C">
              <w:rPr>
                <w:b/>
                <w:bCs/>
              </w:rPr>
              <w:t>Non-SES</w:t>
            </w:r>
          </w:p>
        </w:tc>
        <w:tc>
          <w:tcPr>
            <w:tcW w:w="955" w:type="pct"/>
          </w:tcPr>
          <w:p w14:paraId="77B90C98" w14:textId="77777777" w:rsidR="00247AD2" w:rsidRPr="00891C1C" w:rsidRDefault="00247AD2" w:rsidP="001045FA">
            <w:pPr>
              <w:pStyle w:val="BodyText"/>
              <w:rPr>
                <w:b/>
                <w:bCs/>
              </w:rPr>
            </w:pPr>
            <w:r w:rsidRPr="00891C1C">
              <w:rPr>
                <w:b/>
                <w:bCs/>
              </w:rPr>
              <w:t>Total</w:t>
            </w:r>
          </w:p>
        </w:tc>
      </w:tr>
      <w:tr w:rsidR="00247AD2" w14:paraId="78E5A211" w14:textId="77777777" w:rsidTr="006A0585">
        <w:trPr>
          <w:trHeight w:val="396"/>
        </w:trPr>
        <w:tc>
          <w:tcPr>
            <w:tcW w:w="2137" w:type="pct"/>
          </w:tcPr>
          <w:p w14:paraId="568DD1D8" w14:textId="77777777" w:rsidR="00247AD2" w:rsidRDefault="00247AD2" w:rsidP="001045FA">
            <w:pPr>
              <w:pStyle w:val="BodyText"/>
            </w:pPr>
            <w:r>
              <w:t xml:space="preserve">Section 24(1) of the </w:t>
            </w:r>
            <w:r>
              <w:rPr>
                <w:rStyle w:val="Italic"/>
              </w:rPr>
              <w:t>Public Service Act 1999</w:t>
            </w:r>
          </w:p>
        </w:tc>
        <w:tc>
          <w:tcPr>
            <w:tcW w:w="954" w:type="pct"/>
          </w:tcPr>
          <w:p w14:paraId="19B83E69" w14:textId="77777777" w:rsidR="00247AD2" w:rsidRDefault="00247AD2" w:rsidP="001045FA">
            <w:pPr>
              <w:pStyle w:val="BodyText"/>
            </w:pPr>
            <w:r>
              <w:t>166</w:t>
            </w:r>
            <w:r>
              <w:rPr>
                <w:vertAlign w:val="superscript"/>
              </w:rPr>
              <w:t>(a)</w:t>
            </w:r>
          </w:p>
        </w:tc>
        <w:tc>
          <w:tcPr>
            <w:tcW w:w="954" w:type="pct"/>
          </w:tcPr>
          <w:p w14:paraId="4C3F0E0C" w14:textId="77777777" w:rsidR="00247AD2" w:rsidRDefault="00247AD2" w:rsidP="001045FA">
            <w:pPr>
              <w:pStyle w:val="BodyText"/>
            </w:pPr>
            <w:r>
              <w:t>0</w:t>
            </w:r>
          </w:p>
        </w:tc>
        <w:tc>
          <w:tcPr>
            <w:tcW w:w="955" w:type="pct"/>
          </w:tcPr>
          <w:p w14:paraId="2A0ABC46" w14:textId="77777777" w:rsidR="00247AD2" w:rsidRDefault="00247AD2" w:rsidP="001045FA">
            <w:pPr>
              <w:pStyle w:val="BodyText"/>
            </w:pPr>
            <w:r>
              <w:rPr>
                <w:rStyle w:val="Bold"/>
              </w:rPr>
              <w:t>166</w:t>
            </w:r>
          </w:p>
        </w:tc>
      </w:tr>
      <w:tr w:rsidR="00247AD2" w14:paraId="6BF539C9" w14:textId="77777777" w:rsidTr="006A0585">
        <w:trPr>
          <w:trHeight w:val="396"/>
        </w:trPr>
        <w:tc>
          <w:tcPr>
            <w:tcW w:w="2137" w:type="pct"/>
          </w:tcPr>
          <w:p w14:paraId="1C8761CF" w14:textId="77777777" w:rsidR="00247AD2" w:rsidRDefault="00247AD2" w:rsidP="001045FA">
            <w:pPr>
              <w:pStyle w:val="BodyText"/>
            </w:pPr>
            <w:r>
              <w:t>Individual flexibility agreements</w:t>
            </w:r>
          </w:p>
        </w:tc>
        <w:tc>
          <w:tcPr>
            <w:tcW w:w="954" w:type="pct"/>
          </w:tcPr>
          <w:p w14:paraId="10C010F4" w14:textId="77777777" w:rsidR="00247AD2" w:rsidRDefault="00247AD2" w:rsidP="001045FA">
            <w:pPr>
              <w:pStyle w:val="BodyText"/>
            </w:pPr>
            <w:r>
              <w:t>0</w:t>
            </w:r>
          </w:p>
        </w:tc>
        <w:tc>
          <w:tcPr>
            <w:tcW w:w="954" w:type="pct"/>
          </w:tcPr>
          <w:p w14:paraId="33571072" w14:textId="77777777" w:rsidR="00247AD2" w:rsidRDefault="00247AD2" w:rsidP="001045FA">
            <w:pPr>
              <w:pStyle w:val="BodyText"/>
            </w:pPr>
            <w:r>
              <w:t>104</w:t>
            </w:r>
            <w:r>
              <w:rPr>
                <w:vertAlign w:val="superscript"/>
              </w:rPr>
              <w:t>(b)</w:t>
            </w:r>
          </w:p>
        </w:tc>
        <w:tc>
          <w:tcPr>
            <w:tcW w:w="955" w:type="pct"/>
          </w:tcPr>
          <w:p w14:paraId="2E1EBAE9" w14:textId="77777777" w:rsidR="00247AD2" w:rsidRDefault="00247AD2" w:rsidP="001045FA">
            <w:pPr>
              <w:pStyle w:val="BodyText"/>
            </w:pPr>
            <w:r>
              <w:rPr>
                <w:rStyle w:val="Bold"/>
              </w:rPr>
              <w:t>104</w:t>
            </w:r>
          </w:p>
        </w:tc>
      </w:tr>
      <w:tr w:rsidR="00247AD2" w14:paraId="71964CD6" w14:textId="77777777" w:rsidTr="006A0585">
        <w:trPr>
          <w:trHeight w:val="396"/>
        </w:trPr>
        <w:tc>
          <w:tcPr>
            <w:tcW w:w="2137" w:type="pct"/>
          </w:tcPr>
          <w:p w14:paraId="39B6B640" w14:textId="77777777" w:rsidR="00247AD2" w:rsidRDefault="00247AD2" w:rsidP="001045FA">
            <w:pPr>
              <w:pStyle w:val="BodyText"/>
            </w:pPr>
            <w:r>
              <w:t>Enterprise agreement</w:t>
            </w:r>
          </w:p>
        </w:tc>
        <w:tc>
          <w:tcPr>
            <w:tcW w:w="954" w:type="pct"/>
          </w:tcPr>
          <w:p w14:paraId="317A942F" w14:textId="77777777" w:rsidR="00247AD2" w:rsidRDefault="00247AD2" w:rsidP="001045FA">
            <w:pPr>
              <w:pStyle w:val="BodyText"/>
            </w:pPr>
            <w:r>
              <w:t>0</w:t>
            </w:r>
          </w:p>
        </w:tc>
        <w:tc>
          <w:tcPr>
            <w:tcW w:w="954" w:type="pct"/>
          </w:tcPr>
          <w:p w14:paraId="4693AE3C" w14:textId="77777777" w:rsidR="00247AD2" w:rsidRDefault="00247AD2" w:rsidP="001045FA">
            <w:pPr>
              <w:pStyle w:val="BodyText"/>
            </w:pPr>
            <w:r>
              <w:t>33,382</w:t>
            </w:r>
            <w:r>
              <w:rPr>
                <w:vertAlign w:val="superscript"/>
              </w:rPr>
              <w:t>(c)</w:t>
            </w:r>
          </w:p>
        </w:tc>
        <w:tc>
          <w:tcPr>
            <w:tcW w:w="955" w:type="pct"/>
          </w:tcPr>
          <w:p w14:paraId="2A900180" w14:textId="77777777" w:rsidR="00247AD2" w:rsidRDefault="00247AD2" w:rsidP="001045FA">
            <w:pPr>
              <w:pStyle w:val="BodyText"/>
            </w:pPr>
            <w:r>
              <w:rPr>
                <w:rStyle w:val="Bold"/>
              </w:rPr>
              <w:t>33,382</w:t>
            </w:r>
          </w:p>
        </w:tc>
      </w:tr>
      <w:tr w:rsidR="00247AD2" w14:paraId="78D28FF4" w14:textId="77777777" w:rsidTr="006A0585">
        <w:trPr>
          <w:trHeight w:val="396"/>
        </w:trPr>
        <w:tc>
          <w:tcPr>
            <w:tcW w:w="2137" w:type="pct"/>
          </w:tcPr>
          <w:p w14:paraId="2E0E9691" w14:textId="77777777" w:rsidR="00247AD2" w:rsidRDefault="00247AD2" w:rsidP="001045FA">
            <w:pPr>
              <w:pStyle w:val="BodyText"/>
            </w:pPr>
            <w:r>
              <w:t>Common law contract</w:t>
            </w:r>
          </w:p>
        </w:tc>
        <w:tc>
          <w:tcPr>
            <w:tcW w:w="954" w:type="pct"/>
          </w:tcPr>
          <w:p w14:paraId="00B31704" w14:textId="77777777" w:rsidR="00247AD2" w:rsidRDefault="00247AD2" w:rsidP="001045FA">
            <w:pPr>
              <w:pStyle w:val="BodyText"/>
            </w:pPr>
            <w:r>
              <w:t>0</w:t>
            </w:r>
          </w:p>
        </w:tc>
        <w:tc>
          <w:tcPr>
            <w:tcW w:w="954" w:type="pct"/>
          </w:tcPr>
          <w:p w14:paraId="71869BDD" w14:textId="77777777" w:rsidR="00247AD2" w:rsidRDefault="00247AD2" w:rsidP="001045FA">
            <w:pPr>
              <w:pStyle w:val="BodyText"/>
            </w:pPr>
            <w:r>
              <w:t>0</w:t>
            </w:r>
          </w:p>
        </w:tc>
        <w:tc>
          <w:tcPr>
            <w:tcW w:w="955" w:type="pct"/>
          </w:tcPr>
          <w:p w14:paraId="54165BF4" w14:textId="77777777" w:rsidR="00247AD2" w:rsidRDefault="00247AD2" w:rsidP="001045FA">
            <w:pPr>
              <w:pStyle w:val="BodyText"/>
            </w:pPr>
            <w:r>
              <w:rPr>
                <w:rStyle w:val="Bold"/>
              </w:rPr>
              <w:t>0</w:t>
            </w:r>
          </w:p>
        </w:tc>
      </w:tr>
      <w:tr w:rsidR="00247AD2" w14:paraId="7475C836" w14:textId="77777777" w:rsidTr="006A0585">
        <w:trPr>
          <w:trHeight w:val="396"/>
        </w:trPr>
        <w:tc>
          <w:tcPr>
            <w:tcW w:w="2137" w:type="pct"/>
          </w:tcPr>
          <w:p w14:paraId="40E98E8F" w14:textId="77777777" w:rsidR="00247AD2" w:rsidRDefault="00247AD2" w:rsidP="001045FA">
            <w:pPr>
              <w:pStyle w:val="BodyText"/>
            </w:pPr>
            <w:r>
              <w:rPr>
                <w:rStyle w:val="Bold"/>
              </w:rPr>
              <w:t>Total</w:t>
            </w:r>
          </w:p>
        </w:tc>
        <w:tc>
          <w:tcPr>
            <w:tcW w:w="954" w:type="pct"/>
          </w:tcPr>
          <w:p w14:paraId="5B0ED4CC" w14:textId="77777777" w:rsidR="00247AD2" w:rsidRDefault="00247AD2" w:rsidP="001045FA">
            <w:pPr>
              <w:pStyle w:val="BodyText"/>
            </w:pPr>
            <w:r>
              <w:rPr>
                <w:rStyle w:val="Bold"/>
              </w:rPr>
              <w:t xml:space="preserve">166 </w:t>
            </w:r>
          </w:p>
        </w:tc>
        <w:tc>
          <w:tcPr>
            <w:tcW w:w="954" w:type="pct"/>
          </w:tcPr>
          <w:p w14:paraId="63066F92" w14:textId="77777777" w:rsidR="00247AD2" w:rsidRDefault="00247AD2" w:rsidP="001045FA">
            <w:pPr>
              <w:pStyle w:val="BodyText"/>
            </w:pPr>
            <w:r>
              <w:rPr>
                <w:rStyle w:val="Bold"/>
              </w:rPr>
              <w:t>33,486</w:t>
            </w:r>
            <w:r>
              <w:rPr>
                <w:rStyle w:val="Bold"/>
                <w:vertAlign w:val="superscript"/>
              </w:rPr>
              <w:t>(c)</w:t>
            </w:r>
          </w:p>
        </w:tc>
        <w:tc>
          <w:tcPr>
            <w:tcW w:w="955" w:type="pct"/>
          </w:tcPr>
          <w:p w14:paraId="08F32F99" w14:textId="77777777" w:rsidR="00247AD2" w:rsidRDefault="00247AD2" w:rsidP="001045FA">
            <w:pPr>
              <w:pStyle w:val="BodyText"/>
            </w:pPr>
            <w:r>
              <w:rPr>
                <w:rStyle w:val="Bold"/>
              </w:rPr>
              <w:t>33,652</w:t>
            </w:r>
            <w:r>
              <w:rPr>
                <w:rStyle w:val="Bold"/>
                <w:vertAlign w:val="superscript"/>
              </w:rPr>
              <w:t xml:space="preserve">(c) </w:t>
            </w:r>
          </w:p>
        </w:tc>
      </w:tr>
    </w:tbl>
    <w:p w14:paraId="2E5C4451" w14:textId="5DA03D65" w:rsidR="00247AD2" w:rsidRDefault="00247AD2" w:rsidP="001D2CCD">
      <w:pPr>
        <w:pStyle w:val="ProductCode"/>
      </w:pPr>
      <w:r>
        <w:t>(a)</w:t>
      </w:r>
      <w:r w:rsidR="00E53A80">
        <w:t xml:space="preserve"> </w:t>
      </w:r>
      <w:r>
        <w:t>Numbers include staff that are not included in the total nominal SES headcount. These additional SES have been included as they still have an active employment arrangement but are currently on a secondment.</w:t>
      </w:r>
    </w:p>
    <w:p w14:paraId="24B59E4F" w14:textId="6F0DFE42" w:rsidR="00247AD2" w:rsidRDefault="00247AD2" w:rsidP="001D2CCD">
      <w:pPr>
        <w:pStyle w:val="ProductCode"/>
      </w:pPr>
      <w:r>
        <w:t>(b)</w:t>
      </w:r>
      <w:r w:rsidR="00E53A80">
        <w:t xml:space="preserve"> </w:t>
      </w:r>
      <w:r>
        <w:t>IFAs data includes IFAs that are temporarily ceased due to temporary higher duties allowance at another classification level.</w:t>
      </w:r>
    </w:p>
    <w:p w14:paraId="66871018" w14:textId="4DE52A7B" w:rsidR="00247AD2" w:rsidRDefault="00247AD2" w:rsidP="001D2CCD">
      <w:pPr>
        <w:pStyle w:val="ProductCode"/>
      </w:pPr>
      <w:r>
        <w:t>(c)</w:t>
      </w:r>
      <w:r w:rsidR="00E53A80">
        <w:t xml:space="preserve"> N</w:t>
      </w:r>
      <w:r>
        <w:t>umbers exclude nominal SES and Medical Officers but include employees on IFAs.</w:t>
      </w:r>
    </w:p>
    <w:p w14:paraId="08D78EA2" w14:textId="77777777" w:rsidR="00247AD2" w:rsidRDefault="00247AD2" w:rsidP="00247AD2">
      <w:pPr>
        <w:pStyle w:val="Heading3"/>
      </w:pPr>
      <w:r>
        <w:t>PGPA Rule section 17AG(4)(c)(ii) salary ranges by classification level</w:t>
      </w:r>
    </w:p>
    <w:p w14:paraId="50878ADB" w14:textId="219B39EE" w:rsidR="00247AD2" w:rsidRPr="00E53A80" w:rsidRDefault="00E53A80" w:rsidP="00E53A80">
      <w:pPr>
        <w:pStyle w:val="BodyText"/>
        <w:rPr>
          <w:b/>
          <w:bCs/>
        </w:rPr>
      </w:pPr>
      <w:r w:rsidRPr="00E53A80">
        <w:rPr>
          <w:b/>
          <w:bCs/>
        </w:rPr>
        <w:t>Table 78:</w:t>
      </w:r>
      <w:r w:rsidR="00247AD2" w:rsidRPr="00E53A80">
        <w:rPr>
          <w:b/>
          <w:bCs/>
        </w:rPr>
        <w:t xml:space="preserve"> Australian Public Service Act employment salary ranges by classification level (minimum/maximum) 2024–25 (as at 30 June 2025)</w:t>
      </w:r>
    </w:p>
    <w:tbl>
      <w:tblPr>
        <w:tblStyle w:val="TableGrid"/>
        <w:tblW w:w="5000" w:type="pct"/>
        <w:tblLook w:val="04A0" w:firstRow="1" w:lastRow="0" w:firstColumn="1" w:lastColumn="0" w:noHBand="0" w:noVBand="1"/>
        <w:tblCaption w:val="Australian Public Service Act employment salary ranges by classification level (minimum/maximum) 2024–25 (as at 30 June 2025)"/>
      </w:tblPr>
      <w:tblGrid>
        <w:gridCol w:w="6839"/>
        <w:gridCol w:w="2233"/>
        <w:gridCol w:w="2024"/>
      </w:tblGrid>
      <w:tr w:rsidR="00247AD2" w14:paraId="010D952D" w14:textId="77777777" w:rsidTr="001045FA">
        <w:trPr>
          <w:trHeight w:val="340"/>
          <w:tblHeader/>
        </w:trPr>
        <w:tc>
          <w:tcPr>
            <w:tcW w:w="3082" w:type="pct"/>
          </w:tcPr>
          <w:p w14:paraId="7AE6E1A0" w14:textId="77777777" w:rsidR="00247AD2" w:rsidRDefault="00247AD2" w:rsidP="001045FA">
            <w:pPr>
              <w:pStyle w:val="BodyText"/>
            </w:pPr>
          </w:p>
        </w:tc>
        <w:tc>
          <w:tcPr>
            <w:tcW w:w="1006" w:type="pct"/>
          </w:tcPr>
          <w:p w14:paraId="066AB0D0" w14:textId="77777777" w:rsidR="00247AD2" w:rsidRPr="00891C1C" w:rsidRDefault="00247AD2" w:rsidP="001045FA">
            <w:pPr>
              <w:pStyle w:val="BodyText"/>
              <w:rPr>
                <w:b/>
                <w:bCs/>
                <w:vertAlign w:val="superscript"/>
              </w:rPr>
            </w:pPr>
            <w:r w:rsidRPr="00891C1C">
              <w:rPr>
                <w:b/>
                <w:bCs/>
              </w:rPr>
              <w:t>Minimum salary</w:t>
            </w:r>
            <w:r w:rsidRPr="00891C1C">
              <w:rPr>
                <w:b/>
                <w:bCs/>
                <w:vertAlign w:val="superscript"/>
              </w:rPr>
              <w:t>(a)</w:t>
            </w:r>
          </w:p>
          <w:p w14:paraId="460DCE70" w14:textId="77777777" w:rsidR="00247AD2" w:rsidRPr="00891C1C" w:rsidRDefault="00247AD2" w:rsidP="001045FA">
            <w:pPr>
              <w:pStyle w:val="BodyText"/>
              <w:rPr>
                <w:b/>
                <w:bCs/>
              </w:rPr>
            </w:pPr>
            <w:r w:rsidRPr="00891C1C">
              <w:rPr>
                <w:b/>
                <w:bCs/>
              </w:rPr>
              <w:t>$</w:t>
            </w:r>
          </w:p>
        </w:tc>
        <w:tc>
          <w:tcPr>
            <w:tcW w:w="912" w:type="pct"/>
          </w:tcPr>
          <w:p w14:paraId="1AB58558" w14:textId="77777777" w:rsidR="00247AD2" w:rsidRPr="00891C1C" w:rsidRDefault="00247AD2" w:rsidP="001045FA">
            <w:pPr>
              <w:pStyle w:val="BodyText"/>
              <w:rPr>
                <w:b/>
                <w:bCs/>
                <w:vertAlign w:val="superscript"/>
              </w:rPr>
            </w:pPr>
            <w:r w:rsidRPr="00891C1C">
              <w:rPr>
                <w:b/>
                <w:bCs/>
              </w:rPr>
              <w:t>Maximum salary</w:t>
            </w:r>
            <w:r w:rsidRPr="00891C1C">
              <w:rPr>
                <w:b/>
                <w:bCs/>
                <w:vertAlign w:val="superscript"/>
              </w:rPr>
              <w:t>(b)</w:t>
            </w:r>
          </w:p>
          <w:p w14:paraId="40C92E9A" w14:textId="77777777" w:rsidR="00247AD2" w:rsidRPr="00891C1C" w:rsidRDefault="00247AD2" w:rsidP="001045FA">
            <w:pPr>
              <w:pStyle w:val="BodyText"/>
              <w:rPr>
                <w:b/>
                <w:bCs/>
              </w:rPr>
            </w:pPr>
            <w:r w:rsidRPr="00891C1C">
              <w:rPr>
                <w:b/>
                <w:bCs/>
              </w:rPr>
              <w:t>$</w:t>
            </w:r>
          </w:p>
        </w:tc>
      </w:tr>
      <w:tr w:rsidR="00247AD2" w14:paraId="2431FD07" w14:textId="77777777" w:rsidTr="006A0585">
        <w:trPr>
          <w:trHeight w:val="340"/>
        </w:trPr>
        <w:tc>
          <w:tcPr>
            <w:tcW w:w="3082" w:type="pct"/>
          </w:tcPr>
          <w:p w14:paraId="0120A0EA" w14:textId="77777777" w:rsidR="00247AD2" w:rsidRDefault="00247AD2" w:rsidP="001045FA">
            <w:pPr>
              <w:pStyle w:val="BodyText"/>
            </w:pPr>
            <w:r>
              <w:t xml:space="preserve">SES3 </w:t>
            </w:r>
          </w:p>
        </w:tc>
        <w:tc>
          <w:tcPr>
            <w:tcW w:w="1006" w:type="pct"/>
          </w:tcPr>
          <w:p w14:paraId="5BC9E203" w14:textId="77777777" w:rsidR="00247AD2" w:rsidRDefault="00247AD2" w:rsidP="001045FA">
            <w:pPr>
              <w:pStyle w:val="BodyText"/>
            </w:pPr>
            <w:r>
              <w:t>390,081</w:t>
            </w:r>
          </w:p>
        </w:tc>
        <w:tc>
          <w:tcPr>
            <w:tcW w:w="912" w:type="pct"/>
          </w:tcPr>
          <w:p w14:paraId="6AF06A7C" w14:textId="77777777" w:rsidR="00247AD2" w:rsidRDefault="00247AD2" w:rsidP="001045FA">
            <w:pPr>
              <w:pStyle w:val="BodyText"/>
            </w:pPr>
            <w:r>
              <w:t>451,219</w:t>
            </w:r>
          </w:p>
        </w:tc>
      </w:tr>
      <w:tr w:rsidR="00247AD2" w14:paraId="4FF9E700" w14:textId="77777777" w:rsidTr="006A0585">
        <w:trPr>
          <w:trHeight w:val="340"/>
        </w:trPr>
        <w:tc>
          <w:tcPr>
            <w:tcW w:w="3082" w:type="pct"/>
          </w:tcPr>
          <w:p w14:paraId="2CC4B143" w14:textId="77777777" w:rsidR="00247AD2" w:rsidRDefault="00247AD2" w:rsidP="001045FA">
            <w:pPr>
              <w:pStyle w:val="BodyText"/>
            </w:pPr>
            <w:r>
              <w:t xml:space="preserve">SES2 </w:t>
            </w:r>
          </w:p>
        </w:tc>
        <w:tc>
          <w:tcPr>
            <w:tcW w:w="1006" w:type="pct"/>
          </w:tcPr>
          <w:p w14:paraId="10D12844" w14:textId="77777777" w:rsidR="00247AD2" w:rsidRDefault="00247AD2" w:rsidP="001045FA">
            <w:pPr>
              <w:pStyle w:val="BodyText"/>
            </w:pPr>
            <w:r>
              <w:t>284,205</w:t>
            </w:r>
          </w:p>
        </w:tc>
        <w:tc>
          <w:tcPr>
            <w:tcW w:w="912" w:type="pct"/>
          </w:tcPr>
          <w:p w14:paraId="430272C6" w14:textId="77777777" w:rsidR="00247AD2" w:rsidRDefault="00247AD2" w:rsidP="001045FA">
            <w:pPr>
              <w:pStyle w:val="BodyText"/>
            </w:pPr>
            <w:r>
              <w:t>343,059</w:t>
            </w:r>
          </w:p>
        </w:tc>
      </w:tr>
      <w:tr w:rsidR="00247AD2" w14:paraId="4676E36F" w14:textId="77777777" w:rsidTr="006A0585">
        <w:trPr>
          <w:trHeight w:val="340"/>
        </w:trPr>
        <w:tc>
          <w:tcPr>
            <w:tcW w:w="3082" w:type="pct"/>
          </w:tcPr>
          <w:p w14:paraId="411FD95F" w14:textId="77777777" w:rsidR="00247AD2" w:rsidRDefault="00247AD2" w:rsidP="001045FA">
            <w:pPr>
              <w:pStyle w:val="BodyText"/>
            </w:pPr>
            <w:r>
              <w:t>SES1</w:t>
            </w:r>
          </w:p>
        </w:tc>
        <w:tc>
          <w:tcPr>
            <w:tcW w:w="1006" w:type="pct"/>
          </w:tcPr>
          <w:p w14:paraId="7DE2DA57" w14:textId="77777777" w:rsidR="00247AD2" w:rsidRDefault="00247AD2" w:rsidP="001045FA">
            <w:pPr>
              <w:pStyle w:val="BodyText"/>
            </w:pPr>
            <w:r>
              <w:t>218,499</w:t>
            </w:r>
          </w:p>
        </w:tc>
        <w:tc>
          <w:tcPr>
            <w:tcW w:w="912" w:type="pct"/>
          </w:tcPr>
          <w:p w14:paraId="02DF2ABA" w14:textId="77777777" w:rsidR="00247AD2" w:rsidRDefault="00247AD2" w:rsidP="001045FA">
            <w:pPr>
              <w:pStyle w:val="BodyText"/>
            </w:pPr>
            <w:r>
              <w:t>273,202</w:t>
            </w:r>
          </w:p>
        </w:tc>
      </w:tr>
      <w:tr w:rsidR="00247AD2" w14:paraId="75A294C6" w14:textId="77777777" w:rsidTr="006A0585">
        <w:trPr>
          <w:trHeight w:val="340"/>
        </w:trPr>
        <w:tc>
          <w:tcPr>
            <w:tcW w:w="3082" w:type="pct"/>
          </w:tcPr>
          <w:p w14:paraId="59FFE634" w14:textId="77777777" w:rsidR="00247AD2" w:rsidRDefault="00247AD2" w:rsidP="001045FA">
            <w:pPr>
              <w:pStyle w:val="BodyText"/>
            </w:pPr>
            <w:r>
              <w:t>EL2</w:t>
            </w:r>
          </w:p>
        </w:tc>
        <w:tc>
          <w:tcPr>
            <w:tcW w:w="1006" w:type="pct"/>
          </w:tcPr>
          <w:p w14:paraId="492F314E" w14:textId="77777777" w:rsidR="00247AD2" w:rsidRDefault="00247AD2" w:rsidP="001045FA">
            <w:pPr>
              <w:pStyle w:val="BodyText"/>
            </w:pPr>
            <w:r>
              <w:t xml:space="preserve">137,090 </w:t>
            </w:r>
          </w:p>
        </w:tc>
        <w:tc>
          <w:tcPr>
            <w:tcW w:w="912" w:type="pct"/>
          </w:tcPr>
          <w:p w14:paraId="32836410" w14:textId="77777777" w:rsidR="00247AD2" w:rsidRDefault="00247AD2" w:rsidP="001045FA">
            <w:pPr>
              <w:pStyle w:val="BodyText"/>
            </w:pPr>
            <w:r>
              <w:t xml:space="preserve">163,028 </w:t>
            </w:r>
          </w:p>
        </w:tc>
      </w:tr>
      <w:tr w:rsidR="00247AD2" w14:paraId="558CF355" w14:textId="77777777" w:rsidTr="006A0585">
        <w:trPr>
          <w:trHeight w:val="340"/>
        </w:trPr>
        <w:tc>
          <w:tcPr>
            <w:tcW w:w="3082" w:type="pct"/>
          </w:tcPr>
          <w:p w14:paraId="79325D66" w14:textId="77777777" w:rsidR="00247AD2" w:rsidRDefault="00247AD2" w:rsidP="001045FA">
            <w:pPr>
              <w:pStyle w:val="BodyText"/>
            </w:pPr>
            <w:r>
              <w:t>EL1</w:t>
            </w:r>
          </w:p>
        </w:tc>
        <w:tc>
          <w:tcPr>
            <w:tcW w:w="1006" w:type="pct"/>
          </w:tcPr>
          <w:p w14:paraId="1C35FA6F" w14:textId="77777777" w:rsidR="00247AD2" w:rsidRDefault="00247AD2" w:rsidP="001045FA">
            <w:pPr>
              <w:pStyle w:val="BodyText"/>
            </w:pPr>
            <w:r>
              <w:t xml:space="preserve">118,465 </w:t>
            </w:r>
          </w:p>
        </w:tc>
        <w:tc>
          <w:tcPr>
            <w:tcW w:w="912" w:type="pct"/>
          </w:tcPr>
          <w:p w14:paraId="5DD528D9" w14:textId="77777777" w:rsidR="00247AD2" w:rsidRDefault="00247AD2" w:rsidP="001045FA">
            <w:pPr>
              <w:pStyle w:val="BodyText"/>
            </w:pPr>
            <w:r>
              <w:t xml:space="preserve">131,268 </w:t>
            </w:r>
          </w:p>
        </w:tc>
      </w:tr>
      <w:tr w:rsidR="00247AD2" w14:paraId="54DA027B" w14:textId="77777777" w:rsidTr="006A0585">
        <w:trPr>
          <w:trHeight w:val="340"/>
        </w:trPr>
        <w:tc>
          <w:tcPr>
            <w:tcW w:w="3082" w:type="pct"/>
          </w:tcPr>
          <w:p w14:paraId="1B5FF04D" w14:textId="77777777" w:rsidR="00247AD2" w:rsidRDefault="00247AD2" w:rsidP="001045FA">
            <w:pPr>
              <w:pStyle w:val="BodyText"/>
            </w:pPr>
            <w:r>
              <w:t>APS6</w:t>
            </w:r>
          </w:p>
        </w:tc>
        <w:tc>
          <w:tcPr>
            <w:tcW w:w="1006" w:type="pct"/>
          </w:tcPr>
          <w:p w14:paraId="4A928D71" w14:textId="77777777" w:rsidR="00247AD2" w:rsidRDefault="00247AD2" w:rsidP="001045FA">
            <w:pPr>
              <w:pStyle w:val="BodyText"/>
            </w:pPr>
            <w:r>
              <w:t xml:space="preserve">94,711 </w:t>
            </w:r>
          </w:p>
        </w:tc>
        <w:tc>
          <w:tcPr>
            <w:tcW w:w="912" w:type="pct"/>
          </w:tcPr>
          <w:p w14:paraId="73490F39" w14:textId="77777777" w:rsidR="00247AD2" w:rsidRDefault="00247AD2" w:rsidP="001045FA">
            <w:pPr>
              <w:pStyle w:val="BodyText"/>
            </w:pPr>
            <w:r>
              <w:t xml:space="preserve">109,518 </w:t>
            </w:r>
          </w:p>
        </w:tc>
      </w:tr>
      <w:tr w:rsidR="00247AD2" w14:paraId="3968AA6E" w14:textId="77777777" w:rsidTr="006A0585">
        <w:trPr>
          <w:trHeight w:val="340"/>
        </w:trPr>
        <w:tc>
          <w:tcPr>
            <w:tcW w:w="3082" w:type="pct"/>
          </w:tcPr>
          <w:p w14:paraId="4A9DFD6D" w14:textId="77777777" w:rsidR="00247AD2" w:rsidRDefault="00247AD2" w:rsidP="001045FA">
            <w:pPr>
              <w:pStyle w:val="BodyText"/>
            </w:pPr>
            <w:r>
              <w:t>APS5</w:t>
            </w:r>
          </w:p>
        </w:tc>
        <w:tc>
          <w:tcPr>
            <w:tcW w:w="1006" w:type="pct"/>
          </w:tcPr>
          <w:p w14:paraId="2A102926" w14:textId="77777777" w:rsidR="00247AD2" w:rsidRDefault="00247AD2" w:rsidP="001045FA">
            <w:pPr>
              <w:pStyle w:val="BodyText"/>
            </w:pPr>
            <w:r>
              <w:t xml:space="preserve">85,559 </w:t>
            </w:r>
          </w:p>
        </w:tc>
        <w:tc>
          <w:tcPr>
            <w:tcW w:w="912" w:type="pct"/>
          </w:tcPr>
          <w:p w14:paraId="49075585" w14:textId="77777777" w:rsidR="00247AD2" w:rsidRDefault="00247AD2" w:rsidP="001045FA">
            <w:pPr>
              <w:pStyle w:val="BodyText"/>
            </w:pPr>
            <w:r>
              <w:t xml:space="preserve">92,324 </w:t>
            </w:r>
          </w:p>
        </w:tc>
      </w:tr>
      <w:tr w:rsidR="00247AD2" w14:paraId="04898D72" w14:textId="77777777" w:rsidTr="006A0585">
        <w:trPr>
          <w:trHeight w:val="340"/>
        </w:trPr>
        <w:tc>
          <w:tcPr>
            <w:tcW w:w="3082" w:type="pct"/>
          </w:tcPr>
          <w:p w14:paraId="7F5F1300" w14:textId="77777777" w:rsidR="00247AD2" w:rsidRDefault="00247AD2" w:rsidP="001045FA">
            <w:pPr>
              <w:pStyle w:val="BodyText"/>
            </w:pPr>
            <w:r>
              <w:lastRenderedPageBreak/>
              <w:t>APS4</w:t>
            </w:r>
          </w:p>
        </w:tc>
        <w:tc>
          <w:tcPr>
            <w:tcW w:w="1006" w:type="pct"/>
          </w:tcPr>
          <w:p w14:paraId="7D68ED6B" w14:textId="77777777" w:rsidR="00247AD2" w:rsidRDefault="00247AD2" w:rsidP="001045FA">
            <w:pPr>
              <w:pStyle w:val="BodyText"/>
            </w:pPr>
            <w:r>
              <w:t xml:space="preserve">76,714 </w:t>
            </w:r>
          </w:p>
        </w:tc>
        <w:tc>
          <w:tcPr>
            <w:tcW w:w="912" w:type="pct"/>
          </w:tcPr>
          <w:p w14:paraId="3D691CFB" w14:textId="77777777" w:rsidR="00247AD2" w:rsidRDefault="00247AD2" w:rsidP="001045FA">
            <w:pPr>
              <w:pStyle w:val="BodyText"/>
            </w:pPr>
            <w:r>
              <w:t xml:space="preserve">84,996 </w:t>
            </w:r>
          </w:p>
        </w:tc>
      </w:tr>
      <w:tr w:rsidR="00247AD2" w14:paraId="34178654" w14:textId="77777777" w:rsidTr="006A0585">
        <w:trPr>
          <w:trHeight w:val="340"/>
        </w:trPr>
        <w:tc>
          <w:tcPr>
            <w:tcW w:w="3082" w:type="pct"/>
          </w:tcPr>
          <w:p w14:paraId="2C041419" w14:textId="77777777" w:rsidR="00247AD2" w:rsidRDefault="00247AD2" w:rsidP="001045FA">
            <w:pPr>
              <w:pStyle w:val="BodyText"/>
            </w:pPr>
            <w:r>
              <w:t>APS3</w:t>
            </w:r>
          </w:p>
        </w:tc>
        <w:tc>
          <w:tcPr>
            <w:tcW w:w="1006" w:type="pct"/>
          </w:tcPr>
          <w:p w14:paraId="3383DA13" w14:textId="77777777" w:rsidR="00247AD2" w:rsidRDefault="00247AD2" w:rsidP="001045FA">
            <w:pPr>
              <w:pStyle w:val="BodyText"/>
            </w:pPr>
            <w:r>
              <w:t xml:space="preserve">68,830 </w:t>
            </w:r>
          </w:p>
        </w:tc>
        <w:tc>
          <w:tcPr>
            <w:tcW w:w="912" w:type="pct"/>
          </w:tcPr>
          <w:p w14:paraId="6451E052" w14:textId="77777777" w:rsidR="00247AD2" w:rsidRDefault="00247AD2" w:rsidP="001045FA">
            <w:pPr>
              <w:pStyle w:val="BodyText"/>
            </w:pPr>
            <w:r>
              <w:t xml:space="preserve">76,712 </w:t>
            </w:r>
          </w:p>
        </w:tc>
      </w:tr>
      <w:tr w:rsidR="00247AD2" w14:paraId="68BAD56C" w14:textId="77777777" w:rsidTr="006A0585">
        <w:trPr>
          <w:trHeight w:val="340"/>
        </w:trPr>
        <w:tc>
          <w:tcPr>
            <w:tcW w:w="3082" w:type="pct"/>
          </w:tcPr>
          <w:p w14:paraId="05890482" w14:textId="77777777" w:rsidR="00247AD2" w:rsidRDefault="00247AD2" w:rsidP="001045FA">
            <w:pPr>
              <w:pStyle w:val="BodyText"/>
            </w:pPr>
            <w:r>
              <w:t>APS2</w:t>
            </w:r>
          </w:p>
        </w:tc>
        <w:tc>
          <w:tcPr>
            <w:tcW w:w="1006" w:type="pct"/>
          </w:tcPr>
          <w:p w14:paraId="747EA758" w14:textId="77777777" w:rsidR="00247AD2" w:rsidRDefault="00247AD2" w:rsidP="001045FA">
            <w:pPr>
              <w:pStyle w:val="BodyText"/>
            </w:pPr>
            <w:r>
              <w:t xml:space="preserve">62,091 </w:t>
            </w:r>
          </w:p>
        </w:tc>
        <w:tc>
          <w:tcPr>
            <w:tcW w:w="912" w:type="pct"/>
          </w:tcPr>
          <w:p w14:paraId="39E6DD0C" w14:textId="77777777" w:rsidR="00247AD2" w:rsidRDefault="00247AD2" w:rsidP="001045FA">
            <w:pPr>
              <w:pStyle w:val="BodyText"/>
            </w:pPr>
            <w:r>
              <w:t xml:space="preserve">67,010 </w:t>
            </w:r>
          </w:p>
        </w:tc>
      </w:tr>
      <w:tr w:rsidR="00247AD2" w14:paraId="36EDB567" w14:textId="77777777" w:rsidTr="006A0585">
        <w:trPr>
          <w:trHeight w:val="340"/>
        </w:trPr>
        <w:tc>
          <w:tcPr>
            <w:tcW w:w="3082" w:type="pct"/>
          </w:tcPr>
          <w:p w14:paraId="629A75AF" w14:textId="77777777" w:rsidR="00247AD2" w:rsidRDefault="00247AD2" w:rsidP="001045FA">
            <w:pPr>
              <w:pStyle w:val="BodyText"/>
            </w:pPr>
            <w:r>
              <w:t>APS1</w:t>
            </w:r>
          </w:p>
        </w:tc>
        <w:tc>
          <w:tcPr>
            <w:tcW w:w="1006" w:type="pct"/>
          </w:tcPr>
          <w:p w14:paraId="5AA1B887" w14:textId="77777777" w:rsidR="00247AD2" w:rsidRDefault="00247AD2" w:rsidP="001045FA">
            <w:pPr>
              <w:pStyle w:val="BodyText"/>
            </w:pPr>
            <w:r>
              <w:t xml:space="preserve">55,564 </w:t>
            </w:r>
          </w:p>
        </w:tc>
        <w:tc>
          <w:tcPr>
            <w:tcW w:w="912" w:type="pct"/>
          </w:tcPr>
          <w:p w14:paraId="0930F9D9" w14:textId="77777777" w:rsidR="00247AD2" w:rsidRDefault="00247AD2" w:rsidP="001045FA">
            <w:pPr>
              <w:pStyle w:val="BodyText"/>
            </w:pPr>
            <w:r>
              <w:t xml:space="preserve">59,577 </w:t>
            </w:r>
          </w:p>
        </w:tc>
      </w:tr>
      <w:tr w:rsidR="00247AD2" w14:paraId="1E54710C" w14:textId="77777777" w:rsidTr="006A0585">
        <w:trPr>
          <w:trHeight w:val="340"/>
        </w:trPr>
        <w:tc>
          <w:tcPr>
            <w:tcW w:w="3082" w:type="pct"/>
          </w:tcPr>
          <w:p w14:paraId="5854F367" w14:textId="77777777" w:rsidR="00247AD2" w:rsidRDefault="00247AD2" w:rsidP="001045FA">
            <w:pPr>
              <w:pStyle w:val="BodyText"/>
            </w:pPr>
            <w:r>
              <w:t>Medical Officer Class 4</w:t>
            </w:r>
          </w:p>
        </w:tc>
        <w:tc>
          <w:tcPr>
            <w:tcW w:w="1006" w:type="pct"/>
          </w:tcPr>
          <w:p w14:paraId="4E0A9F18" w14:textId="77777777" w:rsidR="00247AD2" w:rsidRDefault="00247AD2" w:rsidP="001045FA">
            <w:pPr>
              <w:pStyle w:val="BodyText"/>
            </w:pPr>
            <w:r>
              <w:t xml:space="preserve">196,595 </w:t>
            </w:r>
          </w:p>
        </w:tc>
        <w:tc>
          <w:tcPr>
            <w:tcW w:w="912" w:type="pct"/>
          </w:tcPr>
          <w:p w14:paraId="08862C0C" w14:textId="77777777" w:rsidR="00247AD2" w:rsidRDefault="00247AD2" w:rsidP="001045FA">
            <w:pPr>
              <w:pStyle w:val="BodyText"/>
            </w:pPr>
            <w:r>
              <w:t xml:space="preserve">209,495 </w:t>
            </w:r>
          </w:p>
        </w:tc>
      </w:tr>
      <w:tr w:rsidR="00247AD2" w14:paraId="1C675D47" w14:textId="77777777" w:rsidTr="006A0585">
        <w:trPr>
          <w:trHeight w:val="340"/>
        </w:trPr>
        <w:tc>
          <w:tcPr>
            <w:tcW w:w="3082" w:type="pct"/>
          </w:tcPr>
          <w:p w14:paraId="2881A50A" w14:textId="77777777" w:rsidR="00247AD2" w:rsidRDefault="00247AD2" w:rsidP="001045FA">
            <w:pPr>
              <w:pStyle w:val="BodyText"/>
            </w:pPr>
            <w:r>
              <w:t>Medical Officer Class 3</w:t>
            </w:r>
          </w:p>
        </w:tc>
        <w:tc>
          <w:tcPr>
            <w:tcW w:w="1006" w:type="pct"/>
          </w:tcPr>
          <w:p w14:paraId="10A535A5" w14:textId="77777777" w:rsidR="00247AD2" w:rsidRDefault="00247AD2" w:rsidP="001045FA">
            <w:pPr>
              <w:pStyle w:val="BodyText"/>
            </w:pPr>
            <w:r>
              <w:t xml:space="preserve">180,905 </w:t>
            </w:r>
          </w:p>
        </w:tc>
        <w:tc>
          <w:tcPr>
            <w:tcW w:w="912" w:type="pct"/>
          </w:tcPr>
          <w:p w14:paraId="2D07B995" w14:textId="77777777" w:rsidR="00247AD2" w:rsidRDefault="00247AD2" w:rsidP="001045FA">
            <w:pPr>
              <w:pStyle w:val="BodyText"/>
            </w:pPr>
            <w:r>
              <w:t xml:space="preserve">189,045 </w:t>
            </w:r>
          </w:p>
        </w:tc>
      </w:tr>
      <w:tr w:rsidR="00247AD2" w14:paraId="0CCDF320" w14:textId="77777777" w:rsidTr="006A0585">
        <w:trPr>
          <w:trHeight w:val="340"/>
        </w:trPr>
        <w:tc>
          <w:tcPr>
            <w:tcW w:w="3082" w:type="pct"/>
          </w:tcPr>
          <w:p w14:paraId="44721F98" w14:textId="77777777" w:rsidR="00247AD2" w:rsidRDefault="00247AD2" w:rsidP="001045FA">
            <w:pPr>
              <w:pStyle w:val="BodyText"/>
            </w:pPr>
            <w:r>
              <w:t>Medical Officer Class 2</w:t>
            </w:r>
          </w:p>
        </w:tc>
        <w:tc>
          <w:tcPr>
            <w:tcW w:w="1006" w:type="pct"/>
          </w:tcPr>
          <w:p w14:paraId="6932E9E6" w14:textId="77777777" w:rsidR="00247AD2" w:rsidRDefault="00247AD2" w:rsidP="001045FA">
            <w:pPr>
              <w:pStyle w:val="BodyText"/>
            </w:pPr>
            <w:r>
              <w:t xml:space="preserve">142,853 </w:t>
            </w:r>
          </w:p>
        </w:tc>
        <w:tc>
          <w:tcPr>
            <w:tcW w:w="912" w:type="pct"/>
          </w:tcPr>
          <w:p w14:paraId="61441B08" w14:textId="77777777" w:rsidR="00247AD2" w:rsidRDefault="00247AD2" w:rsidP="001045FA">
            <w:pPr>
              <w:pStyle w:val="BodyText"/>
            </w:pPr>
            <w:r>
              <w:t xml:space="preserve">169,861 </w:t>
            </w:r>
          </w:p>
        </w:tc>
      </w:tr>
      <w:tr w:rsidR="00247AD2" w14:paraId="3B3509C2" w14:textId="77777777" w:rsidTr="006A0585">
        <w:trPr>
          <w:trHeight w:val="340"/>
        </w:trPr>
        <w:tc>
          <w:tcPr>
            <w:tcW w:w="3082" w:type="pct"/>
          </w:tcPr>
          <w:p w14:paraId="53F4D7B5" w14:textId="77777777" w:rsidR="00247AD2" w:rsidRDefault="00247AD2" w:rsidP="001045FA">
            <w:pPr>
              <w:pStyle w:val="BodyText"/>
            </w:pPr>
            <w:r>
              <w:t>Deputy General Counsel — EL2 (Legal Job Stream)</w:t>
            </w:r>
          </w:p>
        </w:tc>
        <w:tc>
          <w:tcPr>
            <w:tcW w:w="1006" w:type="pct"/>
          </w:tcPr>
          <w:p w14:paraId="730426B9" w14:textId="77777777" w:rsidR="00247AD2" w:rsidRDefault="00247AD2" w:rsidP="001045FA">
            <w:pPr>
              <w:pStyle w:val="BodyText"/>
            </w:pPr>
            <w:r>
              <w:t xml:space="preserve">173,132 </w:t>
            </w:r>
          </w:p>
        </w:tc>
        <w:tc>
          <w:tcPr>
            <w:tcW w:w="912" w:type="pct"/>
          </w:tcPr>
          <w:p w14:paraId="014E7D99" w14:textId="77777777" w:rsidR="00247AD2" w:rsidRDefault="00247AD2" w:rsidP="001045FA">
            <w:pPr>
              <w:pStyle w:val="BodyText"/>
            </w:pPr>
            <w:r>
              <w:t>N/A</w:t>
            </w:r>
          </w:p>
        </w:tc>
      </w:tr>
      <w:tr w:rsidR="00247AD2" w14:paraId="4CA5397B" w14:textId="77777777" w:rsidTr="006A0585">
        <w:trPr>
          <w:trHeight w:val="340"/>
        </w:trPr>
        <w:tc>
          <w:tcPr>
            <w:tcW w:w="3082" w:type="pct"/>
          </w:tcPr>
          <w:p w14:paraId="7CC433A3" w14:textId="77777777" w:rsidR="00247AD2" w:rsidRDefault="00247AD2" w:rsidP="001045FA">
            <w:pPr>
              <w:pStyle w:val="BodyText"/>
            </w:pPr>
            <w:r>
              <w:t>Senior Rehabilitation Consultant — APS6 (Professional Job Stream)</w:t>
            </w:r>
          </w:p>
        </w:tc>
        <w:tc>
          <w:tcPr>
            <w:tcW w:w="1006" w:type="pct"/>
          </w:tcPr>
          <w:p w14:paraId="0DFDE98E" w14:textId="77777777" w:rsidR="00247AD2" w:rsidRDefault="00247AD2" w:rsidP="001045FA">
            <w:pPr>
              <w:pStyle w:val="BodyText"/>
            </w:pPr>
            <w:r>
              <w:t xml:space="preserve">115,410 </w:t>
            </w:r>
          </w:p>
        </w:tc>
        <w:tc>
          <w:tcPr>
            <w:tcW w:w="912" w:type="pct"/>
          </w:tcPr>
          <w:p w14:paraId="60F5B171" w14:textId="77777777" w:rsidR="00247AD2" w:rsidRDefault="00247AD2" w:rsidP="001045FA">
            <w:pPr>
              <w:pStyle w:val="BodyText"/>
            </w:pPr>
            <w:r>
              <w:t>N/A</w:t>
            </w:r>
          </w:p>
        </w:tc>
      </w:tr>
      <w:tr w:rsidR="00247AD2" w14:paraId="79D9861C" w14:textId="77777777" w:rsidTr="006A0585">
        <w:trPr>
          <w:trHeight w:val="340"/>
        </w:trPr>
        <w:tc>
          <w:tcPr>
            <w:tcW w:w="3082" w:type="pct"/>
          </w:tcPr>
          <w:p w14:paraId="799B0011" w14:textId="77777777" w:rsidR="00247AD2" w:rsidRDefault="00247AD2" w:rsidP="001045FA">
            <w:pPr>
              <w:pStyle w:val="BodyText"/>
            </w:pPr>
            <w:r>
              <w:t>Rehabilitation Consultant 2+ — APS6 (Professional Job Stream)</w:t>
            </w:r>
          </w:p>
        </w:tc>
        <w:tc>
          <w:tcPr>
            <w:tcW w:w="1006" w:type="pct"/>
          </w:tcPr>
          <w:p w14:paraId="4A5E8AF4" w14:textId="77777777" w:rsidR="00247AD2" w:rsidRDefault="00247AD2" w:rsidP="001045FA">
            <w:pPr>
              <w:pStyle w:val="BodyText"/>
            </w:pPr>
            <w:r>
              <w:t xml:space="preserve">109,880 </w:t>
            </w:r>
          </w:p>
        </w:tc>
        <w:tc>
          <w:tcPr>
            <w:tcW w:w="912" w:type="pct"/>
          </w:tcPr>
          <w:p w14:paraId="2805995E" w14:textId="77777777" w:rsidR="00247AD2" w:rsidRDefault="00247AD2" w:rsidP="001045FA">
            <w:pPr>
              <w:pStyle w:val="BodyText"/>
            </w:pPr>
            <w:r>
              <w:t>N/A</w:t>
            </w:r>
          </w:p>
        </w:tc>
      </w:tr>
      <w:tr w:rsidR="00247AD2" w14:paraId="473EB4AD" w14:textId="77777777" w:rsidTr="006A0585">
        <w:trPr>
          <w:trHeight w:val="340"/>
        </w:trPr>
        <w:tc>
          <w:tcPr>
            <w:tcW w:w="3082" w:type="pct"/>
          </w:tcPr>
          <w:p w14:paraId="28FACDA5" w14:textId="77777777" w:rsidR="00247AD2" w:rsidRDefault="00247AD2" w:rsidP="001045FA">
            <w:pPr>
              <w:pStyle w:val="BodyText"/>
            </w:pPr>
            <w:r>
              <w:t>Graduate APS</w:t>
            </w:r>
          </w:p>
        </w:tc>
        <w:tc>
          <w:tcPr>
            <w:tcW w:w="1006" w:type="pct"/>
          </w:tcPr>
          <w:p w14:paraId="38AFF4F4" w14:textId="77777777" w:rsidR="00247AD2" w:rsidRDefault="00247AD2" w:rsidP="001045FA">
            <w:pPr>
              <w:pStyle w:val="BodyText"/>
            </w:pPr>
            <w:r>
              <w:t xml:space="preserve">68,830 </w:t>
            </w:r>
          </w:p>
        </w:tc>
        <w:tc>
          <w:tcPr>
            <w:tcW w:w="912" w:type="pct"/>
          </w:tcPr>
          <w:p w14:paraId="51550F74" w14:textId="77777777" w:rsidR="00247AD2" w:rsidRDefault="00247AD2" w:rsidP="001045FA">
            <w:pPr>
              <w:pStyle w:val="BodyText"/>
            </w:pPr>
            <w:r>
              <w:t xml:space="preserve">84,996 </w:t>
            </w:r>
          </w:p>
        </w:tc>
      </w:tr>
      <w:tr w:rsidR="00247AD2" w14:paraId="5F8816A8" w14:textId="77777777" w:rsidTr="006A0585">
        <w:trPr>
          <w:trHeight w:val="340"/>
        </w:trPr>
        <w:tc>
          <w:tcPr>
            <w:tcW w:w="3082" w:type="pct"/>
          </w:tcPr>
          <w:p w14:paraId="4BA61B07" w14:textId="77777777" w:rsidR="00247AD2" w:rsidRDefault="00247AD2" w:rsidP="001045FA">
            <w:pPr>
              <w:pStyle w:val="BodyText"/>
            </w:pPr>
            <w:r>
              <w:t>Digital Trainee</w:t>
            </w:r>
          </w:p>
        </w:tc>
        <w:tc>
          <w:tcPr>
            <w:tcW w:w="1006" w:type="pct"/>
          </w:tcPr>
          <w:p w14:paraId="3E67AEA4" w14:textId="77777777" w:rsidR="00247AD2" w:rsidRDefault="00247AD2" w:rsidP="001045FA">
            <w:pPr>
              <w:pStyle w:val="BodyText"/>
            </w:pPr>
            <w:r>
              <w:t xml:space="preserve">55,564 </w:t>
            </w:r>
          </w:p>
        </w:tc>
        <w:tc>
          <w:tcPr>
            <w:tcW w:w="912" w:type="pct"/>
          </w:tcPr>
          <w:p w14:paraId="2AA38DEA" w14:textId="77777777" w:rsidR="00247AD2" w:rsidRDefault="00247AD2" w:rsidP="001045FA">
            <w:pPr>
              <w:pStyle w:val="BodyText"/>
            </w:pPr>
            <w:r>
              <w:t xml:space="preserve">66,182 </w:t>
            </w:r>
          </w:p>
        </w:tc>
      </w:tr>
      <w:tr w:rsidR="00247AD2" w14:paraId="15F1E7E9" w14:textId="77777777" w:rsidTr="006A0585">
        <w:trPr>
          <w:trHeight w:val="340"/>
        </w:trPr>
        <w:tc>
          <w:tcPr>
            <w:tcW w:w="3082" w:type="pct"/>
          </w:tcPr>
          <w:p w14:paraId="02DA2445" w14:textId="77777777" w:rsidR="00247AD2" w:rsidRDefault="00247AD2" w:rsidP="001045FA">
            <w:pPr>
              <w:pStyle w:val="BodyText"/>
            </w:pPr>
            <w:r>
              <w:t>Digital and Data Cadet</w:t>
            </w:r>
          </w:p>
        </w:tc>
        <w:tc>
          <w:tcPr>
            <w:tcW w:w="1006" w:type="pct"/>
          </w:tcPr>
          <w:p w14:paraId="05AE1A80" w14:textId="77777777" w:rsidR="00247AD2" w:rsidRDefault="00247AD2" w:rsidP="001045FA">
            <w:pPr>
              <w:pStyle w:val="BodyText"/>
            </w:pPr>
            <w:r>
              <w:t xml:space="preserve">62,091 </w:t>
            </w:r>
          </w:p>
        </w:tc>
        <w:tc>
          <w:tcPr>
            <w:tcW w:w="912" w:type="pct"/>
          </w:tcPr>
          <w:p w14:paraId="033B5328" w14:textId="77777777" w:rsidR="00247AD2" w:rsidRDefault="00247AD2" w:rsidP="001045FA">
            <w:pPr>
              <w:pStyle w:val="BodyText"/>
            </w:pPr>
            <w:r>
              <w:t xml:space="preserve">76,714 </w:t>
            </w:r>
          </w:p>
        </w:tc>
      </w:tr>
      <w:tr w:rsidR="00247AD2" w14:paraId="21355DE1" w14:textId="77777777" w:rsidTr="006A0585">
        <w:trPr>
          <w:trHeight w:val="340"/>
        </w:trPr>
        <w:tc>
          <w:tcPr>
            <w:tcW w:w="3082" w:type="pct"/>
          </w:tcPr>
          <w:p w14:paraId="7C5A9DAD" w14:textId="77777777" w:rsidR="00247AD2" w:rsidRDefault="00247AD2" w:rsidP="001045FA">
            <w:pPr>
              <w:pStyle w:val="BodyText"/>
            </w:pPr>
            <w:r>
              <w:t>APS Trainee (Apprentice)</w:t>
            </w:r>
          </w:p>
        </w:tc>
        <w:tc>
          <w:tcPr>
            <w:tcW w:w="1006" w:type="pct"/>
          </w:tcPr>
          <w:p w14:paraId="3B600372" w14:textId="77777777" w:rsidR="00247AD2" w:rsidRDefault="00247AD2" w:rsidP="001045FA">
            <w:pPr>
              <w:pStyle w:val="BodyText"/>
            </w:pPr>
            <w:r>
              <w:t xml:space="preserve">62,091 </w:t>
            </w:r>
          </w:p>
        </w:tc>
        <w:tc>
          <w:tcPr>
            <w:tcW w:w="912" w:type="pct"/>
          </w:tcPr>
          <w:p w14:paraId="6D70F35E" w14:textId="77777777" w:rsidR="00247AD2" w:rsidRDefault="00247AD2" w:rsidP="001045FA">
            <w:pPr>
              <w:pStyle w:val="BodyText"/>
            </w:pPr>
            <w:r>
              <w:t xml:space="preserve">84,996 </w:t>
            </w:r>
          </w:p>
        </w:tc>
      </w:tr>
      <w:tr w:rsidR="00247AD2" w14:paraId="32B33F2A" w14:textId="77777777" w:rsidTr="006A0585">
        <w:trPr>
          <w:trHeight w:val="340"/>
        </w:trPr>
        <w:tc>
          <w:tcPr>
            <w:tcW w:w="3082" w:type="pct"/>
          </w:tcPr>
          <w:p w14:paraId="175F369D" w14:textId="77777777" w:rsidR="00247AD2" w:rsidRDefault="00247AD2" w:rsidP="001045FA">
            <w:pPr>
              <w:pStyle w:val="BodyText"/>
            </w:pPr>
            <w:r>
              <w:t>Cadet APS</w:t>
            </w:r>
          </w:p>
        </w:tc>
        <w:tc>
          <w:tcPr>
            <w:tcW w:w="1006" w:type="pct"/>
          </w:tcPr>
          <w:p w14:paraId="3ABEEF84" w14:textId="77777777" w:rsidR="00247AD2" w:rsidRDefault="00247AD2" w:rsidP="001045FA">
            <w:pPr>
              <w:pStyle w:val="BodyText"/>
            </w:pPr>
            <w:r>
              <w:t xml:space="preserve">31,674 </w:t>
            </w:r>
          </w:p>
        </w:tc>
        <w:tc>
          <w:tcPr>
            <w:tcW w:w="912" w:type="pct"/>
          </w:tcPr>
          <w:p w14:paraId="49F7638F" w14:textId="77777777" w:rsidR="00247AD2" w:rsidRDefault="00247AD2" w:rsidP="001045FA">
            <w:pPr>
              <w:pStyle w:val="BodyText"/>
            </w:pPr>
            <w:r>
              <w:t xml:space="preserve">68,830 </w:t>
            </w:r>
          </w:p>
        </w:tc>
      </w:tr>
      <w:tr w:rsidR="00247AD2" w14:paraId="72520C87" w14:textId="77777777" w:rsidTr="006A0585">
        <w:trPr>
          <w:trHeight w:val="340"/>
        </w:trPr>
        <w:tc>
          <w:tcPr>
            <w:tcW w:w="3082" w:type="pct"/>
          </w:tcPr>
          <w:p w14:paraId="218AFC69" w14:textId="77777777" w:rsidR="00247AD2" w:rsidRDefault="00247AD2" w:rsidP="001045FA">
            <w:pPr>
              <w:pStyle w:val="BodyText"/>
            </w:pPr>
            <w:r>
              <w:t>Minimum/maximum range</w:t>
            </w:r>
          </w:p>
        </w:tc>
        <w:tc>
          <w:tcPr>
            <w:tcW w:w="1006" w:type="pct"/>
          </w:tcPr>
          <w:p w14:paraId="6C020CED" w14:textId="77777777" w:rsidR="00247AD2" w:rsidRDefault="00247AD2" w:rsidP="001045FA">
            <w:pPr>
              <w:pStyle w:val="BodyText"/>
            </w:pPr>
            <w:r>
              <w:t xml:space="preserve">31,674 </w:t>
            </w:r>
          </w:p>
        </w:tc>
        <w:tc>
          <w:tcPr>
            <w:tcW w:w="912" w:type="pct"/>
          </w:tcPr>
          <w:p w14:paraId="25B6D690" w14:textId="77777777" w:rsidR="00247AD2" w:rsidRDefault="00247AD2" w:rsidP="001045FA">
            <w:pPr>
              <w:pStyle w:val="BodyText"/>
            </w:pPr>
            <w:r>
              <w:t>451,219</w:t>
            </w:r>
          </w:p>
        </w:tc>
      </w:tr>
    </w:tbl>
    <w:p w14:paraId="2EF874A3" w14:textId="3CE677EA" w:rsidR="00247AD2" w:rsidRDefault="00247AD2" w:rsidP="001D2CCD">
      <w:pPr>
        <w:pStyle w:val="ProductCode"/>
      </w:pPr>
      <w:r>
        <w:t>(a)</w:t>
      </w:r>
      <w:r w:rsidR="00E53A80">
        <w:t xml:space="preserve"> </w:t>
      </w:r>
      <w:r>
        <w:t xml:space="preserve">The salary ranges in this table cover base salary rates only. They do not include reportable fringe benefits, allowances, and salary sacrifice arrangements. </w:t>
      </w:r>
    </w:p>
    <w:p w14:paraId="0C9F5ACC" w14:textId="59985690" w:rsidR="00247AD2" w:rsidRDefault="00247AD2" w:rsidP="001D2CCD">
      <w:pPr>
        <w:pStyle w:val="ProductCode"/>
      </w:pPr>
      <w:r>
        <w:t>(b)</w:t>
      </w:r>
      <w:r w:rsidR="00E53A80">
        <w:t xml:space="preserve"> </w:t>
      </w:r>
      <w:r>
        <w:t>The salary ranges in this table are as at 30 June 2025.</w:t>
      </w:r>
    </w:p>
    <w:p w14:paraId="586B05D2" w14:textId="77777777" w:rsidR="00247AD2" w:rsidRDefault="00247AD2" w:rsidP="00247AD2">
      <w:pPr>
        <w:pStyle w:val="Heading1"/>
      </w:pPr>
      <w:bookmarkStart w:id="65" w:name="_Toc210815444"/>
      <w:r>
        <w:t>Appendix B — Satisfaction Research Program</w:t>
      </w:r>
      <w:bookmarkEnd w:id="65"/>
    </w:p>
    <w:p w14:paraId="1CCB2E98" w14:textId="77777777" w:rsidR="00247AD2" w:rsidRDefault="00247AD2" w:rsidP="00247AD2">
      <w:pPr>
        <w:pStyle w:val="BodyText"/>
        <w:spacing w:after="57"/>
      </w:pPr>
      <w:r>
        <w:t>The agency’s Satisfaction Research Program includes several survey modules that measure satisfaction with, and trust in, the services we deliver:</w:t>
      </w:r>
    </w:p>
    <w:p w14:paraId="39C746E0" w14:textId="77777777" w:rsidR="00247AD2" w:rsidRDefault="00247AD2" w:rsidP="00E53A80">
      <w:pPr>
        <w:pStyle w:val="ListBullet"/>
      </w:pPr>
      <w:r>
        <w:lastRenderedPageBreak/>
        <w:t>The satisfaction and experience survey measures customer and health provider perceptions of the quality of service they received in their most recent interaction with the agency. Results are reported in Strategic Performance Measure (SPM) 1 on page 17.</w:t>
      </w:r>
    </w:p>
    <w:p w14:paraId="2CF6C80F" w14:textId="77777777" w:rsidR="00247AD2" w:rsidRDefault="00247AD2" w:rsidP="00E53A80">
      <w:pPr>
        <w:pStyle w:val="ListBullet"/>
      </w:pPr>
      <w:r>
        <w:t>The trust survey measures customer and health provider trust in the agency’s ability to deliver services impartially and consistently, including confidence in how we manage personal data. Results are reported in SPM 2 on page 23.</w:t>
      </w:r>
    </w:p>
    <w:p w14:paraId="1265A245" w14:textId="77777777" w:rsidR="00247AD2" w:rsidRDefault="00247AD2" w:rsidP="00E53A80">
      <w:pPr>
        <w:pStyle w:val="ListBullet"/>
      </w:pPr>
      <w:r>
        <w:t xml:space="preserve">The health provider survey is conducted quarterly and includes health provider satisfaction, usage of digital services, and preferred communication channels. The results are used to inform future program and service delivery improvements. Results are reported in SPM 1 and SPM 2 on pages 17 and 23. </w:t>
      </w:r>
    </w:p>
    <w:p w14:paraId="600EFB18" w14:textId="77777777" w:rsidR="00247AD2" w:rsidRDefault="00247AD2" w:rsidP="00E53A80">
      <w:pPr>
        <w:pStyle w:val="ListBullet"/>
      </w:pPr>
      <w:r>
        <w:t xml:space="preserve">The customer perception survey (formerly known as the strategic survey) is conducted bi-annually and measures the proportion of customers who report being satisfied with the services they received over a 3-month period. </w:t>
      </w:r>
    </w:p>
    <w:p w14:paraId="39C3B33E" w14:textId="2906EEF2" w:rsidR="00247AD2" w:rsidRPr="00E53A80" w:rsidRDefault="00E53A80" w:rsidP="00E53A80">
      <w:pPr>
        <w:pStyle w:val="BodyText"/>
        <w:rPr>
          <w:b/>
          <w:bCs/>
        </w:rPr>
      </w:pPr>
      <w:r w:rsidRPr="00E53A80">
        <w:rPr>
          <w:b/>
          <w:bCs/>
        </w:rPr>
        <w:t>Table 79:</w:t>
      </w:r>
      <w:r w:rsidR="00247AD2" w:rsidRPr="00E53A80">
        <w:rPr>
          <w:b/>
          <w:bCs/>
        </w:rPr>
        <w:t xml:space="preserve"> Proportion of customers satisfied with the agency’s services over the preceding 3-month period by financial year</w:t>
      </w:r>
    </w:p>
    <w:tbl>
      <w:tblPr>
        <w:tblStyle w:val="TableGrid"/>
        <w:tblW w:w="5000" w:type="pct"/>
        <w:tblLook w:val="04A0" w:firstRow="1" w:lastRow="0" w:firstColumn="1" w:lastColumn="0" w:noHBand="0" w:noVBand="1"/>
        <w:tblCaption w:val="Proportion of customers satisfied with the agency’s services over the preceding 3-month period by financial year"/>
      </w:tblPr>
      <w:tblGrid>
        <w:gridCol w:w="1948"/>
        <w:gridCol w:w="3218"/>
        <w:gridCol w:w="2965"/>
        <w:gridCol w:w="2965"/>
      </w:tblGrid>
      <w:tr w:rsidR="00247AD2" w14:paraId="5E95384F" w14:textId="77777777" w:rsidTr="001045FA">
        <w:trPr>
          <w:trHeight w:val="396"/>
          <w:tblHeader/>
        </w:trPr>
        <w:tc>
          <w:tcPr>
            <w:tcW w:w="878" w:type="pct"/>
          </w:tcPr>
          <w:p w14:paraId="23C01E1A" w14:textId="77777777" w:rsidR="00247AD2" w:rsidRPr="001045FA" w:rsidRDefault="00247AD2" w:rsidP="001045FA">
            <w:pPr>
              <w:pStyle w:val="BodyText"/>
              <w:rPr>
                <w:b/>
                <w:bCs/>
              </w:rPr>
            </w:pPr>
            <w:r w:rsidRPr="001045FA">
              <w:rPr>
                <w:b/>
                <w:bCs/>
              </w:rPr>
              <w:t>Survey title</w:t>
            </w:r>
          </w:p>
        </w:tc>
        <w:tc>
          <w:tcPr>
            <w:tcW w:w="1450" w:type="pct"/>
          </w:tcPr>
          <w:p w14:paraId="1C4F975A" w14:textId="77777777" w:rsidR="00247AD2" w:rsidRPr="001045FA" w:rsidRDefault="00247AD2" w:rsidP="001045FA">
            <w:pPr>
              <w:pStyle w:val="BodyText"/>
              <w:rPr>
                <w:b/>
                <w:bCs/>
              </w:rPr>
            </w:pPr>
            <w:r w:rsidRPr="001045FA">
              <w:rPr>
                <w:b/>
                <w:bCs/>
              </w:rPr>
              <w:t>Target audience, timing and sample size</w:t>
            </w:r>
          </w:p>
        </w:tc>
        <w:tc>
          <w:tcPr>
            <w:tcW w:w="1336" w:type="pct"/>
          </w:tcPr>
          <w:p w14:paraId="346E0B3F" w14:textId="77777777" w:rsidR="00247AD2" w:rsidRPr="001045FA" w:rsidRDefault="00247AD2" w:rsidP="001045FA">
            <w:pPr>
              <w:pStyle w:val="BodyText"/>
              <w:rPr>
                <w:b/>
                <w:bCs/>
              </w:rPr>
            </w:pPr>
            <w:r w:rsidRPr="001045FA">
              <w:rPr>
                <w:b/>
                <w:bCs/>
              </w:rPr>
              <w:t>Results 2023–24</w:t>
            </w:r>
          </w:p>
        </w:tc>
        <w:tc>
          <w:tcPr>
            <w:tcW w:w="1336" w:type="pct"/>
          </w:tcPr>
          <w:p w14:paraId="7CB24886" w14:textId="77777777" w:rsidR="00247AD2" w:rsidRPr="001045FA" w:rsidRDefault="00247AD2" w:rsidP="001045FA">
            <w:pPr>
              <w:pStyle w:val="BodyText"/>
              <w:rPr>
                <w:b/>
                <w:bCs/>
              </w:rPr>
            </w:pPr>
            <w:r w:rsidRPr="001045FA">
              <w:rPr>
                <w:b/>
                <w:bCs/>
              </w:rPr>
              <w:t>Results 2024–25</w:t>
            </w:r>
          </w:p>
        </w:tc>
      </w:tr>
      <w:tr w:rsidR="00247AD2" w14:paraId="411352A3" w14:textId="77777777" w:rsidTr="006A0585">
        <w:trPr>
          <w:trHeight w:val="396"/>
        </w:trPr>
        <w:tc>
          <w:tcPr>
            <w:tcW w:w="878" w:type="pct"/>
          </w:tcPr>
          <w:p w14:paraId="1D9E23D1" w14:textId="77777777" w:rsidR="00247AD2" w:rsidRDefault="00247AD2" w:rsidP="001045FA">
            <w:pPr>
              <w:pStyle w:val="BodyText"/>
            </w:pPr>
            <w:r>
              <w:t>Customer perception survey</w:t>
            </w:r>
          </w:p>
        </w:tc>
        <w:tc>
          <w:tcPr>
            <w:tcW w:w="1450" w:type="pct"/>
          </w:tcPr>
          <w:p w14:paraId="56D0B8BB" w14:textId="77777777" w:rsidR="00247AD2" w:rsidRDefault="00247AD2" w:rsidP="001045FA">
            <w:pPr>
              <w:pStyle w:val="BodyText"/>
            </w:pPr>
            <w:r>
              <w:t>Random selection of users who have had one or more interaction with the agency in the previous 3 months.</w:t>
            </w:r>
          </w:p>
          <w:p w14:paraId="204BB36E" w14:textId="77777777" w:rsidR="00247AD2" w:rsidRDefault="00247AD2" w:rsidP="001045FA">
            <w:pPr>
              <w:pStyle w:val="BodyText"/>
            </w:pPr>
            <w:r>
              <w:t xml:space="preserve">Conducted every 6 months. </w:t>
            </w:r>
          </w:p>
          <w:p w14:paraId="132F401B" w14:textId="77777777" w:rsidR="00247AD2" w:rsidRDefault="00247AD2" w:rsidP="001045FA">
            <w:pPr>
              <w:pStyle w:val="BodyText"/>
            </w:pPr>
            <w:r>
              <w:t xml:space="preserve">3,610 surveys completed across the </w:t>
            </w:r>
            <w:r>
              <w:rPr>
                <w:spacing w:val="-4"/>
              </w:rPr>
              <w:t>2024–25 financial year.</w:t>
            </w:r>
          </w:p>
        </w:tc>
        <w:tc>
          <w:tcPr>
            <w:tcW w:w="1336" w:type="pct"/>
          </w:tcPr>
          <w:p w14:paraId="16BB07AE" w14:textId="77777777" w:rsidR="00247AD2" w:rsidRDefault="00247AD2" w:rsidP="001045FA">
            <w:pPr>
              <w:pStyle w:val="BodyText"/>
            </w:pPr>
            <w:r>
              <w:t>Satisfied with:</w:t>
            </w:r>
          </w:p>
          <w:p w14:paraId="202256B6" w14:textId="77777777" w:rsidR="00247AD2" w:rsidRDefault="00247AD2" w:rsidP="001045FA">
            <w:pPr>
              <w:pStyle w:val="ListBullet"/>
            </w:pPr>
            <w:r>
              <w:t>Medicare: 73.1%</w:t>
            </w:r>
          </w:p>
          <w:p w14:paraId="606535F1" w14:textId="77777777" w:rsidR="00247AD2" w:rsidRDefault="00247AD2" w:rsidP="001045FA">
            <w:pPr>
              <w:pStyle w:val="ListBullet"/>
            </w:pPr>
            <w:r>
              <w:t>Centrelink: 50.7%</w:t>
            </w:r>
          </w:p>
          <w:p w14:paraId="25D356BD" w14:textId="77777777" w:rsidR="00247AD2" w:rsidRDefault="00247AD2" w:rsidP="001045FA">
            <w:pPr>
              <w:pStyle w:val="ListBullet"/>
            </w:pPr>
            <w:r>
              <w:t>Child support: 33%</w:t>
            </w:r>
          </w:p>
        </w:tc>
        <w:tc>
          <w:tcPr>
            <w:tcW w:w="1336" w:type="pct"/>
          </w:tcPr>
          <w:p w14:paraId="37B351A0" w14:textId="77777777" w:rsidR="00247AD2" w:rsidRDefault="00247AD2" w:rsidP="001045FA">
            <w:pPr>
              <w:pStyle w:val="BodyText"/>
            </w:pPr>
            <w:r>
              <w:t>Satisfied with:</w:t>
            </w:r>
          </w:p>
          <w:p w14:paraId="754F2D1B" w14:textId="77777777" w:rsidR="00247AD2" w:rsidRDefault="00247AD2" w:rsidP="001045FA">
            <w:pPr>
              <w:pStyle w:val="ListBullet"/>
            </w:pPr>
            <w:r>
              <w:t>Medicare: 67.7%</w:t>
            </w:r>
          </w:p>
          <w:p w14:paraId="798257AC" w14:textId="77777777" w:rsidR="00247AD2" w:rsidRDefault="00247AD2" w:rsidP="001045FA">
            <w:pPr>
              <w:pStyle w:val="ListBullet"/>
            </w:pPr>
            <w:r>
              <w:t>Centrelink: 68.5%</w:t>
            </w:r>
          </w:p>
          <w:p w14:paraId="186A4CDC" w14:textId="77777777" w:rsidR="00247AD2" w:rsidRDefault="00247AD2" w:rsidP="001045FA">
            <w:pPr>
              <w:pStyle w:val="ListBullet"/>
            </w:pPr>
            <w:r>
              <w:t>Child Support: 38.6%</w:t>
            </w:r>
          </w:p>
        </w:tc>
      </w:tr>
    </w:tbl>
    <w:p w14:paraId="3B1E4F02" w14:textId="77777777" w:rsidR="00247AD2" w:rsidRDefault="00247AD2" w:rsidP="00247AD2">
      <w:pPr>
        <w:pStyle w:val="Heading2"/>
      </w:pPr>
      <w:r>
        <w:t>Feedback on services</w:t>
      </w:r>
    </w:p>
    <w:p w14:paraId="14C9D453" w14:textId="77777777" w:rsidR="00247AD2" w:rsidRDefault="00247AD2" w:rsidP="00247AD2">
      <w:pPr>
        <w:pStyle w:val="BodyText"/>
      </w:pPr>
      <w:r>
        <w:t xml:space="preserve">We are committed to delivering high-quality services to the Australian people. We value the feedback we receive as it helps us improve our business processes and deliver better services. </w:t>
      </w:r>
    </w:p>
    <w:p w14:paraId="1DE32A67" w14:textId="77777777" w:rsidR="00247AD2" w:rsidRDefault="00247AD2" w:rsidP="00247AD2">
      <w:pPr>
        <w:pStyle w:val="BodyText"/>
        <w:spacing w:after="57"/>
      </w:pPr>
      <w:r>
        <w:t>We are committed to ensuring that people are aware of their right to submit complaints and provide feedback. Customers can contact the agency:</w:t>
      </w:r>
    </w:p>
    <w:p w14:paraId="2EDE7860" w14:textId="77777777" w:rsidR="00247AD2" w:rsidRDefault="00247AD2" w:rsidP="00E53A80">
      <w:pPr>
        <w:pStyle w:val="ListBullet"/>
      </w:pPr>
      <w:r>
        <w:t xml:space="preserve">by calling the complaints and feedback line on </w:t>
      </w:r>
      <w:r>
        <w:rPr>
          <w:rStyle w:val="Bold"/>
        </w:rPr>
        <w:t>1800 132 468</w:t>
      </w:r>
    </w:p>
    <w:p w14:paraId="27BCD53E" w14:textId="77777777" w:rsidR="00247AD2" w:rsidRDefault="00247AD2" w:rsidP="00E53A80">
      <w:pPr>
        <w:pStyle w:val="ListBullet"/>
      </w:pPr>
      <w:r>
        <w:t xml:space="preserve">online via their myGov account, Services Australia website, or by calling one of our international numbers from overseas. This information can be found at </w:t>
      </w:r>
      <w:r>
        <w:rPr>
          <w:rStyle w:val="Bold"/>
        </w:rPr>
        <w:t>servicesaustralia.gov.au</w:t>
      </w:r>
    </w:p>
    <w:p w14:paraId="124D6140" w14:textId="77777777" w:rsidR="00247AD2" w:rsidRDefault="00247AD2" w:rsidP="00E53A80">
      <w:pPr>
        <w:pStyle w:val="ListBullet"/>
      </w:pPr>
      <w:r>
        <w:t>by mail (no postage stamp required)</w:t>
      </w:r>
    </w:p>
    <w:p w14:paraId="3D9890CB" w14:textId="77777777" w:rsidR="00247AD2" w:rsidRDefault="00247AD2" w:rsidP="00E53A80">
      <w:pPr>
        <w:pStyle w:val="ListBullet"/>
      </w:pPr>
      <w:r>
        <w:t>by calling the National Relay Service for people who are deaf, have hearing loss or have speech disability</w:t>
      </w:r>
    </w:p>
    <w:p w14:paraId="20F78C99" w14:textId="77777777" w:rsidR="00247AD2" w:rsidRDefault="00247AD2" w:rsidP="00E53A80">
      <w:pPr>
        <w:pStyle w:val="ListBullet"/>
      </w:pPr>
      <w:r>
        <w:t>by speaking to a Service Officer at any service centre or on the phone.</w:t>
      </w:r>
    </w:p>
    <w:p w14:paraId="53D97CAF" w14:textId="77777777" w:rsidR="00247AD2" w:rsidRDefault="00247AD2" w:rsidP="00247AD2">
      <w:pPr>
        <w:pStyle w:val="BodyText"/>
      </w:pPr>
      <w:r>
        <w:t>In 2024–25 we received 8,387 compliments. Of these, 77.8% were about the service provided by staff, 16.7% were about programs and 5.5% were about products.</w:t>
      </w:r>
    </w:p>
    <w:p w14:paraId="59911AC4" w14:textId="77777777" w:rsidR="00247AD2" w:rsidRDefault="00247AD2" w:rsidP="00247AD2">
      <w:pPr>
        <w:pStyle w:val="BodyText"/>
      </w:pPr>
      <w:r>
        <w:lastRenderedPageBreak/>
        <w:t>We actively encourage feedback and suggestions about programs, services and new initiatives. In 2024–25 we received 8,516 suggestions.</w:t>
      </w:r>
    </w:p>
    <w:p w14:paraId="2EBCBF33" w14:textId="77777777" w:rsidR="00247AD2" w:rsidRDefault="00247AD2" w:rsidP="00247AD2">
      <w:pPr>
        <w:pStyle w:val="Heading3"/>
      </w:pPr>
      <w:r>
        <w:t>Medicare feedback</w:t>
      </w:r>
    </w:p>
    <w:p w14:paraId="19FFD3E2" w14:textId="77777777" w:rsidR="00247AD2" w:rsidRDefault="00247AD2" w:rsidP="00247AD2">
      <w:pPr>
        <w:pStyle w:val="BodyText"/>
        <w:spacing w:after="57"/>
      </w:pPr>
      <w:r>
        <w:t>In 2024–25 we recorded 9,421 feedback contacts about Medicare services. Of these, 7,746 were complaints. The top 3 complaint reasons, by volume, were:</w:t>
      </w:r>
    </w:p>
    <w:p w14:paraId="06703C1A" w14:textId="77777777" w:rsidR="00247AD2" w:rsidRDefault="00247AD2" w:rsidP="00E53A80">
      <w:pPr>
        <w:pStyle w:val="ListBullet"/>
      </w:pPr>
      <w:r>
        <w:t>dissatisfaction with a claim, application or assessment process including waiting too long, incorrect information and reviews (33.8%)</w:t>
      </w:r>
    </w:p>
    <w:p w14:paraId="1ABE715D" w14:textId="77777777" w:rsidR="00247AD2" w:rsidRDefault="00247AD2" w:rsidP="00E53A80">
      <w:pPr>
        <w:pStyle w:val="ListBullet"/>
      </w:pPr>
      <w:r>
        <w:t>dissatisfaction with a decision, outcome or payment including not receiving a payment or service, rejection of an application or claim and waiting too long (20.4%)</w:t>
      </w:r>
    </w:p>
    <w:p w14:paraId="170FADF1" w14:textId="77777777" w:rsidR="00247AD2" w:rsidRDefault="00247AD2" w:rsidP="00E53A80">
      <w:pPr>
        <w:pStyle w:val="ListBullet"/>
      </w:pPr>
      <w:r>
        <w:t>dissatisfaction with a digital service including unable to access a digital service, information being incorrect, not available or unclear and being unable to update details (14.3%).</w:t>
      </w:r>
    </w:p>
    <w:p w14:paraId="4F90B005" w14:textId="77777777" w:rsidR="00247AD2" w:rsidRDefault="00247AD2" w:rsidP="00247AD2">
      <w:pPr>
        <w:pStyle w:val="BodyText"/>
      </w:pPr>
      <w:r>
        <w:t>We resolved 70% of Medicare complaints within 10 working days.</w:t>
      </w:r>
    </w:p>
    <w:p w14:paraId="102B4EA0" w14:textId="77777777" w:rsidR="00247AD2" w:rsidRDefault="00247AD2" w:rsidP="00247AD2">
      <w:pPr>
        <w:pStyle w:val="Heading3"/>
      </w:pPr>
      <w:r>
        <w:t>Centrelink feedback</w:t>
      </w:r>
    </w:p>
    <w:p w14:paraId="68741608" w14:textId="77777777" w:rsidR="00247AD2" w:rsidRDefault="00247AD2" w:rsidP="00247AD2">
      <w:pPr>
        <w:pStyle w:val="BodyText"/>
        <w:spacing w:after="57"/>
      </w:pPr>
      <w:r>
        <w:t>In 2024–25 we recorded 138,354 feedback contacts about Centrelink services. Of these, 123,341 were complaints. The top 3 complaint reasons, by volume, were:</w:t>
      </w:r>
    </w:p>
    <w:p w14:paraId="487E1CCE" w14:textId="77777777" w:rsidR="00247AD2" w:rsidRDefault="00247AD2" w:rsidP="00E53A80">
      <w:pPr>
        <w:pStyle w:val="ListBullet"/>
      </w:pPr>
      <w:r>
        <w:t>dissatisfaction with a decision, outcome or payment including cancellation or suspension of a payment or service, the amount of a payment and not receiving a payment or service (35.7%)</w:t>
      </w:r>
    </w:p>
    <w:p w14:paraId="2923D3E5" w14:textId="77777777" w:rsidR="00247AD2" w:rsidRDefault="00247AD2" w:rsidP="00E53A80">
      <w:pPr>
        <w:pStyle w:val="ListBullet"/>
      </w:pPr>
      <w:r>
        <w:t>dissatisfaction with a claim, application or assessment process including waiting too long, not being updated on claim progress and appeals or objections (31.5%)</w:t>
      </w:r>
    </w:p>
    <w:p w14:paraId="5E84AF7D" w14:textId="77777777" w:rsidR="00247AD2" w:rsidRDefault="00247AD2" w:rsidP="00E53A80">
      <w:pPr>
        <w:pStyle w:val="ListBullet"/>
      </w:pPr>
      <w:r>
        <w:t>dissatisfaction with a debt, deduction or collection including the amount of a debt, the repayment options and notification of a debt (7.3%).</w:t>
      </w:r>
    </w:p>
    <w:p w14:paraId="234D2A33" w14:textId="77777777" w:rsidR="00247AD2" w:rsidRDefault="00247AD2" w:rsidP="00247AD2">
      <w:pPr>
        <w:pStyle w:val="BodyText"/>
      </w:pPr>
      <w:r>
        <w:t>We resolved 92% of Centrelink complaints within 10 working days.</w:t>
      </w:r>
    </w:p>
    <w:p w14:paraId="6258AD8F" w14:textId="77777777" w:rsidR="00247AD2" w:rsidRDefault="00247AD2" w:rsidP="00247AD2">
      <w:pPr>
        <w:pStyle w:val="Heading3"/>
      </w:pPr>
      <w:r>
        <w:t>Child Support feedback</w:t>
      </w:r>
    </w:p>
    <w:p w14:paraId="7F072847" w14:textId="77777777" w:rsidR="00247AD2" w:rsidRDefault="00247AD2" w:rsidP="00247AD2">
      <w:pPr>
        <w:pStyle w:val="BodyText"/>
        <w:spacing w:after="57"/>
      </w:pPr>
      <w:r>
        <w:t>In 2024–25 we recorded 22,634 feedback contacts about Child Support services. Of these, 22,419 were complaints. The top 3 types of complaints, by volume, were:</w:t>
      </w:r>
    </w:p>
    <w:p w14:paraId="50A12A1F" w14:textId="77777777" w:rsidR="00247AD2" w:rsidRDefault="00247AD2" w:rsidP="00E53A80">
      <w:pPr>
        <w:pStyle w:val="ListBullet"/>
      </w:pPr>
      <w:r>
        <w:t>collection, including lack of collection, issues with account balance and issues with employer withholdings (31.9%)</w:t>
      </w:r>
    </w:p>
    <w:p w14:paraId="51D9CAB1" w14:textId="77777777" w:rsidR="00247AD2" w:rsidRDefault="00247AD2" w:rsidP="00E53A80">
      <w:pPr>
        <w:pStyle w:val="ListBullet"/>
      </w:pPr>
      <w:r>
        <w:rPr>
          <w:spacing w:val="-3"/>
        </w:rPr>
        <w:t>quality of service, including processing delays, poor advice and lack of courtesy (30.7%)</w:t>
      </w:r>
    </w:p>
    <w:p w14:paraId="2B41C391" w14:textId="77777777" w:rsidR="00247AD2" w:rsidRDefault="00247AD2" w:rsidP="00E53A80">
      <w:pPr>
        <w:pStyle w:val="ListBullet"/>
      </w:pPr>
      <w:r>
        <w:rPr>
          <w:spacing w:val="-4"/>
        </w:rPr>
        <w:t>assessment, including income used, care level used and change of assessment (23.6%).</w:t>
      </w:r>
    </w:p>
    <w:p w14:paraId="14F84E4C" w14:textId="77777777" w:rsidR="00247AD2" w:rsidRDefault="00247AD2" w:rsidP="00247AD2">
      <w:pPr>
        <w:pStyle w:val="BodyText"/>
      </w:pPr>
      <w:r>
        <w:t>We resolved 83% of Child Support complaints within 10 working days.</w:t>
      </w:r>
    </w:p>
    <w:p w14:paraId="00781A29" w14:textId="77777777" w:rsidR="00247AD2" w:rsidRDefault="00247AD2" w:rsidP="00247AD2">
      <w:pPr>
        <w:pStyle w:val="Heading1"/>
      </w:pPr>
      <w:bookmarkStart w:id="66" w:name="_Toc210815445"/>
      <w:r>
        <w:t>Appendix C — Other legislative requirements</w:t>
      </w:r>
      <w:bookmarkEnd w:id="66"/>
      <w:r>
        <w:t xml:space="preserve"> </w:t>
      </w:r>
    </w:p>
    <w:p w14:paraId="1A90461A" w14:textId="77777777" w:rsidR="00247AD2" w:rsidRDefault="00247AD2" w:rsidP="00247AD2">
      <w:pPr>
        <w:pStyle w:val="Heading2"/>
      </w:pPr>
      <w:r>
        <w:t>Data matching program</w:t>
      </w:r>
    </w:p>
    <w:p w14:paraId="2BDE178F" w14:textId="77777777" w:rsidR="00247AD2" w:rsidRDefault="00247AD2" w:rsidP="00247AD2">
      <w:pPr>
        <w:pStyle w:val="BodyText"/>
      </w:pPr>
      <w:r>
        <w:t xml:space="preserve">The Data-matching Program (the program) is governed by the </w:t>
      </w:r>
      <w:r>
        <w:rPr>
          <w:rStyle w:val="Italic"/>
        </w:rPr>
        <w:t>Data-matching Program (Assistance and Tax) Act 1990</w:t>
      </w:r>
      <w:r>
        <w:t xml:space="preserve"> (DMP Act). Under section 12(4) of the DMP Act, participating agencies are required to table reports in both houses of parliament. This appendix has been prepared in accordance with section 21 of the Data matching (Assistance and Tax) Rules 2021. </w:t>
      </w:r>
    </w:p>
    <w:p w14:paraId="023A8C34" w14:textId="77777777" w:rsidR="00247AD2" w:rsidRDefault="00247AD2" w:rsidP="00247AD2">
      <w:pPr>
        <w:pStyle w:val="BodyText"/>
      </w:pPr>
      <w:r>
        <w:t xml:space="preserve">The agency performed program activities in 2024–25 solely on behalf of the DVA. </w:t>
      </w:r>
    </w:p>
    <w:p w14:paraId="1B21480D" w14:textId="77777777" w:rsidR="00247AD2" w:rsidRDefault="00247AD2" w:rsidP="00247AD2">
      <w:pPr>
        <w:pStyle w:val="BodyText"/>
      </w:pPr>
      <w:r>
        <w:lastRenderedPageBreak/>
        <w:t xml:space="preserve">For results of program activities required under section 12(4) of the DMP Act, go to the DVA annual report for 2024–25 on DVA’s website. </w:t>
      </w:r>
    </w:p>
    <w:p w14:paraId="66D5C971" w14:textId="77777777" w:rsidR="00247AD2" w:rsidRDefault="00247AD2" w:rsidP="00247AD2">
      <w:pPr>
        <w:pStyle w:val="BodyText"/>
      </w:pPr>
      <w:r>
        <w:rPr>
          <w:spacing w:val="-1"/>
        </w:rPr>
        <w:t>The program was paused in 2023–24 following the publication of the Royal Commission</w:t>
      </w:r>
      <w:r>
        <w:t xml:space="preserve"> into the Robodebt Scheme report, pending a review of the data exchange. As a result, no cycles were run in 2024–25. </w:t>
      </w:r>
    </w:p>
    <w:p w14:paraId="329DDB6A" w14:textId="77777777" w:rsidR="00247AD2" w:rsidRDefault="00247AD2" w:rsidP="00247AD2">
      <w:pPr>
        <w:pStyle w:val="BodyText"/>
      </w:pPr>
      <w:r>
        <w:rPr>
          <w:spacing w:val="-4"/>
        </w:rPr>
        <w:t xml:space="preserve">Table 80 shows the number of residual debts raised under the DMP Act in previous financial </w:t>
      </w:r>
      <w:r>
        <w:t xml:space="preserve">years that were paid in full or for which a repayment arrangement started in 2024–25. </w:t>
      </w:r>
    </w:p>
    <w:p w14:paraId="6CF74E1E" w14:textId="4ED6BB09" w:rsidR="00247AD2" w:rsidRPr="00AD1198" w:rsidRDefault="00AD1198" w:rsidP="00AD1198">
      <w:pPr>
        <w:pStyle w:val="BodyText"/>
        <w:rPr>
          <w:b/>
          <w:bCs/>
        </w:rPr>
      </w:pPr>
      <w:r w:rsidRPr="00AD1198">
        <w:rPr>
          <w:b/>
          <w:bCs/>
        </w:rPr>
        <w:t>Table 80:</w:t>
      </w:r>
      <w:r w:rsidR="00247AD2" w:rsidRPr="00AD1198">
        <w:rPr>
          <w:b/>
          <w:bCs/>
        </w:rPr>
        <w:t xml:space="preserve"> Results for matters relating to DMP Act activity in 2024–25</w:t>
      </w:r>
    </w:p>
    <w:tbl>
      <w:tblPr>
        <w:tblStyle w:val="TableGrid"/>
        <w:tblW w:w="5000" w:type="pct"/>
        <w:tblLook w:val="04A0" w:firstRow="1" w:lastRow="0" w:firstColumn="1" w:lastColumn="0" w:noHBand="0" w:noVBand="1"/>
        <w:tblCaption w:val="Results for matters relating to DMP Act activity in 2024–25"/>
      </w:tblPr>
      <w:tblGrid>
        <w:gridCol w:w="8910"/>
        <w:gridCol w:w="2186"/>
      </w:tblGrid>
      <w:tr w:rsidR="00247AD2" w14:paraId="6A44B3B6" w14:textId="77777777" w:rsidTr="001045FA">
        <w:trPr>
          <w:trHeight w:val="396"/>
          <w:tblHeader/>
        </w:trPr>
        <w:tc>
          <w:tcPr>
            <w:tcW w:w="4015" w:type="pct"/>
          </w:tcPr>
          <w:p w14:paraId="667CC238" w14:textId="77777777" w:rsidR="00247AD2" w:rsidRPr="001045FA" w:rsidRDefault="00247AD2" w:rsidP="001045FA">
            <w:pPr>
              <w:pStyle w:val="BodyText"/>
              <w:rPr>
                <w:b/>
                <w:bCs/>
              </w:rPr>
            </w:pPr>
            <w:r w:rsidRPr="001045FA">
              <w:rPr>
                <w:b/>
                <w:bCs/>
              </w:rPr>
              <w:t>Cases</w:t>
            </w:r>
          </w:p>
        </w:tc>
        <w:tc>
          <w:tcPr>
            <w:tcW w:w="985" w:type="pct"/>
          </w:tcPr>
          <w:p w14:paraId="5B33B8C8" w14:textId="77777777" w:rsidR="00247AD2" w:rsidRPr="001045FA" w:rsidRDefault="00247AD2" w:rsidP="001045FA">
            <w:pPr>
              <w:pStyle w:val="BodyText"/>
              <w:rPr>
                <w:b/>
                <w:bCs/>
              </w:rPr>
            </w:pPr>
            <w:r w:rsidRPr="001045FA">
              <w:rPr>
                <w:b/>
                <w:bCs/>
              </w:rPr>
              <w:t>Number</w:t>
            </w:r>
          </w:p>
        </w:tc>
      </w:tr>
      <w:tr w:rsidR="00247AD2" w14:paraId="1F0F5106" w14:textId="77777777" w:rsidTr="006A0585">
        <w:trPr>
          <w:trHeight w:val="396"/>
        </w:trPr>
        <w:tc>
          <w:tcPr>
            <w:tcW w:w="4015" w:type="pct"/>
          </w:tcPr>
          <w:p w14:paraId="68AF2BE6" w14:textId="77777777" w:rsidR="00247AD2" w:rsidRDefault="00247AD2" w:rsidP="001045FA">
            <w:pPr>
              <w:pStyle w:val="BodyText"/>
            </w:pPr>
            <w:r>
              <w:t>Number of matches produced</w:t>
            </w:r>
          </w:p>
        </w:tc>
        <w:tc>
          <w:tcPr>
            <w:tcW w:w="985" w:type="pct"/>
          </w:tcPr>
          <w:p w14:paraId="23340E24" w14:textId="77777777" w:rsidR="00247AD2" w:rsidRDefault="00247AD2" w:rsidP="001045FA">
            <w:pPr>
              <w:pStyle w:val="BodyText"/>
            </w:pPr>
            <w:r>
              <w:t>0</w:t>
            </w:r>
          </w:p>
        </w:tc>
      </w:tr>
      <w:tr w:rsidR="00247AD2" w14:paraId="420231A5" w14:textId="77777777" w:rsidTr="006A0585">
        <w:trPr>
          <w:trHeight w:val="396"/>
        </w:trPr>
        <w:tc>
          <w:tcPr>
            <w:tcW w:w="4015" w:type="pct"/>
          </w:tcPr>
          <w:p w14:paraId="29A413C5" w14:textId="77777777" w:rsidR="00247AD2" w:rsidRDefault="00247AD2" w:rsidP="001045FA">
            <w:pPr>
              <w:pStyle w:val="BodyText"/>
            </w:pPr>
            <w:r>
              <w:t>Number and proportion of matches that resulted in discrepancies</w:t>
            </w:r>
          </w:p>
        </w:tc>
        <w:tc>
          <w:tcPr>
            <w:tcW w:w="985" w:type="pct"/>
          </w:tcPr>
          <w:p w14:paraId="16973613" w14:textId="77777777" w:rsidR="00247AD2" w:rsidRDefault="00247AD2" w:rsidP="001045FA">
            <w:pPr>
              <w:pStyle w:val="BodyText"/>
            </w:pPr>
            <w:r>
              <w:t>0</w:t>
            </w:r>
          </w:p>
        </w:tc>
      </w:tr>
      <w:tr w:rsidR="00247AD2" w14:paraId="0B313B2B" w14:textId="77777777" w:rsidTr="006A0585">
        <w:trPr>
          <w:trHeight w:val="396"/>
        </w:trPr>
        <w:tc>
          <w:tcPr>
            <w:tcW w:w="4015" w:type="pct"/>
          </w:tcPr>
          <w:p w14:paraId="6937705D" w14:textId="77777777" w:rsidR="00247AD2" w:rsidRDefault="00247AD2" w:rsidP="001045FA">
            <w:pPr>
              <w:pStyle w:val="BodyText"/>
            </w:pPr>
            <w:r>
              <w:t>Number and proportion of discrepancies that resulted in the agency giving notice under section 11 of the DMP Act</w:t>
            </w:r>
          </w:p>
        </w:tc>
        <w:tc>
          <w:tcPr>
            <w:tcW w:w="985" w:type="pct"/>
          </w:tcPr>
          <w:p w14:paraId="0EDE8F6E" w14:textId="77777777" w:rsidR="00247AD2" w:rsidRDefault="00247AD2" w:rsidP="001045FA">
            <w:pPr>
              <w:pStyle w:val="BodyText"/>
            </w:pPr>
            <w:r>
              <w:t>0</w:t>
            </w:r>
          </w:p>
        </w:tc>
      </w:tr>
      <w:tr w:rsidR="00247AD2" w14:paraId="53B9CAC6" w14:textId="77777777" w:rsidTr="006A0585">
        <w:trPr>
          <w:trHeight w:val="396"/>
        </w:trPr>
        <w:tc>
          <w:tcPr>
            <w:tcW w:w="4015" w:type="pct"/>
          </w:tcPr>
          <w:p w14:paraId="7AB789AE" w14:textId="77777777" w:rsidR="00247AD2" w:rsidRDefault="00247AD2" w:rsidP="001045FA">
            <w:pPr>
              <w:pStyle w:val="BodyText"/>
            </w:pPr>
            <w:r>
              <w:t>Number and proportion of discrepancies that resulted in action being taken</w:t>
            </w:r>
          </w:p>
        </w:tc>
        <w:tc>
          <w:tcPr>
            <w:tcW w:w="985" w:type="pct"/>
          </w:tcPr>
          <w:p w14:paraId="6E29C6BA" w14:textId="77777777" w:rsidR="00247AD2" w:rsidRDefault="00247AD2" w:rsidP="001045FA">
            <w:pPr>
              <w:pStyle w:val="BodyText"/>
            </w:pPr>
            <w:r>
              <w:t>0</w:t>
            </w:r>
          </w:p>
        </w:tc>
      </w:tr>
      <w:tr w:rsidR="00247AD2" w14:paraId="6E1CD23F" w14:textId="77777777" w:rsidTr="006A0585">
        <w:trPr>
          <w:trHeight w:val="396"/>
        </w:trPr>
        <w:tc>
          <w:tcPr>
            <w:tcW w:w="4015" w:type="pct"/>
          </w:tcPr>
          <w:p w14:paraId="19A4FBDA" w14:textId="77777777" w:rsidR="00247AD2" w:rsidRDefault="00247AD2" w:rsidP="001045FA">
            <w:pPr>
              <w:pStyle w:val="BodyText"/>
            </w:pPr>
            <w:r>
              <w:t>Number of cases in which an overpayment was identified</w:t>
            </w:r>
          </w:p>
        </w:tc>
        <w:tc>
          <w:tcPr>
            <w:tcW w:w="985" w:type="pct"/>
          </w:tcPr>
          <w:p w14:paraId="695E9F94" w14:textId="77777777" w:rsidR="00247AD2" w:rsidRDefault="00247AD2" w:rsidP="001045FA">
            <w:pPr>
              <w:pStyle w:val="BodyText"/>
            </w:pPr>
            <w:r>
              <w:t>0</w:t>
            </w:r>
          </w:p>
        </w:tc>
      </w:tr>
      <w:tr w:rsidR="00247AD2" w14:paraId="0D2F3D50" w14:textId="77777777" w:rsidTr="006A0585">
        <w:trPr>
          <w:trHeight w:val="396"/>
        </w:trPr>
        <w:tc>
          <w:tcPr>
            <w:tcW w:w="4015" w:type="pct"/>
          </w:tcPr>
          <w:p w14:paraId="62BAA0CA" w14:textId="77777777" w:rsidR="00247AD2" w:rsidRDefault="00247AD2" w:rsidP="001045FA">
            <w:pPr>
              <w:pStyle w:val="BodyText"/>
            </w:pPr>
            <w:r>
              <w:t>Number of cases in which action proceeded despite a challenge to accuracy of the data</w:t>
            </w:r>
          </w:p>
        </w:tc>
        <w:tc>
          <w:tcPr>
            <w:tcW w:w="985" w:type="pct"/>
          </w:tcPr>
          <w:p w14:paraId="2CB7406C" w14:textId="77777777" w:rsidR="00247AD2" w:rsidRDefault="00247AD2" w:rsidP="001045FA">
            <w:pPr>
              <w:pStyle w:val="BodyText"/>
            </w:pPr>
            <w:r>
              <w:t>0</w:t>
            </w:r>
          </w:p>
        </w:tc>
      </w:tr>
      <w:tr w:rsidR="00247AD2" w14:paraId="220C5124" w14:textId="77777777" w:rsidTr="006A0585">
        <w:trPr>
          <w:trHeight w:val="396"/>
        </w:trPr>
        <w:tc>
          <w:tcPr>
            <w:tcW w:w="4015" w:type="pct"/>
          </w:tcPr>
          <w:p w14:paraId="684FE3E0" w14:textId="77777777" w:rsidR="00247AD2" w:rsidRDefault="00247AD2" w:rsidP="001045FA">
            <w:pPr>
              <w:pStyle w:val="BodyText"/>
            </w:pPr>
            <w:r>
              <w:t>Number of cases not proceeded with after contacting the individual who is the subject of the match</w:t>
            </w:r>
          </w:p>
        </w:tc>
        <w:tc>
          <w:tcPr>
            <w:tcW w:w="985" w:type="pct"/>
          </w:tcPr>
          <w:p w14:paraId="5BE602F5" w14:textId="77777777" w:rsidR="00247AD2" w:rsidRDefault="00247AD2" w:rsidP="001045FA">
            <w:pPr>
              <w:pStyle w:val="BodyText"/>
            </w:pPr>
            <w:r>
              <w:t>0</w:t>
            </w:r>
          </w:p>
        </w:tc>
      </w:tr>
      <w:tr w:rsidR="00247AD2" w14:paraId="7FF5C2D9" w14:textId="77777777" w:rsidTr="006A0585">
        <w:trPr>
          <w:trHeight w:val="396"/>
        </w:trPr>
        <w:tc>
          <w:tcPr>
            <w:tcW w:w="4015" w:type="pct"/>
          </w:tcPr>
          <w:p w14:paraId="4D918747" w14:textId="77777777" w:rsidR="00247AD2" w:rsidRDefault="00247AD2" w:rsidP="001045FA">
            <w:pPr>
              <w:pStyle w:val="BodyText"/>
            </w:pPr>
            <w:r>
              <w:t>Cases where recovery action was initiated</w:t>
            </w:r>
            <w:r>
              <w:rPr>
                <w:vertAlign w:val="superscript"/>
              </w:rPr>
              <w:t>(a)</w:t>
            </w:r>
          </w:p>
        </w:tc>
        <w:tc>
          <w:tcPr>
            <w:tcW w:w="985" w:type="pct"/>
          </w:tcPr>
          <w:p w14:paraId="62FF8748" w14:textId="397C7E6D" w:rsidR="00247AD2" w:rsidRDefault="00247AD2" w:rsidP="001045FA">
            <w:pPr>
              <w:pStyle w:val="BodyText"/>
            </w:pPr>
            <w:r>
              <w:t>18</w:t>
            </w:r>
          </w:p>
        </w:tc>
      </w:tr>
      <w:tr w:rsidR="00247AD2" w14:paraId="60DFC42F" w14:textId="77777777" w:rsidTr="006A0585">
        <w:trPr>
          <w:trHeight w:val="396"/>
        </w:trPr>
        <w:tc>
          <w:tcPr>
            <w:tcW w:w="4015" w:type="pct"/>
          </w:tcPr>
          <w:p w14:paraId="1240FC0A" w14:textId="77777777" w:rsidR="00247AD2" w:rsidRDefault="00247AD2" w:rsidP="001045FA">
            <w:pPr>
              <w:pStyle w:val="BodyText"/>
            </w:pPr>
            <w:r>
              <w:t>Cases where the debt was fully recovered</w:t>
            </w:r>
            <w:r>
              <w:rPr>
                <w:vertAlign w:val="superscript"/>
              </w:rPr>
              <w:t>(b)</w:t>
            </w:r>
          </w:p>
        </w:tc>
        <w:tc>
          <w:tcPr>
            <w:tcW w:w="985" w:type="pct"/>
          </w:tcPr>
          <w:p w14:paraId="6211D330" w14:textId="780AE147" w:rsidR="00247AD2" w:rsidRDefault="00247AD2" w:rsidP="001045FA">
            <w:pPr>
              <w:pStyle w:val="BodyText"/>
            </w:pPr>
            <w:r>
              <w:t>68</w:t>
            </w:r>
          </w:p>
        </w:tc>
      </w:tr>
    </w:tbl>
    <w:p w14:paraId="65CBCD7D" w14:textId="4573DF7C" w:rsidR="00247AD2" w:rsidRDefault="00247AD2" w:rsidP="00AD1198">
      <w:pPr>
        <w:pStyle w:val="ProductCode"/>
      </w:pPr>
      <w:r>
        <w:t>(a)</w:t>
      </w:r>
      <w:r w:rsidR="00AD1198">
        <w:t xml:space="preserve"> </w:t>
      </w:r>
      <w:r>
        <w:t xml:space="preserve">The number of cases where recovery action commenced on a debt. The agency recovers debts through withholding part of a customer’s payment or through cash repayments. </w:t>
      </w:r>
    </w:p>
    <w:p w14:paraId="56970F72" w14:textId="13740FAF" w:rsidR="00247AD2" w:rsidRDefault="00247AD2" w:rsidP="00AD1198">
      <w:pPr>
        <w:pStyle w:val="ProductCode"/>
      </w:pPr>
      <w:r>
        <w:t>(b)</w:t>
      </w:r>
      <w:r w:rsidR="00AD1198">
        <w:t xml:space="preserve"> </w:t>
      </w:r>
      <w:r>
        <w:t xml:space="preserve">Recovery of a debt can take place over a number of years, so the number and value of debts raised in a year does not necessarily correspond to the number and value of recoveries. </w:t>
      </w:r>
    </w:p>
    <w:p w14:paraId="7C387CD9" w14:textId="77777777" w:rsidR="00247AD2" w:rsidRDefault="00247AD2" w:rsidP="00247AD2">
      <w:pPr>
        <w:pStyle w:val="Heading3"/>
      </w:pPr>
      <w:r>
        <w:t>Program savings and costs</w:t>
      </w:r>
    </w:p>
    <w:p w14:paraId="1E1A9B60" w14:textId="77777777" w:rsidR="00247AD2" w:rsidRDefault="00247AD2" w:rsidP="00247AD2">
      <w:pPr>
        <w:pStyle w:val="BodyText"/>
        <w:spacing w:after="57"/>
      </w:pPr>
      <w:r>
        <w:t xml:space="preserve">The program has 3 direct savings components: </w:t>
      </w:r>
    </w:p>
    <w:p w14:paraId="7DC7862A" w14:textId="77777777" w:rsidR="00247AD2" w:rsidRDefault="00247AD2" w:rsidP="00AD1198">
      <w:pPr>
        <w:pStyle w:val="ListBullet"/>
      </w:pPr>
      <w:r>
        <w:t xml:space="preserve">downward variations in rate or stopping payments </w:t>
      </w:r>
    </w:p>
    <w:p w14:paraId="6A7306B8" w14:textId="77777777" w:rsidR="00247AD2" w:rsidRDefault="00247AD2" w:rsidP="00AD1198">
      <w:pPr>
        <w:pStyle w:val="ListBullet"/>
      </w:pPr>
      <w:r>
        <w:t xml:space="preserve">raised debts of social security payments </w:t>
      </w:r>
    </w:p>
    <w:p w14:paraId="59D5BEA6" w14:textId="77777777" w:rsidR="00247AD2" w:rsidRDefault="00247AD2" w:rsidP="00AD1198">
      <w:pPr>
        <w:pStyle w:val="ListBullet"/>
      </w:pPr>
      <w:r>
        <w:t xml:space="preserve">ceasing payments to new recipients for failure to comply with tax file number requirements. </w:t>
      </w:r>
    </w:p>
    <w:p w14:paraId="77FFBF2B" w14:textId="77777777" w:rsidR="00247AD2" w:rsidRDefault="00247AD2" w:rsidP="00247AD2">
      <w:pPr>
        <w:pStyle w:val="BodyText"/>
        <w:spacing w:after="57"/>
        <w:rPr>
          <w:spacing w:val="-2"/>
        </w:rPr>
      </w:pPr>
      <w:r>
        <w:rPr>
          <w:spacing w:val="-3"/>
        </w:rPr>
        <w:t xml:space="preserve">As we do not use the program for compliance review activity, savings from the program are </w:t>
      </w:r>
      <w:r>
        <w:rPr>
          <w:spacing w:val="-2"/>
        </w:rPr>
        <w:t xml:space="preserve">solely generated from new recipients failing to comply with tax file number requirements. </w:t>
      </w:r>
    </w:p>
    <w:p w14:paraId="2955BECC" w14:textId="77777777" w:rsidR="00247AD2" w:rsidRDefault="00247AD2" w:rsidP="00AD1198">
      <w:pPr>
        <w:pStyle w:val="ListBullet"/>
      </w:pPr>
      <w:r>
        <w:t xml:space="preserve">In 2024–25 the program achieved $8 million in savings. </w:t>
      </w:r>
    </w:p>
    <w:p w14:paraId="59855A6B" w14:textId="77777777" w:rsidR="00247AD2" w:rsidRDefault="00247AD2" w:rsidP="00247AD2">
      <w:pPr>
        <w:pStyle w:val="BodyText"/>
      </w:pPr>
      <w:r>
        <w:rPr>
          <w:rStyle w:val="Bold"/>
          <w:spacing w:val="-2"/>
        </w:rPr>
        <w:lastRenderedPageBreak/>
        <w:t xml:space="preserve">Administrative costs: </w:t>
      </w:r>
      <w:r>
        <w:rPr>
          <w:spacing w:val="-2"/>
        </w:rPr>
        <w:t xml:space="preserve">The equipment used to run the program cycles has some ongoing administrative costs associated with computer hardware and software maintenance. </w:t>
      </w:r>
    </w:p>
    <w:p w14:paraId="6BEAB18E" w14:textId="77777777" w:rsidR="00247AD2" w:rsidRDefault="00247AD2" w:rsidP="00247AD2">
      <w:pPr>
        <w:pStyle w:val="BodyText"/>
        <w:spacing w:after="57"/>
      </w:pPr>
      <w:r>
        <w:rPr>
          <w:rStyle w:val="Bold"/>
        </w:rPr>
        <w:t xml:space="preserve">Salary costs: </w:t>
      </w:r>
      <w:r>
        <w:t xml:space="preserve">The program’s main salary costs were associated with: </w:t>
      </w:r>
    </w:p>
    <w:p w14:paraId="25AA8A00" w14:textId="77777777" w:rsidR="00247AD2" w:rsidRDefault="00247AD2" w:rsidP="00AD1198">
      <w:pPr>
        <w:pStyle w:val="ListBullet"/>
      </w:pPr>
      <w:r>
        <w:t xml:space="preserve">managing and supporting the program within the agency </w:t>
      </w:r>
    </w:p>
    <w:p w14:paraId="1A7CEDC1" w14:textId="77777777" w:rsidR="00247AD2" w:rsidRDefault="00247AD2" w:rsidP="00AD1198">
      <w:pPr>
        <w:pStyle w:val="ListBullet"/>
      </w:pPr>
      <w:r>
        <w:rPr>
          <w:spacing w:val="-2"/>
        </w:rPr>
        <w:t xml:space="preserve">the agency’s operational network activity including its management and coordination. </w:t>
      </w:r>
    </w:p>
    <w:p w14:paraId="45B9D117" w14:textId="77777777" w:rsidR="00247AD2" w:rsidRDefault="00247AD2" w:rsidP="00247AD2">
      <w:pPr>
        <w:pStyle w:val="BodyText"/>
      </w:pPr>
      <w:r>
        <w:rPr>
          <w:rStyle w:val="Bold"/>
          <w:spacing w:val="-3"/>
        </w:rPr>
        <w:t>Direct cost–benefit summary:</w:t>
      </w:r>
      <w:r>
        <w:rPr>
          <w:spacing w:val="-3"/>
        </w:rPr>
        <w:t xml:space="preserve"> The net benefit of the program was $7.9 million in 2024–25.</w:t>
      </w:r>
    </w:p>
    <w:p w14:paraId="0497403E" w14:textId="77777777" w:rsidR="00247AD2" w:rsidRDefault="00247AD2" w:rsidP="00247AD2">
      <w:pPr>
        <w:pStyle w:val="BodyText"/>
      </w:pPr>
      <w:r>
        <w:t xml:space="preserve">Table 81 shows a summary of direct cost benefit during 2024–25. </w:t>
      </w:r>
    </w:p>
    <w:p w14:paraId="398838AE" w14:textId="700E7B79" w:rsidR="00247AD2" w:rsidRPr="00AD1198" w:rsidRDefault="00AD1198" w:rsidP="00AD1198">
      <w:pPr>
        <w:pStyle w:val="BodyText"/>
        <w:rPr>
          <w:b/>
          <w:bCs/>
        </w:rPr>
      </w:pPr>
      <w:r w:rsidRPr="00AD1198">
        <w:rPr>
          <w:b/>
          <w:bCs/>
        </w:rPr>
        <w:t>Table 81:</w:t>
      </w:r>
      <w:r w:rsidR="00247AD2" w:rsidRPr="00AD1198">
        <w:rPr>
          <w:b/>
          <w:bCs/>
        </w:rPr>
        <w:t xml:space="preserve"> Direct cost–benefit summary </w:t>
      </w:r>
    </w:p>
    <w:tbl>
      <w:tblPr>
        <w:tblStyle w:val="TableGrid"/>
        <w:tblW w:w="5000" w:type="pct"/>
        <w:tblLook w:val="04A0" w:firstRow="1" w:lastRow="0" w:firstColumn="1" w:lastColumn="0" w:noHBand="0" w:noVBand="1"/>
        <w:tblCaption w:val="Direct cost–benefit summary "/>
      </w:tblPr>
      <w:tblGrid>
        <w:gridCol w:w="8282"/>
        <w:gridCol w:w="2814"/>
      </w:tblGrid>
      <w:tr w:rsidR="00247AD2" w14:paraId="161C3335" w14:textId="77777777" w:rsidTr="001045FA">
        <w:trPr>
          <w:trHeight w:val="396"/>
          <w:tblHeader/>
        </w:trPr>
        <w:tc>
          <w:tcPr>
            <w:tcW w:w="3732" w:type="pct"/>
          </w:tcPr>
          <w:p w14:paraId="39F340DB" w14:textId="77777777" w:rsidR="00247AD2" w:rsidRDefault="00247AD2" w:rsidP="001045FA">
            <w:pPr>
              <w:pStyle w:val="BodyText"/>
            </w:pPr>
          </w:p>
        </w:tc>
        <w:tc>
          <w:tcPr>
            <w:tcW w:w="1268" w:type="pct"/>
          </w:tcPr>
          <w:p w14:paraId="440BDCA3" w14:textId="77777777" w:rsidR="00247AD2" w:rsidRPr="00891C1C" w:rsidRDefault="00247AD2" w:rsidP="001045FA">
            <w:pPr>
              <w:pStyle w:val="BodyText"/>
              <w:rPr>
                <w:b/>
                <w:bCs/>
              </w:rPr>
            </w:pPr>
            <w:r w:rsidRPr="00891C1C">
              <w:rPr>
                <w:b/>
                <w:bCs/>
              </w:rPr>
              <w:t>2024–25 actual</w:t>
            </w:r>
          </w:p>
        </w:tc>
      </w:tr>
      <w:tr w:rsidR="00247AD2" w14:paraId="0FBFCB48" w14:textId="77777777" w:rsidTr="006A0585">
        <w:trPr>
          <w:trHeight w:val="396"/>
        </w:trPr>
        <w:tc>
          <w:tcPr>
            <w:tcW w:w="3732" w:type="pct"/>
          </w:tcPr>
          <w:p w14:paraId="52E53180" w14:textId="77777777" w:rsidR="00247AD2" w:rsidRDefault="00247AD2" w:rsidP="001045FA">
            <w:pPr>
              <w:pStyle w:val="BodyText"/>
            </w:pPr>
            <w:r>
              <w:t>Benefits</w:t>
            </w:r>
            <w:r>
              <w:rPr>
                <w:vertAlign w:val="superscript"/>
              </w:rPr>
              <w:t>(a)</w:t>
            </w:r>
          </w:p>
        </w:tc>
        <w:tc>
          <w:tcPr>
            <w:tcW w:w="1268" w:type="pct"/>
          </w:tcPr>
          <w:p w14:paraId="3DA8CCA6" w14:textId="77777777" w:rsidR="00247AD2" w:rsidRDefault="00247AD2" w:rsidP="001045FA">
            <w:pPr>
              <w:pStyle w:val="BodyText"/>
            </w:pPr>
            <w:r>
              <w:t>$8,045,000</w:t>
            </w:r>
          </w:p>
        </w:tc>
      </w:tr>
      <w:tr w:rsidR="00247AD2" w14:paraId="627EE4EB" w14:textId="77777777" w:rsidTr="006A0585">
        <w:trPr>
          <w:trHeight w:val="396"/>
        </w:trPr>
        <w:tc>
          <w:tcPr>
            <w:tcW w:w="3732" w:type="pct"/>
          </w:tcPr>
          <w:p w14:paraId="4BE64DDD" w14:textId="77777777" w:rsidR="00247AD2" w:rsidRDefault="00247AD2" w:rsidP="001045FA">
            <w:pPr>
              <w:pStyle w:val="BodyText"/>
            </w:pPr>
            <w:r>
              <w:t>Costs</w:t>
            </w:r>
          </w:p>
        </w:tc>
        <w:tc>
          <w:tcPr>
            <w:tcW w:w="1268" w:type="pct"/>
          </w:tcPr>
          <w:p w14:paraId="5D4606C7" w14:textId="77777777" w:rsidR="00247AD2" w:rsidRDefault="00247AD2" w:rsidP="001045FA">
            <w:pPr>
              <w:pStyle w:val="BodyText"/>
            </w:pPr>
            <w:r>
              <w:t>$103,000</w:t>
            </w:r>
          </w:p>
        </w:tc>
      </w:tr>
      <w:tr w:rsidR="00247AD2" w14:paraId="1A052B77" w14:textId="77777777" w:rsidTr="006A0585">
        <w:trPr>
          <w:trHeight w:val="396"/>
        </w:trPr>
        <w:tc>
          <w:tcPr>
            <w:tcW w:w="3732" w:type="pct"/>
          </w:tcPr>
          <w:p w14:paraId="39210967" w14:textId="77777777" w:rsidR="00247AD2" w:rsidRDefault="00247AD2" w:rsidP="001045FA">
            <w:pPr>
              <w:pStyle w:val="BodyText"/>
            </w:pPr>
            <w:r>
              <w:t>Net benefits</w:t>
            </w:r>
            <w:r>
              <w:rPr>
                <w:vertAlign w:val="superscript"/>
              </w:rPr>
              <w:t>(b)</w:t>
            </w:r>
          </w:p>
        </w:tc>
        <w:tc>
          <w:tcPr>
            <w:tcW w:w="1268" w:type="pct"/>
          </w:tcPr>
          <w:p w14:paraId="43727BD3" w14:textId="77777777" w:rsidR="00247AD2" w:rsidRDefault="00247AD2" w:rsidP="001045FA">
            <w:pPr>
              <w:pStyle w:val="BodyText"/>
            </w:pPr>
            <w:r>
              <w:t>$7,972,000</w:t>
            </w:r>
          </w:p>
        </w:tc>
      </w:tr>
      <w:tr w:rsidR="00247AD2" w14:paraId="02C80BD0" w14:textId="77777777" w:rsidTr="006A0585">
        <w:trPr>
          <w:trHeight w:val="396"/>
        </w:trPr>
        <w:tc>
          <w:tcPr>
            <w:tcW w:w="3732" w:type="pct"/>
          </w:tcPr>
          <w:p w14:paraId="53613797" w14:textId="77777777" w:rsidR="00247AD2" w:rsidRDefault="00247AD2" w:rsidP="001045FA">
            <w:pPr>
              <w:pStyle w:val="BodyText"/>
            </w:pPr>
            <w:r>
              <w:t>Cost–benefit ratio</w:t>
            </w:r>
            <w:r>
              <w:rPr>
                <w:vertAlign w:val="superscript"/>
              </w:rPr>
              <w:t>(c)</w:t>
            </w:r>
          </w:p>
        </w:tc>
        <w:tc>
          <w:tcPr>
            <w:tcW w:w="1268" w:type="pct"/>
          </w:tcPr>
          <w:p w14:paraId="539E8102" w14:textId="77777777" w:rsidR="00247AD2" w:rsidRDefault="00247AD2" w:rsidP="001045FA">
            <w:pPr>
              <w:pStyle w:val="BodyText"/>
            </w:pPr>
            <w:r>
              <w:t>1:77</w:t>
            </w:r>
          </w:p>
        </w:tc>
      </w:tr>
    </w:tbl>
    <w:p w14:paraId="0FF1E6B3" w14:textId="2F4BF558" w:rsidR="00247AD2" w:rsidRDefault="00247AD2" w:rsidP="00AD1198">
      <w:pPr>
        <w:pStyle w:val="ProductCode"/>
      </w:pPr>
      <w:r>
        <w:t>(a)</w:t>
      </w:r>
      <w:r w:rsidR="00AD1198">
        <w:t xml:space="preserve"> </w:t>
      </w:r>
      <w:r>
        <w:t xml:space="preserve">Net savings, including the effect of upward variations. </w:t>
      </w:r>
    </w:p>
    <w:p w14:paraId="4E2C22BD" w14:textId="4DAA505A" w:rsidR="00247AD2" w:rsidRDefault="00247AD2" w:rsidP="00AD1198">
      <w:pPr>
        <w:pStyle w:val="ProductCode"/>
      </w:pPr>
      <w:r>
        <w:t>(b)</w:t>
      </w:r>
      <w:r w:rsidR="00AD1198">
        <w:t xml:space="preserve"> </w:t>
      </w:r>
      <w:r>
        <w:t xml:space="preserve">Calculated by subtracting costs from benefits. </w:t>
      </w:r>
    </w:p>
    <w:p w14:paraId="0E3D91F7" w14:textId="44A9C2A8" w:rsidR="00247AD2" w:rsidRDefault="00247AD2" w:rsidP="00AD1198">
      <w:pPr>
        <w:pStyle w:val="ProductCode"/>
      </w:pPr>
      <w:r>
        <w:t>(c)</w:t>
      </w:r>
      <w:r w:rsidR="00AD1198">
        <w:t xml:space="preserve"> </w:t>
      </w:r>
      <w:r>
        <w:t xml:space="preserve">Calculated by dividing benefits by costs. </w:t>
      </w:r>
    </w:p>
    <w:p w14:paraId="6B157A62" w14:textId="77777777" w:rsidR="00247AD2" w:rsidRDefault="00247AD2" w:rsidP="00247AD2">
      <w:pPr>
        <w:pStyle w:val="Heading3"/>
      </w:pPr>
      <w:r>
        <w:t>Chronology</w:t>
      </w:r>
    </w:p>
    <w:p w14:paraId="3204F0A5" w14:textId="77777777" w:rsidR="00247AD2" w:rsidRDefault="00247AD2" w:rsidP="00247AD2">
      <w:pPr>
        <w:pStyle w:val="BodyText"/>
      </w:pPr>
      <w:r>
        <w:t xml:space="preserve">No data-matching cycles were run with the Office of the Australian Information Commissioner in accordance with the DMP Act during 2024–25. </w:t>
      </w:r>
    </w:p>
    <w:p w14:paraId="07D31466" w14:textId="77777777" w:rsidR="00247AD2" w:rsidRDefault="00247AD2" w:rsidP="00247AD2">
      <w:pPr>
        <w:pStyle w:val="Heading2"/>
      </w:pPr>
      <w:r>
        <w:t xml:space="preserve">Notices under section 42 </w:t>
      </w:r>
      <w:r>
        <w:rPr>
          <w:rFonts w:ascii="Roboto-BoldItalic" w:hAnsi="Roboto-BoldItalic" w:cs="Roboto-BoldItalic"/>
          <w:i/>
          <w:iCs w:val="0"/>
        </w:rPr>
        <w:t>Human Services (Medicare) Act 1973</w:t>
      </w:r>
    </w:p>
    <w:p w14:paraId="47C249F9" w14:textId="77777777" w:rsidR="00247AD2" w:rsidRDefault="00247AD2" w:rsidP="00247AD2">
      <w:pPr>
        <w:pStyle w:val="BodyText"/>
      </w:pPr>
      <w:r>
        <w:t xml:space="preserve">Part IID of the </w:t>
      </w:r>
      <w:r>
        <w:rPr>
          <w:rStyle w:val="Italic"/>
        </w:rPr>
        <w:t>Human Services (Medicare) Act 1973</w:t>
      </w:r>
      <w:r>
        <w:t xml:space="preserve"> provides the agency with investigative powers relevant to offences against the Medicare programs we deliver. </w:t>
      </w:r>
    </w:p>
    <w:p w14:paraId="039CB9C8" w14:textId="77777777" w:rsidR="00247AD2" w:rsidRDefault="00247AD2" w:rsidP="00247AD2">
      <w:pPr>
        <w:pStyle w:val="BodyText"/>
      </w:pPr>
      <w:r>
        <w:t>The CEO, as the Chief Executive Medicare, may authorise the exercise of these powers in connection with an investigation. There was one authorised officer appointed under section 8M, and 139 section 8P notices issued in 2024–25.</w:t>
      </w:r>
    </w:p>
    <w:p w14:paraId="2E8FDA2A" w14:textId="77777777" w:rsidR="00247AD2" w:rsidRDefault="00247AD2" w:rsidP="00247AD2">
      <w:pPr>
        <w:pStyle w:val="Heading2"/>
      </w:pPr>
      <w:r>
        <w:t>Environmental management</w:t>
      </w:r>
    </w:p>
    <w:p w14:paraId="5FB1530D" w14:textId="77777777" w:rsidR="00247AD2" w:rsidRDefault="00247AD2" w:rsidP="00247AD2">
      <w:pPr>
        <w:pStyle w:val="BodyText"/>
      </w:pPr>
      <w:r>
        <w:t xml:space="preserve">The agency’s environmental sustainability policy helps us to manage and report on greenhouse gas emissions, energy use, resource use and waste arising from building operations, motor vehicle and air travel, information, ICT and stationery supplies. </w:t>
      </w:r>
    </w:p>
    <w:p w14:paraId="30CBF2BD" w14:textId="77777777" w:rsidR="00247AD2" w:rsidRDefault="00247AD2" w:rsidP="00247AD2">
      <w:pPr>
        <w:pStyle w:val="BodyText"/>
      </w:pPr>
      <w:r>
        <w:t xml:space="preserve">Section 516A of the </w:t>
      </w:r>
      <w:r>
        <w:rPr>
          <w:rStyle w:val="Italic"/>
        </w:rPr>
        <w:t xml:space="preserve">Environment Protection and Biodiversity Conservation Act 1999 </w:t>
      </w:r>
      <w:r>
        <w:t xml:space="preserve">(EPBC Act) requires Australian Government agencies to report annually on their contribution to ecologically sustainable development (ESD) principles and the measures taken to minimise their effect on the environment. </w:t>
      </w:r>
    </w:p>
    <w:p w14:paraId="1B2C0E69" w14:textId="77777777" w:rsidR="00247AD2" w:rsidRDefault="00247AD2" w:rsidP="00247AD2">
      <w:pPr>
        <w:pStyle w:val="BodyText"/>
      </w:pPr>
      <w:r>
        <w:lastRenderedPageBreak/>
        <w:t xml:space="preserve">The ESD principles are set out in section 3A of the EPBC Act. </w:t>
      </w:r>
    </w:p>
    <w:p w14:paraId="04318C25" w14:textId="77777777" w:rsidR="00247AD2" w:rsidRDefault="00247AD2" w:rsidP="00247AD2">
      <w:pPr>
        <w:pStyle w:val="Heading3"/>
      </w:pPr>
      <w:r>
        <w:rPr>
          <w:spacing w:val="-3"/>
        </w:rPr>
        <w:t>How administered programs accord with ESD principles – section 516A(6)(A)</w:t>
      </w:r>
    </w:p>
    <w:p w14:paraId="7BDA0B2E" w14:textId="77777777" w:rsidR="00247AD2" w:rsidRDefault="00247AD2" w:rsidP="00247AD2">
      <w:pPr>
        <w:pStyle w:val="BodyText"/>
      </w:pPr>
      <w:r>
        <w:t xml:space="preserve">In 2024–25 the agency delivered the Medicare, Centrelink and Child Support programs, and myGov, according to ESD principles. </w:t>
      </w:r>
    </w:p>
    <w:p w14:paraId="76EBD633" w14:textId="77777777" w:rsidR="00247AD2" w:rsidRDefault="00247AD2" w:rsidP="00247AD2">
      <w:pPr>
        <w:pStyle w:val="BodyText"/>
      </w:pPr>
      <w:r>
        <w:t xml:space="preserve">Fundamental considerations in administering these programs are the economic, environmental, equity and social consequences of short-term and long-term decision-making. </w:t>
      </w:r>
    </w:p>
    <w:p w14:paraId="50855158" w14:textId="77777777" w:rsidR="00247AD2" w:rsidRDefault="00247AD2" w:rsidP="00247AD2">
      <w:pPr>
        <w:pStyle w:val="Heading3"/>
      </w:pPr>
      <w:r>
        <w:t>How Outcome 1 contributed to ESD principles – section 516A(6)(B)</w:t>
      </w:r>
    </w:p>
    <w:p w14:paraId="258E8FB0" w14:textId="77777777" w:rsidR="00247AD2" w:rsidRDefault="00247AD2" w:rsidP="00247AD2">
      <w:pPr>
        <w:pStyle w:val="BodyText"/>
        <w:spacing w:after="57"/>
      </w:pPr>
      <w:r>
        <w:t xml:space="preserve">In 2024–25 agency activities that made a direct contribution to ESD included: </w:t>
      </w:r>
    </w:p>
    <w:p w14:paraId="692B09EF" w14:textId="77777777" w:rsidR="00247AD2" w:rsidRDefault="00247AD2" w:rsidP="00AD1198">
      <w:pPr>
        <w:pStyle w:val="ListBullet"/>
      </w:pPr>
      <w:r>
        <w:t>increasing the use of online self-service by customers</w:t>
      </w:r>
    </w:p>
    <w:p w14:paraId="3328FC1A" w14:textId="77777777" w:rsidR="00247AD2" w:rsidRDefault="00247AD2" w:rsidP="00AD1198">
      <w:pPr>
        <w:pStyle w:val="ListBullet"/>
      </w:pPr>
      <w:r>
        <w:t>exploring new ways of providing digital services through our technology innovation centre and digital innovation service hub</w:t>
      </w:r>
    </w:p>
    <w:p w14:paraId="465C48F6" w14:textId="77777777" w:rsidR="00247AD2" w:rsidRDefault="00247AD2" w:rsidP="00AD1198">
      <w:pPr>
        <w:pStyle w:val="ListBullet"/>
      </w:pPr>
      <w:r>
        <w:t xml:space="preserve">reducing staff travel through the increased use of video-conferencing and modern document collaboration workflows </w:t>
      </w:r>
    </w:p>
    <w:p w14:paraId="5D67E533" w14:textId="77777777" w:rsidR="00247AD2" w:rsidRDefault="00247AD2" w:rsidP="00AD1198">
      <w:pPr>
        <w:pStyle w:val="ListBullet"/>
      </w:pPr>
      <w:r>
        <w:t xml:space="preserve">enhancing myGov and the myGov app to make it easier for people to connect with different government services in a way that is convenient for them, in an intuitive and personalised way </w:t>
      </w:r>
    </w:p>
    <w:p w14:paraId="75D0BB94" w14:textId="77777777" w:rsidR="00247AD2" w:rsidRDefault="00247AD2" w:rsidP="00AD1198">
      <w:pPr>
        <w:pStyle w:val="ListBullet"/>
      </w:pPr>
      <w:r>
        <w:t xml:space="preserve">using the digital Commonwealth statutory declaration capability through myGov, which means Australians use myGov and their connected Digital ID to create, sign and download a Commonwealth statutory declaration. </w:t>
      </w:r>
    </w:p>
    <w:p w14:paraId="63B905BD" w14:textId="77777777" w:rsidR="00247AD2" w:rsidRDefault="00247AD2" w:rsidP="00247AD2">
      <w:pPr>
        <w:pStyle w:val="Heading3"/>
      </w:pPr>
      <w:r>
        <w:t>Effect of activities on the environment – section 516A(6)(c)</w:t>
      </w:r>
    </w:p>
    <w:p w14:paraId="4C1E0FEE" w14:textId="77777777" w:rsidR="00247AD2" w:rsidRDefault="00247AD2" w:rsidP="00247AD2">
      <w:pPr>
        <w:pStyle w:val="BodyText"/>
        <w:spacing w:after="57"/>
      </w:pPr>
      <w:r>
        <w:t xml:space="preserve">The agency’s environmental sustainability policy guides our efforts to minimise the effect of our activities on the environment and to drive better practice, performance and accountability. The activities that generally most affect the environment are those that consume considerable resources and generate significant waste. They include: </w:t>
      </w:r>
    </w:p>
    <w:p w14:paraId="3856095C" w14:textId="77777777" w:rsidR="00247AD2" w:rsidRDefault="00247AD2" w:rsidP="00AD1198">
      <w:pPr>
        <w:pStyle w:val="ListBullet"/>
      </w:pPr>
      <w:r>
        <w:t>energy use</w:t>
      </w:r>
    </w:p>
    <w:p w14:paraId="57B1D77A" w14:textId="77777777" w:rsidR="00247AD2" w:rsidRDefault="00247AD2" w:rsidP="00AD1198">
      <w:pPr>
        <w:pStyle w:val="ListBullet"/>
      </w:pPr>
      <w:r>
        <w:t xml:space="preserve">building operations and refurbishments </w:t>
      </w:r>
    </w:p>
    <w:p w14:paraId="5CA440FB" w14:textId="77777777" w:rsidR="00247AD2" w:rsidRDefault="00247AD2" w:rsidP="00AD1198">
      <w:pPr>
        <w:pStyle w:val="ListBullet"/>
      </w:pPr>
      <w:r>
        <w:t xml:space="preserve">ICT </w:t>
      </w:r>
    </w:p>
    <w:p w14:paraId="245DB8F9" w14:textId="77777777" w:rsidR="00247AD2" w:rsidRDefault="00247AD2" w:rsidP="00AD1198">
      <w:pPr>
        <w:pStyle w:val="ListBullet"/>
      </w:pPr>
      <w:r>
        <w:t>fleet</w:t>
      </w:r>
    </w:p>
    <w:p w14:paraId="3A8DEF7D" w14:textId="77777777" w:rsidR="00247AD2" w:rsidRDefault="00247AD2" w:rsidP="00AD1198">
      <w:pPr>
        <w:pStyle w:val="ListBullet"/>
      </w:pPr>
      <w:r>
        <w:t>management and communication</w:t>
      </w:r>
    </w:p>
    <w:p w14:paraId="72296FBD" w14:textId="77777777" w:rsidR="00247AD2" w:rsidRDefault="00247AD2" w:rsidP="00AD1198">
      <w:pPr>
        <w:pStyle w:val="ListBullet"/>
      </w:pPr>
      <w:r>
        <w:t xml:space="preserve">procurement </w:t>
      </w:r>
    </w:p>
    <w:p w14:paraId="3AB0A3FD" w14:textId="77777777" w:rsidR="00247AD2" w:rsidRDefault="00247AD2" w:rsidP="00AD1198">
      <w:pPr>
        <w:pStyle w:val="ListBullet"/>
      </w:pPr>
      <w:r>
        <w:t xml:space="preserve">travel </w:t>
      </w:r>
    </w:p>
    <w:p w14:paraId="25900458" w14:textId="77777777" w:rsidR="00247AD2" w:rsidRDefault="00247AD2" w:rsidP="00AD1198">
      <w:pPr>
        <w:pStyle w:val="ListBullet"/>
      </w:pPr>
      <w:r>
        <w:t xml:space="preserve">waste. </w:t>
      </w:r>
    </w:p>
    <w:p w14:paraId="210358DF" w14:textId="77777777" w:rsidR="00247AD2" w:rsidRDefault="00247AD2" w:rsidP="00247AD2">
      <w:pPr>
        <w:pStyle w:val="Heading3"/>
      </w:pPr>
      <w:r>
        <w:t xml:space="preserve">How we minimise the effect of activities on the environment – section 516A(6)(d) </w:t>
      </w:r>
    </w:p>
    <w:p w14:paraId="18751FA2" w14:textId="77777777" w:rsidR="00247AD2" w:rsidRDefault="00247AD2" w:rsidP="00247AD2">
      <w:pPr>
        <w:pStyle w:val="BodyText"/>
        <w:rPr>
          <w:spacing w:val="-2"/>
        </w:rPr>
      </w:pPr>
      <w:r>
        <w:rPr>
          <w:spacing w:val="-1"/>
        </w:rPr>
        <w:t xml:space="preserve">In January 2025 the agency updated its environmental sustainability policy to align with the Australian Government’s APS Net Zero 2030 policy and Net Zero in Government Operations Strategy. The agency </w:t>
      </w:r>
      <w:r>
        <w:rPr>
          <w:spacing w:val="-1"/>
        </w:rPr>
        <w:lastRenderedPageBreak/>
        <w:t xml:space="preserve">policy guides our efforts to minimise the effect of our </w:t>
      </w:r>
      <w:r>
        <w:rPr>
          <w:spacing w:val="-2"/>
        </w:rPr>
        <w:t xml:space="preserve">activities on the environment and to drive better practice, performance and accountability. </w:t>
      </w:r>
    </w:p>
    <w:p w14:paraId="604B3B4D" w14:textId="77777777" w:rsidR="00247AD2" w:rsidRDefault="00247AD2" w:rsidP="00247AD2">
      <w:pPr>
        <w:pStyle w:val="BodyText"/>
      </w:pPr>
      <w:r>
        <w:t>Table 82 shows the measures taken in 2024–25 to minimise the agency’s effect on the environment.</w:t>
      </w:r>
    </w:p>
    <w:p w14:paraId="412EF4AE" w14:textId="07229D99" w:rsidR="00247AD2" w:rsidRPr="00AD1198" w:rsidRDefault="00AD1198" w:rsidP="00AD1198">
      <w:pPr>
        <w:pStyle w:val="BodyText"/>
        <w:rPr>
          <w:b/>
          <w:bCs/>
        </w:rPr>
      </w:pPr>
      <w:r w:rsidRPr="00AD1198">
        <w:rPr>
          <w:b/>
          <w:bCs/>
        </w:rPr>
        <w:t>Table 82:</w:t>
      </w:r>
      <w:r w:rsidR="00247AD2" w:rsidRPr="00AD1198">
        <w:rPr>
          <w:b/>
          <w:bCs/>
        </w:rPr>
        <w:t xml:space="preserve"> Measures taken to minimise effect on the environment</w:t>
      </w:r>
    </w:p>
    <w:tbl>
      <w:tblPr>
        <w:tblStyle w:val="TableGrid"/>
        <w:tblW w:w="5000" w:type="pct"/>
        <w:tblLook w:val="04A0" w:firstRow="1" w:lastRow="0" w:firstColumn="1" w:lastColumn="0" w:noHBand="0" w:noVBand="1"/>
        <w:tblCaption w:val="Measures taken to minimise effect on the environment"/>
      </w:tblPr>
      <w:tblGrid>
        <w:gridCol w:w="2457"/>
        <w:gridCol w:w="8639"/>
      </w:tblGrid>
      <w:tr w:rsidR="00247AD2" w14:paraId="04F77551" w14:textId="77777777" w:rsidTr="0047577B">
        <w:trPr>
          <w:trHeight w:val="396"/>
          <w:tblHeader/>
        </w:trPr>
        <w:tc>
          <w:tcPr>
            <w:tcW w:w="1107" w:type="pct"/>
          </w:tcPr>
          <w:p w14:paraId="416D8CC7" w14:textId="77777777" w:rsidR="00247AD2" w:rsidRPr="00891C1C" w:rsidRDefault="00247AD2" w:rsidP="00891C1C">
            <w:pPr>
              <w:pStyle w:val="BodyText"/>
              <w:rPr>
                <w:b/>
                <w:bCs/>
              </w:rPr>
            </w:pPr>
            <w:r w:rsidRPr="00891C1C">
              <w:rPr>
                <w:b/>
                <w:bCs/>
              </w:rPr>
              <w:t>Activity</w:t>
            </w:r>
          </w:p>
        </w:tc>
        <w:tc>
          <w:tcPr>
            <w:tcW w:w="3893" w:type="pct"/>
          </w:tcPr>
          <w:p w14:paraId="22BE98C5" w14:textId="77777777" w:rsidR="00247AD2" w:rsidRPr="00891C1C" w:rsidRDefault="00247AD2" w:rsidP="00891C1C">
            <w:pPr>
              <w:pStyle w:val="BodyText"/>
              <w:rPr>
                <w:b/>
                <w:bCs/>
              </w:rPr>
            </w:pPr>
            <w:r w:rsidRPr="00891C1C">
              <w:rPr>
                <w:b/>
                <w:bCs/>
              </w:rPr>
              <w:t xml:space="preserve">Measure </w:t>
            </w:r>
          </w:p>
        </w:tc>
      </w:tr>
      <w:tr w:rsidR="00247AD2" w14:paraId="2B61E460" w14:textId="77777777" w:rsidTr="006A0585">
        <w:trPr>
          <w:trHeight w:val="396"/>
        </w:trPr>
        <w:tc>
          <w:tcPr>
            <w:tcW w:w="1107" w:type="pct"/>
          </w:tcPr>
          <w:p w14:paraId="245C5D4C" w14:textId="77777777" w:rsidR="00247AD2" w:rsidRDefault="00247AD2" w:rsidP="00682FFF">
            <w:pPr>
              <w:pStyle w:val="BodyText"/>
            </w:pPr>
            <w:r>
              <w:t>Energy use</w:t>
            </w:r>
          </w:p>
        </w:tc>
        <w:tc>
          <w:tcPr>
            <w:tcW w:w="3893" w:type="pct"/>
          </w:tcPr>
          <w:p w14:paraId="06740148" w14:textId="77777777" w:rsidR="00247AD2" w:rsidRDefault="00247AD2" w:rsidP="00682FFF">
            <w:pPr>
              <w:pStyle w:val="BodyText"/>
            </w:pPr>
            <w:r>
              <w:t>To reduce emissions from electricity usage, the agency introduced 50% green power into electricity contracts for agency sites located in NSW, Vic, Tas, Qld and SA.</w:t>
            </w:r>
          </w:p>
        </w:tc>
      </w:tr>
      <w:tr w:rsidR="00247AD2" w14:paraId="754569EC" w14:textId="77777777" w:rsidTr="006A0585">
        <w:trPr>
          <w:trHeight w:val="396"/>
        </w:trPr>
        <w:tc>
          <w:tcPr>
            <w:tcW w:w="1107" w:type="pct"/>
          </w:tcPr>
          <w:p w14:paraId="6582F9B6" w14:textId="77777777" w:rsidR="00247AD2" w:rsidRDefault="00247AD2" w:rsidP="00682FFF">
            <w:pPr>
              <w:pStyle w:val="BodyText"/>
            </w:pPr>
            <w:r>
              <w:t>Building operations</w:t>
            </w:r>
          </w:p>
        </w:tc>
        <w:tc>
          <w:tcPr>
            <w:tcW w:w="3893" w:type="pct"/>
          </w:tcPr>
          <w:p w14:paraId="6CB295DA" w14:textId="77777777" w:rsidR="00247AD2" w:rsidRDefault="00247AD2" w:rsidP="00682FFF">
            <w:pPr>
              <w:pStyle w:val="BodyText"/>
              <w:spacing w:after="142"/>
            </w:pPr>
            <w:r>
              <w:t>Agency leases for offices are guided by the green lease schedule for landlords and tenants.</w:t>
            </w:r>
          </w:p>
          <w:p w14:paraId="1A2BCB20" w14:textId="77777777" w:rsidR="00247AD2" w:rsidRDefault="00247AD2" w:rsidP="00682FFF">
            <w:pPr>
              <w:pStyle w:val="BodyText"/>
              <w:spacing w:after="142"/>
            </w:pPr>
            <w:r>
              <w:t>We conduct National Australian Built Environment Rating System energy assessments at offices over 2,000m</w:t>
            </w:r>
            <w:r>
              <w:rPr>
                <w:vertAlign w:val="superscript"/>
              </w:rPr>
              <w:t>2</w:t>
            </w:r>
            <w:r>
              <w:t xml:space="preserve"> with green lease schedules. </w:t>
            </w:r>
          </w:p>
          <w:p w14:paraId="1D1C5914" w14:textId="77777777" w:rsidR="00247AD2" w:rsidRDefault="00247AD2" w:rsidP="00682FFF">
            <w:pPr>
              <w:pStyle w:val="BodyText"/>
              <w:spacing w:after="142"/>
            </w:pPr>
            <w:r>
              <w:t xml:space="preserve">All leases incorporate environmental sustainability initiatives where possible. This includes upgrading to LED lighting and installing photovoltaic solar systems and electric vehicle chargers to support fleet transition to electric vehicles. </w:t>
            </w:r>
          </w:p>
          <w:p w14:paraId="63920E8F" w14:textId="77777777" w:rsidR="00247AD2" w:rsidRDefault="00247AD2" w:rsidP="00682FFF">
            <w:pPr>
              <w:pStyle w:val="BodyText"/>
              <w:spacing w:after="142"/>
            </w:pPr>
            <w:r>
              <w:t>We use reputable eco-labels, certifications and other environmental standards to improve environmental performance, such as Green Star for selected building designs and fit out, and the Energy Rating Label for electrical appliances.</w:t>
            </w:r>
          </w:p>
        </w:tc>
      </w:tr>
      <w:tr w:rsidR="00247AD2" w14:paraId="7D94B199" w14:textId="77777777" w:rsidTr="006A0585">
        <w:trPr>
          <w:trHeight w:val="396"/>
        </w:trPr>
        <w:tc>
          <w:tcPr>
            <w:tcW w:w="1107" w:type="pct"/>
          </w:tcPr>
          <w:p w14:paraId="02FD8B1C" w14:textId="77777777" w:rsidR="00247AD2" w:rsidRDefault="00247AD2" w:rsidP="00682FFF">
            <w:pPr>
              <w:pStyle w:val="BodyText"/>
            </w:pPr>
            <w:r>
              <w:t>ICT</w:t>
            </w:r>
          </w:p>
        </w:tc>
        <w:tc>
          <w:tcPr>
            <w:tcW w:w="3893" w:type="pct"/>
          </w:tcPr>
          <w:p w14:paraId="53CE54C3" w14:textId="77777777" w:rsidR="00247AD2" w:rsidRDefault="00247AD2" w:rsidP="00682FFF">
            <w:pPr>
              <w:pStyle w:val="BodyText"/>
              <w:spacing w:after="142"/>
            </w:pPr>
            <w:r>
              <w:t>Our data centres are in highly energy-efficient premises and our contract renewal processes review energy consumption performance.</w:t>
            </w:r>
          </w:p>
          <w:p w14:paraId="2D96A166" w14:textId="77777777" w:rsidR="00247AD2" w:rsidRDefault="00247AD2" w:rsidP="00682FFF">
            <w:pPr>
              <w:pStyle w:val="BodyText"/>
              <w:spacing w:after="142"/>
            </w:pPr>
            <w:r>
              <w:t>We continue to virtualise server applications, which reduces the need to purchase extra servers.</w:t>
            </w:r>
          </w:p>
          <w:p w14:paraId="06BA8765" w14:textId="77777777" w:rsidR="00247AD2" w:rsidRDefault="00247AD2" w:rsidP="00682FFF">
            <w:pPr>
              <w:pStyle w:val="BodyText"/>
              <w:spacing w:after="142"/>
            </w:pPr>
            <w:r>
              <w:t>The agency’s architecture review is actively identifying rationalisation opportunities to ensure our ecosystem is as efficient possible in terms of hardware consumption.</w:t>
            </w:r>
          </w:p>
          <w:p w14:paraId="3CE8F027" w14:textId="77777777" w:rsidR="00247AD2" w:rsidRDefault="00247AD2" w:rsidP="00682FFF">
            <w:pPr>
              <w:pStyle w:val="BodyText"/>
              <w:spacing w:after="142"/>
            </w:pPr>
            <w:r>
              <w:t>We continue to roll out docked laptops to enable better workforce mobility as these have lower electricity consumption than desktop PCs.</w:t>
            </w:r>
          </w:p>
          <w:p w14:paraId="4F51E66D" w14:textId="77777777" w:rsidR="00247AD2" w:rsidRDefault="00247AD2" w:rsidP="00682FFF">
            <w:pPr>
              <w:pStyle w:val="BodyText"/>
              <w:spacing w:after="142"/>
            </w:pPr>
            <w:r>
              <w:t>Our desktop computers and televisions automatically shut down after 3 hours of inactivity.</w:t>
            </w:r>
          </w:p>
          <w:p w14:paraId="1401D0C5" w14:textId="77777777" w:rsidR="00247AD2" w:rsidRDefault="00247AD2" w:rsidP="00682FFF">
            <w:pPr>
              <w:pStyle w:val="BodyText"/>
              <w:spacing w:after="142"/>
            </w:pPr>
            <w:r>
              <w:t>Our printers and multifunction devices are allocated to maximise resource efficiency.</w:t>
            </w:r>
          </w:p>
          <w:p w14:paraId="24B2E1FF" w14:textId="77777777" w:rsidR="00247AD2" w:rsidRDefault="00247AD2" w:rsidP="00682FFF">
            <w:pPr>
              <w:pStyle w:val="BodyText"/>
              <w:spacing w:after="142"/>
            </w:pPr>
            <w:r>
              <w:t>As part of natural ICT refresh cycles, energy efficient hardware standards are stipulated in the requirements.</w:t>
            </w:r>
          </w:p>
        </w:tc>
      </w:tr>
      <w:tr w:rsidR="00247AD2" w14:paraId="5BEF2E28" w14:textId="77777777" w:rsidTr="006A0585">
        <w:trPr>
          <w:trHeight w:val="396"/>
        </w:trPr>
        <w:tc>
          <w:tcPr>
            <w:tcW w:w="1107" w:type="pct"/>
          </w:tcPr>
          <w:p w14:paraId="4C6E431A" w14:textId="77777777" w:rsidR="00247AD2" w:rsidRDefault="00247AD2" w:rsidP="00682FFF">
            <w:pPr>
              <w:pStyle w:val="BodyText"/>
            </w:pPr>
            <w:r>
              <w:t>Fleet</w:t>
            </w:r>
          </w:p>
        </w:tc>
        <w:tc>
          <w:tcPr>
            <w:tcW w:w="3893" w:type="pct"/>
          </w:tcPr>
          <w:p w14:paraId="3D11147D" w14:textId="77777777" w:rsidR="00247AD2" w:rsidRDefault="00247AD2" w:rsidP="00682FFF">
            <w:pPr>
              <w:pStyle w:val="BodyText"/>
              <w:spacing w:after="142"/>
            </w:pPr>
            <w:r>
              <w:t>The government has set a target of 75% of new passenger vehicle orders to be low emission vehicles by 2025.</w:t>
            </w:r>
          </w:p>
          <w:p w14:paraId="534BC34B" w14:textId="77777777" w:rsidR="00247AD2" w:rsidRDefault="00247AD2" w:rsidP="00682FFF">
            <w:pPr>
              <w:pStyle w:val="BodyText"/>
              <w:spacing w:after="142"/>
            </w:pPr>
            <w:r>
              <w:t>We procure energy-efficient vehicles in line with the Australian Government Fleet Vehicle Selection Policy.</w:t>
            </w:r>
          </w:p>
          <w:p w14:paraId="1C9003D1" w14:textId="77777777" w:rsidR="00247AD2" w:rsidRDefault="00247AD2" w:rsidP="00682FFF">
            <w:pPr>
              <w:pStyle w:val="BodyText"/>
            </w:pPr>
            <w:r>
              <w:lastRenderedPageBreak/>
              <w:t xml:space="preserve">The agency uses an electronic log-book system to accurately </w:t>
            </w:r>
            <w:r>
              <w:rPr>
                <w:spacing w:val="-2"/>
              </w:rPr>
              <w:t>monitor and manage vehicle use and to improve reporting quality.</w:t>
            </w:r>
          </w:p>
        </w:tc>
      </w:tr>
      <w:tr w:rsidR="00247AD2" w14:paraId="35A16180" w14:textId="77777777" w:rsidTr="006A0585">
        <w:trPr>
          <w:trHeight w:val="396"/>
        </w:trPr>
        <w:tc>
          <w:tcPr>
            <w:tcW w:w="1107" w:type="pct"/>
          </w:tcPr>
          <w:p w14:paraId="01CAAE72" w14:textId="77777777" w:rsidR="00247AD2" w:rsidRDefault="00247AD2" w:rsidP="00682FFF">
            <w:pPr>
              <w:pStyle w:val="BodyText"/>
            </w:pPr>
            <w:r>
              <w:lastRenderedPageBreak/>
              <w:t>Management and communication</w:t>
            </w:r>
          </w:p>
        </w:tc>
        <w:tc>
          <w:tcPr>
            <w:tcW w:w="3893" w:type="pct"/>
          </w:tcPr>
          <w:p w14:paraId="5792ECD5" w14:textId="77777777" w:rsidR="00247AD2" w:rsidRDefault="00247AD2" w:rsidP="00682FFF">
            <w:pPr>
              <w:pStyle w:val="BodyText"/>
              <w:spacing w:after="142"/>
              <w:rPr>
                <w:spacing w:val="-2"/>
              </w:rPr>
            </w:pPr>
            <w:r>
              <w:rPr>
                <w:spacing w:val="-2"/>
              </w:rPr>
              <w:t xml:space="preserve">The agency supports and implements emissions reduction initiatives set by the Australian Government through the DoF Net Zero in Government Operations (NZGO) Strategy. </w:t>
            </w:r>
          </w:p>
          <w:p w14:paraId="3A9481AC" w14:textId="77777777" w:rsidR="00247AD2" w:rsidRDefault="00247AD2" w:rsidP="00682FFF">
            <w:pPr>
              <w:pStyle w:val="BodyText"/>
              <w:spacing w:after="142"/>
              <w:rPr>
                <w:spacing w:val="-2"/>
              </w:rPr>
            </w:pPr>
            <w:r>
              <w:rPr>
                <w:spacing w:val="-2"/>
              </w:rPr>
              <w:t>Our environmental sustainability policy and net zero emissions action plan support NZGO targets and measures.</w:t>
            </w:r>
          </w:p>
          <w:p w14:paraId="6E3F693D" w14:textId="77777777" w:rsidR="00247AD2" w:rsidRDefault="00247AD2" w:rsidP="00682FFF">
            <w:pPr>
              <w:pStyle w:val="BodyText"/>
              <w:spacing w:after="142"/>
              <w:rPr>
                <w:spacing w:val="-2"/>
              </w:rPr>
            </w:pPr>
            <w:r>
              <w:rPr>
                <w:spacing w:val="-2"/>
              </w:rPr>
              <w:t>We use an online sustainability reporting system to improve reporting and performance capability.</w:t>
            </w:r>
          </w:p>
          <w:p w14:paraId="11B54D7D" w14:textId="77777777" w:rsidR="00247AD2" w:rsidRDefault="00247AD2" w:rsidP="00682FFF">
            <w:pPr>
              <w:pStyle w:val="BodyText"/>
              <w:spacing w:after="142"/>
              <w:rPr>
                <w:spacing w:val="-2"/>
              </w:rPr>
            </w:pPr>
            <w:r>
              <w:rPr>
                <w:spacing w:val="-2"/>
              </w:rPr>
              <w:t>We promote and communicate environmental initiatives within our offices.</w:t>
            </w:r>
          </w:p>
          <w:p w14:paraId="736A5F7E" w14:textId="77777777" w:rsidR="00247AD2" w:rsidRDefault="00247AD2" w:rsidP="00682FFF">
            <w:pPr>
              <w:pStyle w:val="BodyText"/>
              <w:spacing w:after="142"/>
              <w:rPr>
                <w:spacing w:val="-2"/>
              </w:rPr>
            </w:pPr>
            <w:r>
              <w:rPr>
                <w:spacing w:val="-2"/>
              </w:rPr>
              <w:t xml:space="preserve">We are committed to enhancing digital correspondence, where appropriate, to provide customers with a choice of communication channels. </w:t>
            </w:r>
          </w:p>
          <w:p w14:paraId="52DE4F9F" w14:textId="77777777" w:rsidR="00247AD2" w:rsidRDefault="00247AD2" w:rsidP="00682FFF">
            <w:pPr>
              <w:pStyle w:val="BodyText"/>
              <w:spacing w:after="142"/>
            </w:pPr>
            <w:r>
              <w:rPr>
                <w:spacing w:val="-2"/>
              </w:rPr>
              <w:t>To support this commitment, we review all correspondence as it is developed and apply principles that align with the Services Australia 2030 Vision.</w:t>
            </w:r>
          </w:p>
        </w:tc>
      </w:tr>
      <w:tr w:rsidR="00247AD2" w14:paraId="21683E39" w14:textId="77777777" w:rsidTr="006A0585">
        <w:trPr>
          <w:trHeight w:val="396"/>
        </w:trPr>
        <w:tc>
          <w:tcPr>
            <w:tcW w:w="1107" w:type="pct"/>
          </w:tcPr>
          <w:p w14:paraId="0B264412" w14:textId="77777777" w:rsidR="00247AD2" w:rsidRDefault="00247AD2" w:rsidP="00682FFF">
            <w:pPr>
              <w:pStyle w:val="BodyText"/>
            </w:pPr>
            <w:r>
              <w:t xml:space="preserve">Sustainable procurement and stationery </w:t>
            </w:r>
            <w:r>
              <w:rPr>
                <w:spacing w:val="-2"/>
              </w:rPr>
              <w:t>(including paper)</w:t>
            </w:r>
          </w:p>
        </w:tc>
        <w:tc>
          <w:tcPr>
            <w:tcW w:w="3893" w:type="pct"/>
          </w:tcPr>
          <w:p w14:paraId="560E0E7A" w14:textId="77777777" w:rsidR="00247AD2" w:rsidRDefault="00247AD2" w:rsidP="00682FFF">
            <w:pPr>
              <w:pStyle w:val="BodyText"/>
            </w:pPr>
            <w:r>
              <w:t>The agency uses reputable eco-labels and environmental standards in making relevant procurement decisions to improve environmental performance at product and supplier levels.</w:t>
            </w:r>
          </w:p>
          <w:p w14:paraId="744E310A" w14:textId="77777777" w:rsidR="00247AD2" w:rsidRDefault="00247AD2" w:rsidP="00682FFF">
            <w:pPr>
              <w:pStyle w:val="BodyText"/>
              <w:spacing w:after="57"/>
            </w:pPr>
            <w:r>
              <w:t>In 2024–25 the paper we purchased for internal use (printers, photocopiers and multifunction devices) was:</w:t>
            </w:r>
          </w:p>
          <w:p w14:paraId="76BC3AD9" w14:textId="77777777" w:rsidR="00247AD2" w:rsidRDefault="00247AD2" w:rsidP="00AD1198">
            <w:pPr>
              <w:pStyle w:val="ListBullet"/>
            </w:pPr>
            <w:r>
              <w:t>99.4% Forest Stewardship Council (FSC) or Programme for the Endorsement of Forest Certification (PEFC) certified</w:t>
            </w:r>
          </w:p>
          <w:p w14:paraId="2E2A9E87" w14:textId="77777777" w:rsidR="00247AD2" w:rsidRDefault="00247AD2" w:rsidP="00AD1198">
            <w:pPr>
              <w:pStyle w:val="ListBullet"/>
            </w:pPr>
            <w:r>
              <w:t xml:space="preserve">90.7% carbon neutral paper </w:t>
            </w:r>
          </w:p>
          <w:p w14:paraId="34107916" w14:textId="77777777" w:rsidR="00247AD2" w:rsidRDefault="00247AD2" w:rsidP="00AD1198">
            <w:pPr>
              <w:pStyle w:val="ListBullet"/>
            </w:pPr>
            <w:r>
              <w:t xml:space="preserve">1.8% recycled content (100% recycled). </w:t>
            </w:r>
          </w:p>
          <w:p w14:paraId="770204E0" w14:textId="77777777" w:rsidR="00247AD2" w:rsidRDefault="00247AD2" w:rsidP="00682FFF">
            <w:pPr>
              <w:pStyle w:val="BodyText"/>
              <w:spacing w:after="57"/>
            </w:pPr>
            <w:r>
              <w:t>In 2024–25 the paper procured by the agency for letters to customers was 83.3% carbon neutral paper and 16.7% was recycled carbon neutral paper.</w:t>
            </w:r>
          </w:p>
          <w:p w14:paraId="2381F4F2" w14:textId="77777777" w:rsidR="00247AD2" w:rsidRDefault="00247AD2" w:rsidP="00AD1198">
            <w:pPr>
              <w:pStyle w:val="ListBullet"/>
            </w:pPr>
            <w:r>
              <w:t>75% of the paper purchased for PBS prescription forms was FSC or PEFC certified.</w:t>
            </w:r>
          </w:p>
          <w:p w14:paraId="4B9EAD39" w14:textId="77777777" w:rsidR="00247AD2" w:rsidRDefault="00247AD2" w:rsidP="00682FFF">
            <w:pPr>
              <w:pStyle w:val="BodyText"/>
            </w:pPr>
            <w:r>
              <w:t>The agency’s environmental sustainability policy incorporates the environmentally sustainable procurement policy set by the Department of Climate Change, Energy, the Environment and Water.</w:t>
            </w:r>
          </w:p>
        </w:tc>
      </w:tr>
      <w:tr w:rsidR="00247AD2" w14:paraId="555EA129" w14:textId="77777777" w:rsidTr="006A0585">
        <w:trPr>
          <w:trHeight w:val="396"/>
        </w:trPr>
        <w:tc>
          <w:tcPr>
            <w:tcW w:w="1107" w:type="pct"/>
          </w:tcPr>
          <w:p w14:paraId="3727D45E" w14:textId="77777777" w:rsidR="00247AD2" w:rsidRDefault="00247AD2" w:rsidP="00682FFF">
            <w:pPr>
              <w:pStyle w:val="BodyText"/>
            </w:pPr>
            <w:r>
              <w:t>Corporate wardrobe</w:t>
            </w:r>
          </w:p>
        </w:tc>
        <w:tc>
          <w:tcPr>
            <w:tcW w:w="3893" w:type="pct"/>
          </w:tcPr>
          <w:p w14:paraId="0E0AF4D1" w14:textId="77777777" w:rsidR="00247AD2" w:rsidRDefault="00247AD2" w:rsidP="00682FFF">
            <w:pPr>
              <w:pStyle w:val="BodyText"/>
            </w:pPr>
            <w:r>
              <w:t>The agency supports the use of recycled polyester REPREVE</w:t>
            </w:r>
            <w:r>
              <w:rPr>
                <w:vertAlign w:val="superscript"/>
              </w:rPr>
              <w:t>®</w:t>
            </w:r>
            <w:r>
              <w:t xml:space="preserve"> in several of our corporate wardrobe styles, which has saved 15,500 plastic bottles from landfill. Swing tags are made using 100% recycled paper with soy ink printing and garment labels are made from 100% recycled polyester.</w:t>
            </w:r>
          </w:p>
        </w:tc>
      </w:tr>
      <w:tr w:rsidR="00247AD2" w14:paraId="7E798C4E" w14:textId="77777777" w:rsidTr="006A0585">
        <w:trPr>
          <w:trHeight w:val="396"/>
        </w:trPr>
        <w:tc>
          <w:tcPr>
            <w:tcW w:w="1107" w:type="pct"/>
          </w:tcPr>
          <w:p w14:paraId="2A597451" w14:textId="77777777" w:rsidR="00247AD2" w:rsidRDefault="00247AD2" w:rsidP="00682FFF">
            <w:pPr>
              <w:pStyle w:val="BodyText"/>
            </w:pPr>
            <w:r>
              <w:t>Travel</w:t>
            </w:r>
          </w:p>
        </w:tc>
        <w:tc>
          <w:tcPr>
            <w:tcW w:w="3893" w:type="pct"/>
          </w:tcPr>
          <w:p w14:paraId="44D019C6" w14:textId="77777777" w:rsidR="00247AD2" w:rsidRDefault="00247AD2" w:rsidP="00682FFF">
            <w:pPr>
              <w:pStyle w:val="BodyText"/>
            </w:pPr>
            <w:r>
              <w:t>The agency encourages staff to use online conferencing rather than air travel to attend meetings.</w:t>
            </w:r>
          </w:p>
        </w:tc>
      </w:tr>
      <w:tr w:rsidR="00247AD2" w14:paraId="73C82F31" w14:textId="77777777" w:rsidTr="006A0585">
        <w:trPr>
          <w:trHeight w:val="396"/>
        </w:trPr>
        <w:tc>
          <w:tcPr>
            <w:tcW w:w="1107" w:type="pct"/>
          </w:tcPr>
          <w:p w14:paraId="18088233" w14:textId="77777777" w:rsidR="00247AD2" w:rsidRDefault="00247AD2" w:rsidP="00682FFF">
            <w:pPr>
              <w:pStyle w:val="BodyText"/>
            </w:pPr>
            <w:r>
              <w:t>Waste</w:t>
            </w:r>
          </w:p>
        </w:tc>
        <w:tc>
          <w:tcPr>
            <w:tcW w:w="3893" w:type="pct"/>
          </w:tcPr>
          <w:p w14:paraId="1977ADBB" w14:textId="77777777" w:rsidR="00247AD2" w:rsidRDefault="00247AD2" w:rsidP="00682FFF">
            <w:pPr>
              <w:pStyle w:val="BodyText"/>
              <w:spacing w:after="113"/>
            </w:pPr>
            <w:r>
              <w:t xml:space="preserve">Our agency supports transforming the components from mobile phone waste into valuable materials for reuse. In 2024–25 we collected 1,219 devices of which 100% had their data securely erased. The devices are being reused or </w:t>
            </w:r>
            <w:r>
              <w:lastRenderedPageBreak/>
              <w:t xml:space="preserve">donated with 505 (41%) devices repurposed and resold and 714 (59%) devices recycled. 235 kg of e-waste was diverted from landfill. </w:t>
            </w:r>
          </w:p>
          <w:p w14:paraId="1F509230" w14:textId="77777777" w:rsidR="00247AD2" w:rsidRDefault="00247AD2" w:rsidP="00682FFF">
            <w:pPr>
              <w:pStyle w:val="BodyText"/>
              <w:spacing w:after="113"/>
            </w:pPr>
            <w:r>
              <w:t xml:space="preserve">The agency supports the FluoroCycle scheme to ensure that </w:t>
            </w:r>
            <w:r>
              <w:rPr>
                <w:spacing w:val="-2"/>
              </w:rPr>
              <w:t>hazardous fluorescent lamps are recycled on disposal at 56 sites.</w:t>
            </w:r>
          </w:p>
          <w:p w14:paraId="7104F834" w14:textId="77777777" w:rsidR="00247AD2" w:rsidRDefault="00247AD2" w:rsidP="00682FFF">
            <w:pPr>
              <w:pStyle w:val="BodyText"/>
              <w:spacing w:after="113"/>
            </w:pPr>
            <w:r>
              <w:t>The agency supports battery recycling to recover and recycle non-renewable resources from all battery types. This keeps toxic substances out of landfill.</w:t>
            </w:r>
          </w:p>
          <w:p w14:paraId="66B2C8A4" w14:textId="77777777" w:rsidR="00247AD2" w:rsidRDefault="00247AD2" w:rsidP="00682FFF">
            <w:pPr>
              <w:pStyle w:val="BodyText"/>
            </w:pPr>
            <w:r>
              <w:t>The agency supports organic waste collection, and this initiative diverted 760 kg of waste from landfill in 2024–25.</w:t>
            </w:r>
          </w:p>
        </w:tc>
      </w:tr>
    </w:tbl>
    <w:p w14:paraId="0393C430" w14:textId="77777777" w:rsidR="00247AD2" w:rsidRDefault="00247AD2" w:rsidP="00247AD2">
      <w:pPr>
        <w:pStyle w:val="BodyText"/>
      </w:pPr>
      <w:r>
        <w:lastRenderedPageBreak/>
        <w:t>Table 83 outlines the resource use from 2022–23 to 2024–25.</w:t>
      </w:r>
    </w:p>
    <w:p w14:paraId="56DA12C5" w14:textId="59D6E3EF" w:rsidR="00247AD2" w:rsidRPr="00AD1198" w:rsidRDefault="00AD1198" w:rsidP="00AD1198">
      <w:pPr>
        <w:pStyle w:val="BodyText"/>
        <w:rPr>
          <w:b/>
          <w:bCs/>
        </w:rPr>
      </w:pPr>
      <w:r w:rsidRPr="00AD1198">
        <w:rPr>
          <w:b/>
          <w:bCs/>
        </w:rPr>
        <w:t>Table 83:</w:t>
      </w:r>
      <w:r w:rsidR="00247AD2" w:rsidRPr="00AD1198">
        <w:rPr>
          <w:b/>
          <w:bCs/>
        </w:rPr>
        <w:t xml:space="preserve"> Resource use </w:t>
      </w:r>
    </w:p>
    <w:tbl>
      <w:tblPr>
        <w:tblStyle w:val="TableGrid"/>
        <w:tblW w:w="5000" w:type="pct"/>
        <w:tblLook w:val="04A0" w:firstRow="1" w:lastRow="0" w:firstColumn="1" w:lastColumn="0" w:noHBand="0" w:noVBand="1"/>
        <w:tblCaption w:val="Resource use "/>
      </w:tblPr>
      <w:tblGrid>
        <w:gridCol w:w="3810"/>
        <w:gridCol w:w="1822"/>
        <w:gridCol w:w="1822"/>
        <w:gridCol w:w="1822"/>
        <w:gridCol w:w="1820"/>
      </w:tblGrid>
      <w:tr w:rsidR="00247AD2" w14:paraId="584A0A6E" w14:textId="77777777" w:rsidTr="0047577B">
        <w:trPr>
          <w:trHeight w:val="396"/>
          <w:tblHeader/>
        </w:trPr>
        <w:tc>
          <w:tcPr>
            <w:tcW w:w="1717" w:type="pct"/>
          </w:tcPr>
          <w:p w14:paraId="070EE54A" w14:textId="77777777" w:rsidR="00247AD2" w:rsidRDefault="00247AD2" w:rsidP="0047577B">
            <w:pPr>
              <w:pStyle w:val="BodyText"/>
            </w:pPr>
          </w:p>
        </w:tc>
        <w:tc>
          <w:tcPr>
            <w:tcW w:w="821" w:type="pct"/>
          </w:tcPr>
          <w:p w14:paraId="617EF390" w14:textId="77777777" w:rsidR="00247AD2" w:rsidRPr="00891C1C" w:rsidRDefault="00247AD2" w:rsidP="0047577B">
            <w:pPr>
              <w:pStyle w:val="BodyText"/>
              <w:rPr>
                <w:b/>
                <w:bCs/>
              </w:rPr>
            </w:pPr>
            <w:r w:rsidRPr="00891C1C">
              <w:rPr>
                <w:b/>
                <w:bCs/>
              </w:rPr>
              <w:t>Units</w:t>
            </w:r>
          </w:p>
        </w:tc>
        <w:tc>
          <w:tcPr>
            <w:tcW w:w="821" w:type="pct"/>
          </w:tcPr>
          <w:p w14:paraId="5E52D78B" w14:textId="77777777" w:rsidR="00247AD2" w:rsidRPr="00891C1C" w:rsidRDefault="00247AD2" w:rsidP="0047577B">
            <w:pPr>
              <w:pStyle w:val="BodyText"/>
              <w:rPr>
                <w:b/>
                <w:bCs/>
              </w:rPr>
            </w:pPr>
            <w:r w:rsidRPr="00891C1C">
              <w:rPr>
                <w:b/>
                <w:bCs/>
              </w:rPr>
              <w:t>2022–23</w:t>
            </w:r>
          </w:p>
        </w:tc>
        <w:tc>
          <w:tcPr>
            <w:tcW w:w="821" w:type="pct"/>
          </w:tcPr>
          <w:p w14:paraId="2B23CF7B" w14:textId="77777777" w:rsidR="00247AD2" w:rsidRPr="00891C1C" w:rsidRDefault="00247AD2" w:rsidP="0047577B">
            <w:pPr>
              <w:pStyle w:val="BodyText"/>
              <w:rPr>
                <w:b/>
                <w:bCs/>
              </w:rPr>
            </w:pPr>
            <w:r w:rsidRPr="00891C1C">
              <w:rPr>
                <w:b/>
                <w:bCs/>
              </w:rPr>
              <w:t>2023–24</w:t>
            </w:r>
          </w:p>
        </w:tc>
        <w:tc>
          <w:tcPr>
            <w:tcW w:w="821" w:type="pct"/>
          </w:tcPr>
          <w:p w14:paraId="17DB6F50" w14:textId="77777777" w:rsidR="00247AD2" w:rsidRPr="00891C1C" w:rsidRDefault="00247AD2" w:rsidP="0047577B">
            <w:pPr>
              <w:pStyle w:val="BodyText"/>
              <w:rPr>
                <w:b/>
                <w:bCs/>
              </w:rPr>
            </w:pPr>
            <w:r w:rsidRPr="00891C1C">
              <w:rPr>
                <w:b/>
                <w:bCs/>
              </w:rPr>
              <w:t>2024–25</w:t>
            </w:r>
          </w:p>
        </w:tc>
      </w:tr>
      <w:tr w:rsidR="00247AD2" w14:paraId="78176ECD" w14:textId="77777777" w:rsidTr="006A0585">
        <w:trPr>
          <w:trHeight w:val="396"/>
        </w:trPr>
        <w:tc>
          <w:tcPr>
            <w:tcW w:w="1717" w:type="pct"/>
          </w:tcPr>
          <w:p w14:paraId="2B7F0AE9" w14:textId="77777777" w:rsidR="00247AD2" w:rsidRDefault="00247AD2" w:rsidP="0047577B">
            <w:pPr>
              <w:pStyle w:val="BodyText"/>
            </w:pPr>
            <w:r>
              <w:rPr>
                <w:spacing w:val="-4"/>
              </w:rPr>
              <w:t>Internal paper use</w:t>
            </w:r>
          </w:p>
        </w:tc>
        <w:tc>
          <w:tcPr>
            <w:tcW w:w="821" w:type="pct"/>
          </w:tcPr>
          <w:p w14:paraId="43D2442B" w14:textId="77777777" w:rsidR="00247AD2" w:rsidRDefault="00247AD2" w:rsidP="0047577B">
            <w:pPr>
              <w:pStyle w:val="BodyText"/>
            </w:pPr>
            <w:r>
              <w:t>tonnes</w:t>
            </w:r>
          </w:p>
        </w:tc>
        <w:tc>
          <w:tcPr>
            <w:tcW w:w="821" w:type="pct"/>
          </w:tcPr>
          <w:p w14:paraId="748DEFF2" w14:textId="77777777" w:rsidR="00247AD2" w:rsidRDefault="00247AD2" w:rsidP="0047577B">
            <w:pPr>
              <w:pStyle w:val="BodyText"/>
            </w:pPr>
            <w:r>
              <w:t>254</w:t>
            </w:r>
          </w:p>
        </w:tc>
        <w:tc>
          <w:tcPr>
            <w:tcW w:w="821" w:type="pct"/>
          </w:tcPr>
          <w:p w14:paraId="043B1E50" w14:textId="77777777" w:rsidR="00247AD2" w:rsidRDefault="00247AD2" w:rsidP="0047577B">
            <w:pPr>
              <w:pStyle w:val="BodyText"/>
            </w:pPr>
            <w:r>
              <w:t>248</w:t>
            </w:r>
          </w:p>
        </w:tc>
        <w:tc>
          <w:tcPr>
            <w:tcW w:w="821" w:type="pct"/>
          </w:tcPr>
          <w:p w14:paraId="6B069F3A" w14:textId="77777777" w:rsidR="00247AD2" w:rsidRDefault="00247AD2" w:rsidP="0047577B">
            <w:pPr>
              <w:pStyle w:val="BodyText"/>
            </w:pPr>
            <w:r>
              <w:t>230</w:t>
            </w:r>
          </w:p>
        </w:tc>
      </w:tr>
      <w:tr w:rsidR="00247AD2" w14:paraId="2376D4FD" w14:textId="77777777" w:rsidTr="006A0585">
        <w:trPr>
          <w:trHeight w:val="396"/>
        </w:trPr>
        <w:tc>
          <w:tcPr>
            <w:tcW w:w="1717" w:type="pct"/>
          </w:tcPr>
          <w:p w14:paraId="36029CB1" w14:textId="77777777" w:rsidR="00247AD2" w:rsidRDefault="00247AD2" w:rsidP="0047577B">
            <w:pPr>
              <w:pStyle w:val="BodyText"/>
            </w:pPr>
            <w:r>
              <w:t>Letters to customers</w:t>
            </w:r>
            <w:r>
              <w:rPr>
                <w:vertAlign w:val="superscript"/>
              </w:rPr>
              <w:t>(a)</w:t>
            </w:r>
          </w:p>
        </w:tc>
        <w:tc>
          <w:tcPr>
            <w:tcW w:w="821" w:type="pct"/>
          </w:tcPr>
          <w:p w14:paraId="1D4213A3" w14:textId="77777777" w:rsidR="00247AD2" w:rsidRDefault="00247AD2" w:rsidP="0047577B">
            <w:pPr>
              <w:pStyle w:val="BodyText"/>
            </w:pPr>
            <w:r>
              <w:t>tonnes</w:t>
            </w:r>
          </w:p>
        </w:tc>
        <w:tc>
          <w:tcPr>
            <w:tcW w:w="821" w:type="pct"/>
          </w:tcPr>
          <w:p w14:paraId="0AF805D2" w14:textId="77777777" w:rsidR="00247AD2" w:rsidRDefault="00247AD2" w:rsidP="0047577B">
            <w:pPr>
              <w:pStyle w:val="BodyText"/>
            </w:pPr>
            <w:r>
              <w:t>330</w:t>
            </w:r>
          </w:p>
        </w:tc>
        <w:tc>
          <w:tcPr>
            <w:tcW w:w="821" w:type="pct"/>
          </w:tcPr>
          <w:p w14:paraId="68040634" w14:textId="77777777" w:rsidR="00247AD2" w:rsidRDefault="00247AD2" w:rsidP="0047577B">
            <w:pPr>
              <w:pStyle w:val="BodyText"/>
            </w:pPr>
            <w:r>
              <w:t>299</w:t>
            </w:r>
          </w:p>
        </w:tc>
        <w:tc>
          <w:tcPr>
            <w:tcW w:w="821" w:type="pct"/>
          </w:tcPr>
          <w:p w14:paraId="7D6EEC94" w14:textId="77777777" w:rsidR="00247AD2" w:rsidRDefault="00247AD2" w:rsidP="0047577B">
            <w:pPr>
              <w:pStyle w:val="BodyText"/>
            </w:pPr>
            <w:r>
              <w:t>281</w:t>
            </w:r>
          </w:p>
        </w:tc>
      </w:tr>
      <w:tr w:rsidR="00247AD2" w14:paraId="18157920" w14:textId="77777777" w:rsidTr="006A0585">
        <w:trPr>
          <w:trHeight w:val="396"/>
        </w:trPr>
        <w:tc>
          <w:tcPr>
            <w:tcW w:w="1717" w:type="pct"/>
          </w:tcPr>
          <w:p w14:paraId="20D5C50E" w14:textId="77777777" w:rsidR="00247AD2" w:rsidRDefault="00247AD2" w:rsidP="0047577B">
            <w:pPr>
              <w:pStyle w:val="BodyText"/>
            </w:pPr>
            <w:r>
              <w:t>Property use</w:t>
            </w:r>
            <w:r>
              <w:rPr>
                <w:vertAlign w:val="superscript"/>
              </w:rPr>
              <w:t>(b)</w:t>
            </w:r>
          </w:p>
        </w:tc>
        <w:tc>
          <w:tcPr>
            <w:tcW w:w="821" w:type="pct"/>
          </w:tcPr>
          <w:p w14:paraId="43F56714" w14:textId="77777777" w:rsidR="00247AD2" w:rsidRDefault="00247AD2" w:rsidP="0047577B">
            <w:pPr>
              <w:pStyle w:val="BodyText"/>
            </w:pPr>
            <w:r>
              <w:t>square metres</w:t>
            </w:r>
          </w:p>
        </w:tc>
        <w:tc>
          <w:tcPr>
            <w:tcW w:w="821" w:type="pct"/>
          </w:tcPr>
          <w:p w14:paraId="38803E90" w14:textId="77777777" w:rsidR="00247AD2" w:rsidRDefault="00247AD2" w:rsidP="0047577B">
            <w:pPr>
              <w:pStyle w:val="BodyText"/>
            </w:pPr>
            <w:r>
              <w:t>734,206</w:t>
            </w:r>
          </w:p>
        </w:tc>
        <w:tc>
          <w:tcPr>
            <w:tcW w:w="821" w:type="pct"/>
          </w:tcPr>
          <w:p w14:paraId="2AECDB0D" w14:textId="77777777" w:rsidR="00247AD2" w:rsidRDefault="00247AD2" w:rsidP="0047577B">
            <w:pPr>
              <w:pStyle w:val="BodyText"/>
            </w:pPr>
            <w:r>
              <w:t>672,349</w:t>
            </w:r>
          </w:p>
        </w:tc>
        <w:tc>
          <w:tcPr>
            <w:tcW w:w="821" w:type="pct"/>
          </w:tcPr>
          <w:p w14:paraId="5B9C592A" w14:textId="77777777" w:rsidR="00247AD2" w:rsidRDefault="00247AD2" w:rsidP="0047577B">
            <w:pPr>
              <w:pStyle w:val="BodyText"/>
            </w:pPr>
            <w:r>
              <w:t xml:space="preserve">623,451 </w:t>
            </w:r>
          </w:p>
        </w:tc>
      </w:tr>
    </w:tbl>
    <w:p w14:paraId="15E97EED" w14:textId="2DEA108D" w:rsidR="00247AD2" w:rsidRDefault="00247AD2" w:rsidP="00AD1198">
      <w:pPr>
        <w:pStyle w:val="ProductCode"/>
      </w:pPr>
      <w:r>
        <w:t>(a)</w:t>
      </w:r>
      <w:r w:rsidR="00AD1198">
        <w:t xml:space="preserve"> </w:t>
      </w:r>
      <w:r>
        <w:t xml:space="preserve">This figure includes paper procured by the agency and letters printed by an external print provider. </w:t>
      </w:r>
    </w:p>
    <w:p w14:paraId="39B71374" w14:textId="4BAA7D35" w:rsidR="00247AD2" w:rsidRDefault="00247AD2" w:rsidP="00AD1198">
      <w:pPr>
        <w:pStyle w:val="ProductCode"/>
        <w:rPr>
          <w:spacing w:val="-2"/>
        </w:rPr>
      </w:pPr>
      <w:r>
        <w:rPr>
          <w:spacing w:val="-2"/>
        </w:rPr>
        <w:t>(b)</w:t>
      </w:r>
      <w:r w:rsidR="00AD1198">
        <w:rPr>
          <w:spacing w:val="-2"/>
        </w:rPr>
        <w:t xml:space="preserve"> </w:t>
      </w:r>
      <w:r>
        <w:rPr>
          <w:spacing w:val="-2"/>
        </w:rPr>
        <w:t xml:space="preserve">Figures are for the commercial lease portfolio only and exclude car parking licences and staff housing. </w:t>
      </w:r>
    </w:p>
    <w:p w14:paraId="3F721C50" w14:textId="77777777" w:rsidR="00247AD2" w:rsidRDefault="00247AD2" w:rsidP="00247AD2">
      <w:pPr>
        <w:pStyle w:val="BodyText"/>
      </w:pPr>
      <w:r>
        <w:rPr>
          <w:spacing w:val="-4"/>
        </w:rPr>
        <w:t>Table 84 outlines annual waste, resource recovery and pollution from 2022–23 to 2024–25.</w:t>
      </w:r>
    </w:p>
    <w:p w14:paraId="17B4F45E" w14:textId="4AF9B014" w:rsidR="00247AD2" w:rsidRPr="00AD1198" w:rsidRDefault="00AD1198" w:rsidP="00AD1198">
      <w:pPr>
        <w:pStyle w:val="BodyText"/>
        <w:rPr>
          <w:b/>
          <w:bCs/>
        </w:rPr>
      </w:pPr>
      <w:r w:rsidRPr="00AD1198">
        <w:rPr>
          <w:b/>
          <w:bCs/>
        </w:rPr>
        <w:t>Table 84:</w:t>
      </w:r>
      <w:r w:rsidR="00247AD2" w:rsidRPr="00AD1198">
        <w:rPr>
          <w:b/>
          <w:bCs/>
        </w:rPr>
        <w:t xml:space="preserve"> Waste, resource recovery and pollution </w:t>
      </w:r>
    </w:p>
    <w:tbl>
      <w:tblPr>
        <w:tblStyle w:val="TableGrid"/>
        <w:tblW w:w="5000" w:type="pct"/>
        <w:tblLook w:val="04A0" w:firstRow="1" w:lastRow="0" w:firstColumn="1" w:lastColumn="0" w:noHBand="0" w:noVBand="1"/>
        <w:tblCaption w:val="Waste, resource recovery and pollution "/>
      </w:tblPr>
      <w:tblGrid>
        <w:gridCol w:w="3810"/>
        <w:gridCol w:w="1822"/>
        <w:gridCol w:w="1822"/>
        <w:gridCol w:w="1822"/>
        <w:gridCol w:w="1820"/>
      </w:tblGrid>
      <w:tr w:rsidR="00247AD2" w14:paraId="5F2842B5" w14:textId="77777777" w:rsidTr="0047577B">
        <w:trPr>
          <w:trHeight w:val="396"/>
          <w:tblHeader/>
        </w:trPr>
        <w:tc>
          <w:tcPr>
            <w:tcW w:w="1717" w:type="pct"/>
          </w:tcPr>
          <w:p w14:paraId="140F82AF" w14:textId="77777777" w:rsidR="00247AD2" w:rsidRDefault="00247AD2" w:rsidP="0047577B">
            <w:pPr>
              <w:pStyle w:val="BodyText"/>
            </w:pPr>
          </w:p>
        </w:tc>
        <w:tc>
          <w:tcPr>
            <w:tcW w:w="821" w:type="pct"/>
          </w:tcPr>
          <w:p w14:paraId="32152075" w14:textId="77777777" w:rsidR="00247AD2" w:rsidRPr="00891C1C" w:rsidRDefault="00247AD2" w:rsidP="0047577B">
            <w:pPr>
              <w:pStyle w:val="BodyText"/>
              <w:rPr>
                <w:b/>
                <w:bCs/>
              </w:rPr>
            </w:pPr>
            <w:r w:rsidRPr="00891C1C">
              <w:rPr>
                <w:b/>
                <w:bCs/>
              </w:rPr>
              <w:t>Measure</w:t>
            </w:r>
          </w:p>
        </w:tc>
        <w:tc>
          <w:tcPr>
            <w:tcW w:w="821" w:type="pct"/>
          </w:tcPr>
          <w:p w14:paraId="6F8AFAC6" w14:textId="77777777" w:rsidR="00247AD2" w:rsidRPr="00891C1C" w:rsidRDefault="00247AD2" w:rsidP="0047577B">
            <w:pPr>
              <w:pStyle w:val="BodyText"/>
              <w:rPr>
                <w:b/>
                <w:bCs/>
              </w:rPr>
            </w:pPr>
            <w:r w:rsidRPr="00891C1C">
              <w:rPr>
                <w:b/>
                <w:bCs/>
              </w:rPr>
              <w:t>2022–23</w:t>
            </w:r>
          </w:p>
        </w:tc>
        <w:tc>
          <w:tcPr>
            <w:tcW w:w="821" w:type="pct"/>
          </w:tcPr>
          <w:p w14:paraId="41C368B4" w14:textId="77777777" w:rsidR="00247AD2" w:rsidRPr="00891C1C" w:rsidRDefault="00247AD2" w:rsidP="0047577B">
            <w:pPr>
              <w:pStyle w:val="BodyText"/>
              <w:rPr>
                <w:b/>
                <w:bCs/>
              </w:rPr>
            </w:pPr>
            <w:r w:rsidRPr="00891C1C">
              <w:rPr>
                <w:b/>
                <w:bCs/>
              </w:rPr>
              <w:t>2023–24</w:t>
            </w:r>
          </w:p>
        </w:tc>
        <w:tc>
          <w:tcPr>
            <w:tcW w:w="821" w:type="pct"/>
          </w:tcPr>
          <w:p w14:paraId="00949517" w14:textId="77777777" w:rsidR="00247AD2" w:rsidRPr="00891C1C" w:rsidRDefault="00247AD2" w:rsidP="0047577B">
            <w:pPr>
              <w:pStyle w:val="BodyText"/>
              <w:rPr>
                <w:b/>
                <w:bCs/>
              </w:rPr>
            </w:pPr>
            <w:r w:rsidRPr="00891C1C">
              <w:rPr>
                <w:b/>
                <w:bCs/>
              </w:rPr>
              <w:t>2024–25</w:t>
            </w:r>
          </w:p>
        </w:tc>
      </w:tr>
      <w:tr w:rsidR="00247AD2" w14:paraId="3DA37202" w14:textId="77777777" w:rsidTr="006A0585">
        <w:trPr>
          <w:trHeight w:val="396"/>
        </w:trPr>
        <w:tc>
          <w:tcPr>
            <w:tcW w:w="1717" w:type="pct"/>
          </w:tcPr>
          <w:p w14:paraId="2694122B" w14:textId="77777777" w:rsidR="00247AD2" w:rsidRDefault="00247AD2" w:rsidP="0047577B">
            <w:pPr>
              <w:pStyle w:val="BodyText"/>
            </w:pPr>
            <w:r>
              <w:rPr>
                <w:spacing w:val="-4"/>
              </w:rPr>
              <w:t>Net greenhouse gas emissions – energy use</w:t>
            </w:r>
            <w:r>
              <w:rPr>
                <w:spacing w:val="-4"/>
                <w:vertAlign w:val="superscript"/>
              </w:rPr>
              <w:t>(a)</w:t>
            </w:r>
          </w:p>
        </w:tc>
        <w:tc>
          <w:tcPr>
            <w:tcW w:w="821" w:type="pct"/>
          </w:tcPr>
          <w:p w14:paraId="1989B698" w14:textId="77777777" w:rsidR="00247AD2" w:rsidRDefault="00247AD2" w:rsidP="0047577B">
            <w:pPr>
              <w:pStyle w:val="BodyText"/>
            </w:pPr>
            <w:r>
              <w:t>tonnes of carbon dioxide equivalents</w:t>
            </w:r>
          </w:p>
        </w:tc>
        <w:tc>
          <w:tcPr>
            <w:tcW w:w="821" w:type="pct"/>
          </w:tcPr>
          <w:p w14:paraId="532E96D2" w14:textId="77777777" w:rsidR="00247AD2" w:rsidRDefault="00247AD2" w:rsidP="0047577B">
            <w:pPr>
              <w:pStyle w:val="BodyText"/>
            </w:pPr>
            <w:r>
              <w:t>69,063</w:t>
            </w:r>
          </w:p>
        </w:tc>
        <w:tc>
          <w:tcPr>
            <w:tcW w:w="821" w:type="pct"/>
          </w:tcPr>
          <w:p w14:paraId="3D5CD992" w14:textId="77777777" w:rsidR="00247AD2" w:rsidRDefault="00247AD2" w:rsidP="0047577B">
            <w:pPr>
              <w:pStyle w:val="BodyText"/>
            </w:pPr>
            <w:r>
              <w:t xml:space="preserve">66,724 </w:t>
            </w:r>
          </w:p>
        </w:tc>
        <w:tc>
          <w:tcPr>
            <w:tcW w:w="821" w:type="pct"/>
          </w:tcPr>
          <w:p w14:paraId="2E13835E" w14:textId="77777777" w:rsidR="00247AD2" w:rsidRDefault="00247AD2" w:rsidP="0047577B">
            <w:pPr>
              <w:pStyle w:val="BodyText"/>
            </w:pPr>
            <w:r>
              <w:t>59,527</w:t>
            </w:r>
          </w:p>
        </w:tc>
      </w:tr>
      <w:tr w:rsidR="00247AD2" w14:paraId="2EEF67EB" w14:textId="77777777" w:rsidTr="006A0585">
        <w:trPr>
          <w:trHeight w:val="396"/>
        </w:trPr>
        <w:tc>
          <w:tcPr>
            <w:tcW w:w="1717" w:type="pct"/>
          </w:tcPr>
          <w:p w14:paraId="42598DCB" w14:textId="77777777" w:rsidR="00247AD2" w:rsidRDefault="00247AD2" w:rsidP="0047577B">
            <w:pPr>
              <w:pStyle w:val="BodyText"/>
            </w:pPr>
            <w:r>
              <w:rPr>
                <w:spacing w:val="-4"/>
              </w:rPr>
              <w:t>Office copy paper recycling</w:t>
            </w:r>
          </w:p>
        </w:tc>
        <w:tc>
          <w:tcPr>
            <w:tcW w:w="821" w:type="pct"/>
          </w:tcPr>
          <w:p w14:paraId="00A18123" w14:textId="77777777" w:rsidR="00247AD2" w:rsidRDefault="00247AD2" w:rsidP="0047577B">
            <w:pPr>
              <w:pStyle w:val="BodyText"/>
            </w:pPr>
            <w:r>
              <w:t>% coverage (square metres)</w:t>
            </w:r>
          </w:p>
        </w:tc>
        <w:tc>
          <w:tcPr>
            <w:tcW w:w="821" w:type="pct"/>
          </w:tcPr>
          <w:p w14:paraId="4EE3CDC4" w14:textId="77777777" w:rsidR="00247AD2" w:rsidRDefault="00247AD2" w:rsidP="0047577B">
            <w:pPr>
              <w:pStyle w:val="BodyText"/>
            </w:pPr>
            <w:r>
              <w:t>98</w:t>
            </w:r>
          </w:p>
        </w:tc>
        <w:tc>
          <w:tcPr>
            <w:tcW w:w="821" w:type="pct"/>
          </w:tcPr>
          <w:p w14:paraId="1459BEEF" w14:textId="77777777" w:rsidR="00247AD2" w:rsidRDefault="00247AD2" w:rsidP="0047577B">
            <w:pPr>
              <w:pStyle w:val="BodyText"/>
            </w:pPr>
            <w:r>
              <w:t>98</w:t>
            </w:r>
          </w:p>
        </w:tc>
        <w:tc>
          <w:tcPr>
            <w:tcW w:w="821" w:type="pct"/>
          </w:tcPr>
          <w:p w14:paraId="51FE96E3" w14:textId="77777777" w:rsidR="00247AD2" w:rsidRDefault="00247AD2" w:rsidP="0047577B">
            <w:pPr>
              <w:pStyle w:val="BodyText"/>
            </w:pPr>
            <w:r>
              <w:t>98</w:t>
            </w:r>
          </w:p>
        </w:tc>
      </w:tr>
      <w:tr w:rsidR="00247AD2" w14:paraId="5E4E838B" w14:textId="77777777" w:rsidTr="006A0585">
        <w:trPr>
          <w:trHeight w:val="396"/>
        </w:trPr>
        <w:tc>
          <w:tcPr>
            <w:tcW w:w="1717" w:type="pct"/>
          </w:tcPr>
          <w:p w14:paraId="317279F7" w14:textId="77777777" w:rsidR="00247AD2" w:rsidRDefault="00247AD2" w:rsidP="0047577B">
            <w:pPr>
              <w:pStyle w:val="BodyText"/>
            </w:pPr>
            <w:r>
              <w:rPr>
                <w:spacing w:val="-4"/>
              </w:rPr>
              <w:t>Mobile phone reuse and recycling</w:t>
            </w:r>
          </w:p>
        </w:tc>
        <w:tc>
          <w:tcPr>
            <w:tcW w:w="821" w:type="pct"/>
          </w:tcPr>
          <w:p w14:paraId="0FBDB92C" w14:textId="77777777" w:rsidR="00247AD2" w:rsidRDefault="00247AD2" w:rsidP="0047577B">
            <w:pPr>
              <w:pStyle w:val="BodyText"/>
            </w:pPr>
            <w:r>
              <w:t>kilograms</w:t>
            </w:r>
          </w:p>
        </w:tc>
        <w:tc>
          <w:tcPr>
            <w:tcW w:w="821" w:type="pct"/>
          </w:tcPr>
          <w:p w14:paraId="7C75888D" w14:textId="77777777" w:rsidR="00247AD2" w:rsidRDefault="00247AD2" w:rsidP="0047577B">
            <w:pPr>
              <w:pStyle w:val="BodyText"/>
            </w:pPr>
            <w:r>
              <w:t>832</w:t>
            </w:r>
          </w:p>
        </w:tc>
        <w:tc>
          <w:tcPr>
            <w:tcW w:w="821" w:type="pct"/>
          </w:tcPr>
          <w:p w14:paraId="44047292" w14:textId="77777777" w:rsidR="00247AD2" w:rsidRDefault="00247AD2" w:rsidP="0047577B">
            <w:pPr>
              <w:pStyle w:val="BodyText"/>
            </w:pPr>
            <w:r>
              <w:t>824</w:t>
            </w:r>
          </w:p>
        </w:tc>
        <w:tc>
          <w:tcPr>
            <w:tcW w:w="821" w:type="pct"/>
          </w:tcPr>
          <w:p w14:paraId="79AC33DC" w14:textId="77777777" w:rsidR="00247AD2" w:rsidRDefault="00247AD2" w:rsidP="0047577B">
            <w:pPr>
              <w:pStyle w:val="BodyText"/>
            </w:pPr>
            <w:r>
              <w:t>235</w:t>
            </w:r>
          </w:p>
        </w:tc>
      </w:tr>
      <w:tr w:rsidR="00247AD2" w14:paraId="22FC414C" w14:textId="77777777" w:rsidTr="006A0585">
        <w:trPr>
          <w:trHeight w:val="396"/>
        </w:trPr>
        <w:tc>
          <w:tcPr>
            <w:tcW w:w="1717" w:type="pct"/>
          </w:tcPr>
          <w:p w14:paraId="051958D2" w14:textId="77777777" w:rsidR="00247AD2" w:rsidRDefault="00247AD2" w:rsidP="0047577B">
            <w:pPr>
              <w:pStyle w:val="BodyText"/>
            </w:pPr>
            <w:r>
              <w:rPr>
                <w:spacing w:val="-4"/>
              </w:rPr>
              <w:t>Fluorescent and other lamps recycled</w:t>
            </w:r>
          </w:p>
        </w:tc>
        <w:tc>
          <w:tcPr>
            <w:tcW w:w="821" w:type="pct"/>
          </w:tcPr>
          <w:p w14:paraId="3871244A" w14:textId="77777777" w:rsidR="00247AD2" w:rsidRDefault="00247AD2" w:rsidP="0047577B">
            <w:pPr>
              <w:pStyle w:val="BodyText"/>
            </w:pPr>
            <w:r>
              <w:t>units</w:t>
            </w:r>
          </w:p>
        </w:tc>
        <w:tc>
          <w:tcPr>
            <w:tcW w:w="821" w:type="pct"/>
          </w:tcPr>
          <w:p w14:paraId="678A06F8" w14:textId="77777777" w:rsidR="00247AD2" w:rsidRDefault="00247AD2" w:rsidP="0047577B">
            <w:pPr>
              <w:pStyle w:val="BodyText"/>
            </w:pPr>
            <w:r>
              <w:t>1,931</w:t>
            </w:r>
          </w:p>
        </w:tc>
        <w:tc>
          <w:tcPr>
            <w:tcW w:w="821" w:type="pct"/>
          </w:tcPr>
          <w:p w14:paraId="353A3B00" w14:textId="77777777" w:rsidR="00247AD2" w:rsidRDefault="00247AD2" w:rsidP="0047577B">
            <w:pPr>
              <w:pStyle w:val="BodyText"/>
            </w:pPr>
            <w:r>
              <w:t>1,504</w:t>
            </w:r>
          </w:p>
        </w:tc>
        <w:tc>
          <w:tcPr>
            <w:tcW w:w="821" w:type="pct"/>
          </w:tcPr>
          <w:p w14:paraId="15F63FDA" w14:textId="77777777" w:rsidR="00247AD2" w:rsidRDefault="00247AD2" w:rsidP="0047577B">
            <w:pPr>
              <w:pStyle w:val="BodyText"/>
            </w:pPr>
            <w:r>
              <w:t>1,222</w:t>
            </w:r>
          </w:p>
        </w:tc>
      </w:tr>
    </w:tbl>
    <w:p w14:paraId="3E540778" w14:textId="557B5630" w:rsidR="00247AD2" w:rsidRDefault="00AD1198" w:rsidP="00AD1198">
      <w:pPr>
        <w:pStyle w:val="ProductCode"/>
      </w:pPr>
      <w:r w:rsidRPr="00AD1198">
        <w:t>(a</w:t>
      </w:r>
      <w:r>
        <w:t xml:space="preserve">) </w:t>
      </w:r>
      <w:r w:rsidR="00247AD2">
        <w:t>The net greenhouse gas emissions for energy use for 2024–25 excludes accrued data. Previous year 2022–23 and 2023–24 now include accrued data for missing invoices and retrospective changes to emissions calculation methodology.</w:t>
      </w:r>
    </w:p>
    <w:p w14:paraId="390DEB47" w14:textId="77777777" w:rsidR="00247AD2" w:rsidRDefault="00247AD2" w:rsidP="00247AD2">
      <w:pPr>
        <w:pStyle w:val="Heading3"/>
      </w:pPr>
      <w:r>
        <w:lastRenderedPageBreak/>
        <w:t>Mechanisms to review and increase the effectiveness of these measures – section 516A(6)(e)</w:t>
      </w:r>
    </w:p>
    <w:p w14:paraId="6607C2B4" w14:textId="77777777" w:rsidR="00247AD2" w:rsidRDefault="00247AD2" w:rsidP="00247AD2">
      <w:pPr>
        <w:pStyle w:val="BodyText"/>
      </w:pPr>
      <w:r>
        <w:t>In 2024–25 we continued to review and report on our environmental performance while seeking ways to achieve further improvements.</w:t>
      </w:r>
    </w:p>
    <w:p w14:paraId="52C57145" w14:textId="77777777" w:rsidR="00247AD2" w:rsidRDefault="00247AD2" w:rsidP="00247AD2">
      <w:pPr>
        <w:pStyle w:val="BodyText"/>
      </w:pPr>
      <w:r>
        <w:t>As part of the reporting requirements under section 516A of the EPBC Act and in line with the government’s Net Zero in Government Operations Strategy, the agency will publicly report on the emissions from our operations.</w:t>
      </w:r>
    </w:p>
    <w:p w14:paraId="7B9743E5" w14:textId="77777777" w:rsidR="00247AD2" w:rsidRDefault="00247AD2" w:rsidP="00247AD2">
      <w:pPr>
        <w:pStyle w:val="BodyText"/>
      </w:pPr>
      <w:r>
        <w:t>Table 85 shows our greenhouse gas emissions inventory in 2024–25.</w:t>
      </w:r>
    </w:p>
    <w:p w14:paraId="7514B49B" w14:textId="0C443872" w:rsidR="00247AD2" w:rsidRPr="00C5543A" w:rsidRDefault="00C5543A" w:rsidP="00C5543A">
      <w:pPr>
        <w:pStyle w:val="BodyText"/>
        <w:rPr>
          <w:b/>
          <w:bCs/>
        </w:rPr>
      </w:pPr>
      <w:r w:rsidRPr="00C5543A">
        <w:rPr>
          <w:b/>
          <w:bCs/>
        </w:rPr>
        <w:t>Table 85:</w:t>
      </w:r>
      <w:r w:rsidR="00247AD2" w:rsidRPr="00C5543A">
        <w:rPr>
          <w:b/>
          <w:bCs/>
        </w:rPr>
        <w:t xml:space="preserve"> Greenhouse gas emissions inventory 2024–25 (location-based method)</w:t>
      </w:r>
      <w:r w:rsidR="00247AD2" w:rsidRPr="00C5543A">
        <w:rPr>
          <w:b/>
          <w:bCs/>
          <w:vertAlign w:val="superscript"/>
        </w:rPr>
        <w:t>(a)</w:t>
      </w:r>
    </w:p>
    <w:tbl>
      <w:tblPr>
        <w:tblStyle w:val="TableGrid"/>
        <w:tblW w:w="5000" w:type="pct"/>
        <w:tblLook w:val="04A0" w:firstRow="1" w:lastRow="0" w:firstColumn="1" w:lastColumn="0" w:noHBand="0" w:noVBand="1"/>
        <w:tblCaption w:val="Greenhouse gas emissions inventory 2024–25 (location-based method)("/>
      </w:tblPr>
      <w:tblGrid>
        <w:gridCol w:w="4322"/>
        <w:gridCol w:w="1694"/>
        <w:gridCol w:w="1694"/>
        <w:gridCol w:w="1693"/>
        <w:gridCol w:w="1693"/>
      </w:tblGrid>
      <w:tr w:rsidR="00247AD2" w14:paraId="51C64077" w14:textId="77777777" w:rsidTr="0047577B">
        <w:trPr>
          <w:trHeight w:val="396"/>
          <w:tblHeader/>
        </w:trPr>
        <w:tc>
          <w:tcPr>
            <w:tcW w:w="1946" w:type="pct"/>
          </w:tcPr>
          <w:p w14:paraId="3661876F" w14:textId="77777777" w:rsidR="00247AD2" w:rsidRPr="0047577B" w:rsidRDefault="00247AD2" w:rsidP="0047577B">
            <w:pPr>
              <w:pStyle w:val="BodyText"/>
              <w:rPr>
                <w:b/>
                <w:bCs/>
              </w:rPr>
            </w:pPr>
            <w:r w:rsidRPr="0047577B">
              <w:rPr>
                <w:rStyle w:val="Bold"/>
              </w:rPr>
              <w:t xml:space="preserve">Emission source </w:t>
            </w:r>
          </w:p>
        </w:tc>
        <w:tc>
          <w:tcPr>
            <w:tcW w:w="763" w:type="pct"/>
          </w:tcPr>
          <w:p w14:paraId="5695812B" w14:textId="77777777" w:rsidR="00247AD2" w:rsidRPr="0047577B" w:rsidRDefault="00247AD2" w:rsidP="0047577B">
            <w:pPr>
              <w:pStyle w:val="BodyText"/>
              <w:rPr>
                <w:b/>
                <w:bCs/>
              </w:rPr>
            </w:pPr>
            <w:r w:rsidRPr="0047577B">
              <w:rPr>
                <w:b/>
                <w:bCs/>
              </w:rPr>
              <w:t>Scope 1 t CO2-e</w:t>
            </w:r>
          </w:p>
        </w:tc>
        <w:tc>
          <w:tcPr>
            <w:tcW w:w="763" w:type="pct"/>
          </w:tcPr>
          <w:p w14:paraId="40893247" w14:textId="77777777" w:rsidR="00247AD2" w:rsidRPr="0047577B" w:rsidRDefault="00247AD2" w:rsidP="0047577B">
            <w:pPr>
              <w:pStyle w:val="BodyText"/>
              <w:rPr>
                <w:b/>
                <w:bCs/>
              </w:rPr>
            </w:pPr>
            <w:r w:rsidRPr="0047577B">
              <w:rPr>
                <w:b/>
                <w:bCs/>
              </w:rPr>
              <w:t>Scope 2 t CO2-e</w:t>
            </w:r>
          </w:p>
        </w:tc>
        <w:tc>
          <w:tcPr>
            <w:tcW w:w="763" w:type="pct"/>
          </w:tcPr>
          <w:p w14:paraId="6A5A9798" w14:textId="77777777" w:rsidR="00247AD2" w:rsidRPr="0047577B" w:rsidRDefault="00247AD2" w:rsidP="0047577B">
            <w:pPr>
              <w:pStyle w:val="BodyText"/>
              <w:rPr>
                <w:b/>
                <w:bCs/>
              </w:rPr>
            </w:pPr>
            <w:r w:rsidRPr="0047577B">
              <w:rPr>
                <w:b/>
                <w:bCs/>
              </w:rPr>
              <w:t>Scope 3 t CO2-e</w:t>
            </w:r>
          </w:p>
        </w:tc>
        <w:tc>
          <w:tcPr>
            <w:tcW w:w="763" w:type="pct"/>
          </w:tcPr>
          <w:p w14:paraId="30769F33" w14:textId="77777777" w:rsidR="00247AD2" w:rsidRPr="0047577B" w:rsidRDefault="00247AD2" w:rsidP="0047577B">
            <w:pPr>
              <w:pStyle w:val="BodyText"/>
              <w:rPr>
                <w:b/>
                <w:bCs/>
              </w:rPr>
            </w:pPr>
            <w:r w:rsidRPr="0047577B">
              <w:rPr>
                <w:b/>
                <w:bCs/>
              </w:rPr>
              <w:t>Total t CO2-e</w:t>
            </w:r>
          </w:p>
        </w:tc>
      </w:tr>
      <w:tr w:rsidR="00247AD2" w14:paraId="562BA872" w14:textId="77777777" w:rsidTr="006A0585">
        <w:trPr>
          <w:trHeight w:val="396"/>
        </w:trPr>
        <w:tc>
          <w:tcPr>
            <w:tcW w:w="1946" w:type="pct"/>
          </w:tcPr>
          <w:p w14:paraId="3DA4065F" w14:textId="77777777" w:rsidR="00247AD2" w:rsidRDefault="00247AD2" w:rsidP="0047577B">
            <w:pPr>
              <w:pStyle w:val="BodyText"/>
            </w:pPr>
            <w:r>
              <w:rPr>
                <w:spacing w:val="-4"/>
              </w:rPr>
              <w:t>Electricity (location-based approach)</w:t>
            </w:r>
          </w:p>
        </w:tc>
        <w:tc>
          <w:tcPr>
            <w:tcW w:w="763" w:type="pct"/>
          </w:tcPr>
          <w:p w14:paraId="58954EFD" w14:textId="77777777" w:rsidR="00247AD2" w:rsidRDefault="00247AD2" w:rsidP="0047577B">
            <w:pPr>
              <w:pStyle w:val="BodyText"/>
            </w:pPr>
            <w:r>
              <w:t>N/A</w:t>
            </w:r>
          </w:p>
        </w:tc>
        <w:tc>
          <w:tcPr>
            <w:tcW w:w="763" w:type="pct"/>
          </w:tcPr>
          <w:p w14:paraId="73043000" w14:textId="77777777" w:rsidR="00247AD2" w:rsidRDefault="00247AD2" w:rsidP="0047577B">
            <w:pPr>
              <w:pStyle w:val="BodyText"/>
            </w:pPr>
            <w:r>
              <w:t>48,458</w:t>
            </w:r>
          </w:p>
        </w:tc>
        <w:tc>
          <w:tcPr>
            <w:tcW w:w="763" w:type="pct"/>
          </w:tcPr>
          <w:p w14:paraId="02B26604" w14:textId="77777777" w:rsidR="00247AD2" w:rsidRDefault="00247AD2" w:rsidP="0047577B">
            <w:pPr>
              <w:pStyle w:val="BodyText"/>
            </w:pPr>
            <w:r>
              <w:t>4,161</w:t>
            </w:r>
          </w:p>
        </w:tc>
        <w:tc>
          <w:tcPr>
            <w:tcW w:w="763" w:type="pct"/>
          </w:tcPr>
          <w:p w14:paraId="11005E3B" w14:textId="77777777" w:rsidR="00247AD2" w:rsidRDefault="00247AD2" w:rsidP="0047577B">
            <w:pPr>
              <w:pStyle w:val="BodyText"/>
            </w:pPr>
            <w:r>
              <w:t>52,619</w:t>
            </w:r>
          </w:p>
        </w:tc>
      </w:tr>
      <w:tr w:rsidR="00247AD2" w14:paraId="295B09D3" w14:textId="77777777" w:rsidTr="006A0585">
        <w:trPr>
          <w:trHeight w:val="396"/>
        </w:trPr>
        <w:tc>
          <w:tcPr>
            <w:tcW w:w="1946" w:type="pct"/>
          </w:tcPr>
          <w:p w14:paraId="63E9F1EE" w14:textId="77777777" w:rsidR="00247AD2" w:rsidRDefault="00247AD2" w:rsidP="0047577B">
            <w:pPr>
              <w:pStyle w:val="BodyText"/>
            </w:pPr>
            <w:r>
              <w:t>Natural gas</w:t>
            </w:r>
          </w:p>
        </w:tc>
        <w:tc>
          <w:tcPr>
            <w:tcW w:w="763" w:type="pct"/>
          </w:tcPr>
          <w:p w14:paraId="20F33378" w14:textId="77777777" w:rsidR="00247AD2" w:rsidRDefault="00247AD2" w:rsidP="0047577B">
            <w:pPr>
              <w:pStyle w:val="BodyText"/>
            </w:pPr>
            <w:r>
              <w:t>156</w:t>
            </w:r>
          </w:p>
        </w:tc>
        <w:tc>
          <w:tcPr>
            <w:tcW w:w="763" w:type="pct"/>
          </w:tcPr>
          <w:p w14:paraId="2D0A4DAC" w14:textId="77777777" w:rsidR="00247AD2" w:rsidRDefault="00247AD2" w:rsidP="0047577B">
            <w:pPr>
              <w:pStyle w:val="BodyText"/>
            </w:pPr>
            <w:r>
              <w:t>N/A</w:t>
            </w:r>
          </w:p>
        </w:tc>
        <w:tc>
          <w:tcPr>
            <w:tcW w:w="763" w:type="pct"/>
          </w:tcPr>
          <w:p w14:paraId="7F529978" w14:textId="77777777" w:rsidR="00247AD2" w:rsidRDefault="00247AD2" w:rsidP="0047577B">
            <w:pPr>
              <w:pStyle w:val="BodyText"/>
            </w:pPr>
            <w:r>
              <w:t>35</w:t>
            </w:r>
          </w:p>
        </w:tc>
        <w:tc>
          <w:tcPr>
            <w:tcW w:w="763" w:type="pct"/>
          </w:tcPr>
          <w:p w14:paraId="1ED69691" w14:textId="77777777" w:rsidR="00247AD2" w:rsidRDefault="00247AD2" w:rsidP="0047577B">
            <w:pPr>
              <w:pStyle w:val="BodyText"/>
            </w:pPr>
            <w:r>
              <w:t>191</w:t>
            </w:r>
          </w:p>
        </w:tc>
      </w:tr>
      <w:tr w:rsidR="00247AD2" w14:paraId="3DF0055F" w14:textId="77777777" w:rsidTr="006A0585">
        <w:trPr>
          <w:trHeight w:val="396"/>
        </w:trPr>
        <w:tc>
          <w:tcPr>
            <w:tcW w:w="1946" w:type="pct"/>
          </w:tcPr>
          <w:p w14:paraId="2494B2A1" w14:textId="77777777" w:rsidR="00247AD2" w:rsidRDefault="00247AD2" w:rsidP="0047577B">
            <w:pPr>
              <w:pStyle w:val="BodyText"/>
            </w:pPr>
            <w:r>
              <w:t>Solid waste</w:t>
            </w:r>
            <w:r>
              <w:rPr>
                <w:vertAlign w:val="superscript"/>
              </w:rPr>
              <w:t>(d)</w:t>
            </w:r>
          </w:p>
        </w:tc>
        <w:tc>
          <w:tcPr>
            <w:tcW w:w="763" w:type="pct"/>
          </w:tcPr>
          <w:p w14:paraId="77958F32" w14:textId="77777777" w:rsidR="00247AD2" w:rsidRDefault="00247AD2" w:rsidP="0047577B">
            <w:pPr>
              <w:pStyle w:val="BodyText"/>
            </w:pPr>
            <w:r>
              <w:t>N/A</w:t>
            </w:r>
          </w:p>
        </w:tc>
        <w:tc>
          <w:tcPr>
            <w:tcW w:w="763" w:type="pct"/>
          </w:tcPr>
          <w:p w14:paraId="3FA360A8" w14:textId="77777777" w:rsidR="00247AD2" w:rsidRDefault="00247AD2" w:rsidP="0047577B">
            <w:pPr>
              <w:pStyle w:val="BodyText"/>
            </w:pPr>
            <w:r>
              <w:t>N/A</w:t>
            </w:r>
          </w:p>
        </w:tc>
        <w:tc>
          <w:tcPr>
            <w:tcW w:w="763" w:type="pct"/>
          </w:tcPr>
          <w:p w14:paraId="79BFF1A8" w14:textId="77777777" w:rsidR="00247AD2" w:rsidRDefault="00247AD2" w:rsidP="0047577B">
            <w:pPr>
              <w:pStyle w:val="BodyText"/>
            </w:pPr>
            <w:r>
              <w:t>440</w:t>
            </w:r>
          </w:p>
        </w:tc>
        <w:tc>
          <w:tcPr>
            <w:tcW w:w="763" w:type="pct"/>
          </w:tcPr>
          <w:p w14:paraId="53A6B80F" w14:textId="77777777" w:rsidR="00247AD2" w:rsidRDefault="00247AD2" w:rsidP="0047577B">
            <w:pPr>
              <w:pStyle w:val="BodyText"/>
            </w:pPr>
            <w:r>
              <w:t>440</w:t>
            </w:r>
          </w:p>
        </w:tc>
      </w:tr>
      <w:tr w:rsidR="00247AD2" w14:paraId="5978E1DE" w14:textId="77777777" w:rsidTr="006A0585">
        <w:trPr>
          <w:trHeight w:val="396"/>
        </w:trPr>
        <w:tc>
          <w:tcPr>
            <w:tcW w:w="1946" w:type="pct"/>
          </w:tcPr>
          <w:p w14:paraId="3C0AD2E5" w14:textId="77777777" w:rsidR="00247AD2" w:rsidRDefault="00247AD2" w:rsidP="0047577B">
            <w:pPr>
              <w:pStyle w:val="BodyText"/>
            </w:pPr>
            <w:r>
              <w:t>Refrigerants</w:t>
            </w:r>
            <w:r>
              <w:rPr>
                <w:vertAlign w:val="superscript"/>
              </w:rPr>
              <w:t>(b)</w:t>
            </w:r>
          </w:p>
        </w:tc>
        <w:tc>
          <w:tcPr>
            <w:tcW w:w="763" w:type="pct"/>
          </w:tcPr>
          <w:p w14:paraId="06497CAD" w14:textId="77777777" w:rsidR="00247AD2" w:rsidRDefault="00247AD2" w:rsidP="0047577B">
            <w:pPr>
              <w:pStyle w:val="BodyText"/>
            </w:pPr>
            <w:r>
              <w:t>N/A</w:t>
            </w:r>
          </w:p>
        </w:tc>
        <w:tc>
          <w:tcPr>
            <w:tcW w:w="763" w:type="pct"/>
          </w:tcPr>
          <w:p w14:paraId="4C40B863" w14:textId="77777777" w:rsidR="00247AD2" w:rsidRDefault="00247AD2" w:rsidP="0047577B">
            <w:pPr>
              <w:pStyle w:val="BodyText"/>
            </w:pPr>
            <w:r>
              <w:t>N/A</w:t>
            </w:r>
          </w:p>
        </w:tc>
        <w:tc>
          <w:tcPr>
            <w:tcW w:w="763" w:type="pct"/>
          </w:tcPr>
          <w:p w14:paraId="69EE8900" w14:textId="77777777" w:rsidR="00247AD2" w:rsidRDefault="00247AD2" w:rsidP="0047577B">
            <w:pPr>
              <w:pStyle w:val="BodyText"/>
            </w:pPr>
            <w:r>
              <w:t>N/A</w:t>
            </w:r>
          </w:p>
        </w:tc>
        <w:tc>
          <w:tcPr>
            <w:tcW w:w="763" w:type="pct"/>
          </w:tcPr>
          <w:p w14:paraId="7F0AB96F" w14:textId="77777777" w:rsidR="00247AD2" w:rsidRDefault="00247AD2" w:rsidP="0047577B">
            <w:pPr>
              <w:pStyle w:val="BodyText"/>
            </w:pPr>
            <w:r>
              <w:t>N/A</w:t>
            </w:r>
          </w:p>
        </w:tc>
      </w:tr>
      <w:tr w:rsidR="00247AD2" w14:paraId="46769CA7" w14:textId="77777777" w:rsidTr="006A0585">
        <w:trPr>
          <w:trHeight w:val="396"/>
        </w:trPr>
        <w:tc>
          <w:tcPr>
            <w:tcW w:w="1946" w:type="pct"/>
          </w:tcPr>
          <w:p w14:paraId="0D7DD5F2" w14:textId="77777777" w:rsidR="00247AD2" w:rsidRDefault="00247AD2" w:rsidP="0047577B">
            <w:pPr>
              <w:pStyle w:val="BodyText"/>
            </w:pPr>
            <w:r>
              <w:t>Fleet vehicles</w:t>
            </w:r>
          </w:p>
        </w:tc>
        <w:tc>
          <w:tcPr>
            <w:tcW w:w="763" w:type="pct"/>
          </w:tcPr>
          <w:p w14:paraId="2F8565A7" w14:textId="77777777" w:rsidR="00247AD2" w:rsidRDefault="00247AD2" w:rsidP="0047577B">
            <w:pPr>
              <w:pStyle w:val="BodyText"/>
            </w:pPr>
            <w:r>
              <w:t>716</w:t>
            </w:r>
          </w:p>
        </w:tc>
        <w:tc>
          <w:tcPr>
            <w:tcW w:w="763" w:type="pct"/>
          </w:tcPr>
          <w:p w14:paraId="2B998F1C" w14:textId="77777777" w:rsidR="00247AD2" w:rsidRDefault="00247AD2" w:rsidP="0047577B">
            <w:pPr>
              <w:pStyle w:val="BodyText"/>
            </w:pPr>
            <w:r>
              <w:t>N/A</w:t>
            </w:r>
          </w:p>
        </w:tc>
        <w:tc>
          <w:tcPr>
            <w:tcW w:w="763" w:type="pct"/>
          </w:tcPr>
          <w:p w14:paraId="3D13FE0A" w14:textId="77777777" w:rsidR="00247AD2" w:rsidRDefault="00247AD2" w:rsidP="0047577B">
            <w:pPr>
              <w:pStyle w:val="BodyText"/>
            </w:pPr>
            <w:r>
              <w:t>178</w:t>
            </w:r>
          </w:p>
        </w:tc>
        <w:tc>
          <w:tcPr>
            <w:tcW w:w="763" w:type="pct"/>
          </w:tcPr>
          <w:p w14:paraId="43058971" w14:textId="77777777" w:rsidR="00247AD2" w:rsidRDefault="00247AD2" w:rsidP="0047577B">
            <w:pPr>
              <w:pStyle w:val="BodyText"/>
            </w:pPr>
            <w:r>
              <w:t>894</w:t>
            </w:r>
          </w:p>
        </w:tc>
      </w:tr>
      <w:tr w:rsidR="00247AD2" w14:paraId="7F1C18EF" w14:textId="77777777" w:rsidTr="006A0585">
        <w:trPr>
          <w:trHeight w:val="396"/>
        </w:trPr>
        <w:tc>
          <w:tcPr>
            <w:tcW w:w="1946" w:type="pct"/>
          </w:tcPr>
          <w:p w14:paraId="4F647C06" w14:textId="77777777" w:rsidR="00247AD2" w:rsidRDefault="00247AD2" w:rsidP="0047577B">
            <w:pPr>
              <w:pStyle w:val="BodyText"/>
            </w:pPr>
            <w:r>
              <w:t>Domestic commercial flights</w:t>
            </w:r>
            <w:r>
              <w:rPr>
                <w:vertAlign w:val="superscript"/>
              </w:rPr>
              <w:t>(c)</w:t>
            </w:r>
          </w:p>
        </w:tc>
        <w:tc>
          <w:tcPr>
            <w:tcW w:w="763" w:type="pct"/>
          </w:tcPr>
          <w:p w14:paraId="5CF6C559" w14:textId="77777777" w:rsidR="00247AD2" w:rsidRDefault="00247AD2" w:rsidP="0047577B">
            <w:pPr>
              <w:pStyle w:val="BodyText"/>
            </w:pPr>
            <w:r>
              <w:t>N/A</w:t>
            </w:r>
          </w:p>
        </w:tc>
        <w:tc>
          <w:tcPr>
            <w:tcW w:w="763" w:type="pct"/>
          </w:tcPr>
          <w:p w14:paraId="01FDD901" w14:textId="77777777" w:rsidR="00247AD2" w:rsidRDefault="00247AD2" w:rsidP="0047577B">
            <w:pPr>
              <w:pStyle w:val="BodyText"/>
            </w:pPr>
            <w:r>
              <w:t>N/A</w:t>
            </w:r>
          </w:p>
        </w:tc>
        <w:tc>
          <w:tcPr>
            <w:tcW w:w="763" w:type="pct"/>
          </w:tcPr>
          <w:p w14:paraId="027A9D89" w14:textId="77777777" w:rsidR="00247AD2" w:rsidRDefault="00247AD2" w:rsidP="0047577B">
            <w:pPr>
              <w:pStyle w:val="BodyText"/>
            </w:pPr>
            <w:r>
              <w:t>3,474</w:t>
            </w:r>
          </w:p>
        </w:tc>
        <w:tc>
          <w:tcPr>
            <w:tcW w:w="763" w:type="pct"/>
          </w:tcPr>
          <w:p w14:paraId="34FA3DA8" w14:textId="77777777" w:rsidR="00247AD2" w:rsidRDefault="00247AD2" w:rsidP="0047577B">
            <w:pPr>
              <w:pStyle w:val="BodyText"/>
            </w:pPr>
            <w:r>
              <w:t>3,474</w:t>
            </w:r>
          </w:p>
        </w:tc>
      </w:tr>
      <w:tr w:rsidR="00247AD2" w14:paraId="5BCFBC25" w14:textId="77777777" w:rsidTr="006A0585">
        <w:trPr>
          <w:trHeight w:val="396"/>
        </w:trPr>
        <w:tc>
          <w:tcPr>
            <w:tcW w:w="1946" w:type="pct"/>
          </w:tcPr>
          <w:p w14:paraId="73F58940" w14:textId="77777777" w:rsidR="00247AD2" w:rsidRDefault="00247AD2" w:rsidP="0047577B">
            <w:pPr>
              <w:pStyle w:val="BodyText"/>
            </w:pPr>
            <w:r>
              <w:t>Domestic hire car</w:t>
            </w:r>
            <w:r>
              <w:rPr>
                <w:vertAlign w:val="superscript"/>
              </w:rPr>
              <w:t>(c)(d)</w:t>
            </w:r>
          </w:p>
        </w:tc>
        <w:tc>
          <w:tcPr>
            <w:tcW w:w="763" w:type="pct"/>
          </w:tcPr>
          <w:p w14:paraId="2D9F42FA" w14:textId="77777777" w:rsidR="00247AD2" w:rsidRDefault="00247AD2" w:rsidP="0047577B">
            <w:pPr>
              <w:pStyle w:val="BodyText"/>
            </w:pPr>
            <w:r>
              <w:t>N/A</w:t>
            </w:r>
          </w:p>
        </w:tc>
        <w:tc>
          <w:tcPr>
            <w:tcW w:w="763" w:type="pct"/>
          </w:tcPr>
          <w:p w14:paraId="51D94BDC" w14:textId="77777777" w:rsidR="00247AD2" w:rsidRDefault="00247AD2" w:rsidP="0047577B">
            <w:pPr>
              <w:pStyle w:val="BodyText"/>
            </w:pPr>
            <w:r>
              <w:t>N/A</w:t>
            </w:r>
          </w:p>
        </w:tc>
        <w:tc>
          <w:tcPr>
            <w:tcW w:w="763" w:type="pct"/>
          </w:tcPr>
          <w:p w14:paraId="18400500" w14:textId="77777777" w:rsidR="00247AD2" w:rsidRDefault="00247AD2" w:rsidP="0047577B">
            <w:pPr>
              <w:pStyle w:val="BodyText"/>
            </w:pPr>
            <w:r>
              <w:t>51</w:t>
            </w:r>
          </w:p>
        </w:tc>
        <w:tc>
          <w:tcPr>
            <w:tcW w:w="763" w:type="pct"/>
          </w:tcPr>
          <w:p w14:paraId="6B0C8ED0" w14:textId="77777777" w:rsidR="00247AD2" w:rsidRDefault="00247AD2" w:rsidP="0047577B">
            <w:pPr>
              <w:pStyle w:val="BodyText"/>
            </w:pPr>
            <w:r>
              <w:t>51</w:t>
            </w:r>
          </w:p>
        </w:tc>
      </w:tr>
      <w:tr w:rsidR="00247AD2" w14:paraId="3C4BE8CD" w14:textId="77777777" w:rsidTr="006A0585">
        <w:trPr>
          <w:trHeight w:val="396"/>
        </w:trPr>
        <w:tc>
          <w:tcPr>
            <w:tcW w:w="1946" w:type="pct"/>
          </w:tcPr>
          <w:p w14:paraId="4B71B793" w14:textId="77777777" w:rsidR="00247AD2" w:rsidRDefault="00247AD2" w:rsidP="0047577B">
            <w:pPr>
              <w:pStyle w:val="BodyText"/>
            </w:pPr>
            <w:r>
              <w:t>Domestic travel accommodation</w:t>
            </w:r>
            <w:r>
              <w:rPr>
                <w:vertAlign w:val="superscript"/>
              </w:rPr>
              <w:t>(c)</w:t>
            </w:r>
          </w:p>
        </w:tc>
        <w:tc>
          <w:tcPr>
            <w:tcW w:w="763" w:type="pct"/>
          </w:tcPr>
          <w:p w14:paraId="649C5DF6" w14:textId="77777777" w:rsidR="00247AD2" w:rsidRDefault="00247AD2" w:rsidP="0047577B">
            <w:pPr>
              <w:pStyle w:val="BodyText"/>
            </w:pPr>
            <w:r>
              <w:t>N/A</w:t>
            </w:r>
          </w:p>
        </w:tc>
        <w:tc>
          <w:tcPr>
            <w:tcW w:w="763" w:type="pct"/>
          </w:tcPr>
          <w:p w14:paraId="5DCDA538" w14:textId="77777777" w:rsidR="00247AD2" w:rsidRDefault="00247AD2" w:rsidP="0047577B">
            <w:pPr>
              <w:pStyle w:val="BodyText"/>
            </w:pPr>
            <w:r>
              <w:t>N/A</w:t>
            </w:r>
          </w:p>
        </w:tc>
        <w:tc>
          <w:tcPr>
            <w:tcW w:w="763" w:type="pct"/>
          </w:tcPr>
          <w:p w14:paraId="3548430A" w14:textId="77777777" w:rsidR="00247AD2" w:rsidRDefault="00247AD2" w:rsidP="0047577B">
            <w:pPr>
              <w:pStyle w:val="BodyText"/>
            </w:pPr>
            <w:r>
              <w:t>1,858</w:t>
            </w:r>
          </w:p>
        </w:tc>
        <w:tc>
          <w:tcPr>
            <w:tcW w:w="763" w:type="pct"/>
          </w:tcPr>
          <w:p w14:paraId="3040AD7A" w14:textId="77777777" w:rsidR="00247AD2" w:rsidRDefault="00247AD2" w:rsidP="0047577B">
            <w:pPr>
              <w:pStyle w:val="BodyText"/>
            </w:pPr>
            <w:r>
              <w:t>1,858</w:t>
            </w:r>
          </w:p>
        </w:tc>
      </w:tr>
      <w:tr w:rsidR="00247AD2" w14:paraId="1707634D" w14:textId="77777777" w:rsidTr="006A0585">
        <w:trPr>
          <w:trHeight w:val="396"/>
        </w:trPr>
        <w:tc>
          <w:tcPr>
            <w:tcW w:w="1946" w:type="pct"/>
          </w:tcPr>
          <w:p w14:paraId="472EE540" w14:textId="77777777" w:rsidR="00247AD2" w:rsidRDefault="00247AD2" w:rsidP="0047577B">
            <w:pPr>
              <w:pStyle w:val="BodyText"/>
            </w:pPr>
            <w:r>
              <w:t>Other energy</w:t>
            </w:r>
          </w:p>
        </w:tc>
        <w:tc>
          <w:tcPr>
            <w:tcW w:w="763" w:type="pct"/>
          </w:tcPr>
          <w:p w14:paraId="6D1DADDA" w14:textId="77777777" w:rsidR="00247AD2" w:rsidRDefault="00247AD2" w:rsidP="0047577B">
            <w:pPr>
              <w:pStyle w:val="BodyText"/>
            </w:pPr>
            <w:r>
              <w:t>–</w:t>
            </w:r>
          </w:p>
        </w:tc>
        <w:tc>
          <w:tcPr>
            <w:tcW w:w="763" w:type="pct"/>
          </w:tcPr>
          <w:p w14:paraId="26A369BA" w14:textId="77777777" w:rsidR="00247AD2" w:rsidRDefault="00247AD2" w:rsidP="0047577B">
            <w:pPr>
              <w:pStyle w:val="BodyText"/>
            </w:pPr>
            <w:r>
              <w:t>N/A</w:t>
            </w:r>
          </w:p>
        </w:tc>
        <w:tc>
          <w:tcPr>
            <w:tcW w:w="763" w:type="pct"/>
          </w:tcPr>
          <w:p w14:paraId="661BBCD7" w14:textId="77777777" w:rsidR="00247AD2" w:rsidRDefault="00247AD2" w:rsidP="0047577B">
            <w:pPr>
              <w:pStyle w:val="BodyText"/>
            </w:pPr>
            <w:r>
              <w:t>–</w:t>
            </w:r>
          </w:p>
        </w:tc>
        <w:tc>
          <w:tcPr>
            <w:tcW w:w="763" w:type="pct"/>
          </w:tcPr>
          <w:p w14:paraId="51286DC1" w14:textId="77777777" w:rsidR="00247AD2" w:rsidRDefault="00247AD2" w:rsidP="0047577B">
            <w:pPr>
              <w:pStyle w:val="BodyText"/>
            </w:pPr>
            <w:r>
              <w:t>–</w:t>
            </w:r>
          </w:p>
        </w:tc>
      </w:tr>
      <w:tr w:rsidR="00247AD2" w14:paraId="6CB8CAAF" w14:textId="77777777" w:rsidTr="006A0585">
        <w:trPr>
          <w:trHeight w:val="396"/>
        </w:trPr>
        <w:tc>
          <w:tcPr>
            <w:tcW w:w="1946" w:type="pct"/>
          </w:tcPr>
          <w:p w14:paraId="117940D1" w14:textId="77777777" w:rsidR="00247AD2" w:rsidRDefault="00247AD2" w:rsidP="0047577B">
            <w:pPr>
              <w:pStyle w:val="BodyText"/>
            </w:pPr>
            <w:r>
              <w:rPr>
                <w:rStyle w:val="Bold"/>
              </w:rPr>
              <w:t>Total t CO2-e</w:t>
            </w:r>
          </w:p>
        </w:tc>
        <w:tc>
          <w:tcPr>
            <w:tcW w:w="763" w:type="pct"/>
          </w:tcPr>
          <w:p w14:paraId="73B83C1C" w14:textId="77777777" w:rsidR="00247AD2" w:rsidRDefault="00247AD2" w:rsidP="0047577B">
            <w:pPr>
              <w:pStyle w:val="BodyText"/>
            </w:pPr>
            <w:r>
              <w:rPr>
                <w:rStyle w:val="Bold"/>
              </w:rPr>
              <w:t>872</w:t>
            </w:r>
          </w:p>
        </w:tc>
        <w:tc>
          <w:tcPr>
            <w:tcW w:w="763" w:type="pct"/>
          </w:tcPr>
          <w:p w14:paraId="7DE6E21F" w14:textId="77777777" w:rsidR="00247AD2" w:rsidRDefault="00247AD2" w:rsidP="0047577B">
            <w:pPr>
              <w:pStyle w:val="BodyText"/>
            </w:pPr>
            <w:r>
              <w:rPr>
                <w:rStyle w:val="Bold"/>
              </w:rPr>
              <w:t>48,458</w:t>
            </w:r>
          </w:p>
        </w:tc>
        <w:tc>
          <w:tcPr>
            <w:tcW w:w="763" w:type="pct"/>
          </w:tcPr>
          <w:p w14:paraId="1D7DCB74" w14:textId="77777777" w:rsidR="00247AD2" w:rsidRDefault="00247AD2" w:rsidP="0047577B">
            <w:pPr>
              <w:pStyle w:val="BodyText"/>
            </w:pPr>
            <w:r>
              <w:rPr>
                <w:rStyle w:val="Bold"/>
              </w:rPr>
              <w:t>10,197</w:t>
            </w:r>
          </w:p>
        </w:tc>
        <w:tc>
          <w:tcPr>
            <w:tcW w:w="763" w:type="pct"/>
          </w:tcPr>
          <w:p w14:paraId="7DF2F548" w14:textId="77777777" w:rsidR="00247AD2" w:rsidRDefault="00247AD2" w:rsidP="0047577B">
            <w:pPr>
              <w:pStyle w:val="BodyText"/>
            </w:pPr>
            <w:r>
              <w:rPr>
                <w:rStyle w:val="Bold"/>
              </w:rPr>
              <w:t>59,527</w:t>
            </w:r>
          </w:p>
        </w:tc>
      </w:tr>
    </w:tbl>
    <w:p w14:paraId="463F2AE9" w14:textId="6949F0B3" w:rsidR="00247AD2" w:rsidRDefault="00247AD2" w:rsidP="00C5543A">
      <w:pPr>
        <w:pStyle w:val="ProductCode"/>
      </w:pPr>
      <w:r>
        <w:t>(a)</w:t>
      </w:r>
      <w:r w:rsidR="00C5543A">
        <w:t xml:space="preserve"> </w:t>
      </w:r>
      <w:r>
        <w:t xml:space="preserve">The table above presents emissions related to electricity usage using the location-based accounting method. CO2-e = Carbon Dioxide Equivalent. </w:t>
      </w:r>
    </w:p>
    <w:p w14:paraId="005DF63A" w14:textId="2E31B8C0" w:rsidR="00247AD2" w:rsidRDefault="00247AD2" w:rsidP="00C5543A">
      <w:pPr>
        <w:pStyle w:val="ProductCode"/>
      </w:pPr>
      <w:r>
        <w:t>(b)</w:t>
      </w:r>
      <w:r w:rsidR="00C5543A">
        <w:t xml:space="preserve"> </w:t>
      </w:r>
      <w:r>
        <w:t>Reporting on refrigerants is being phased in over time as emissions reporting matures.</w:t>
      </w:r>
    </w:p>
    <w:p w14:paraId="2FBBD0C9" w14:textId="68F72AF0" w:rsidR="00247AD2" w:rsidRDefault="00247AD2" w:rsidP="00C5543A">
      <w:pPr>
        <w:pStyle w:val="ProductCode"/>
      </w:pPr>
      <w:r>
        <w:t>(c)</w:t>
      </w:r>
      <w:r w:rsidR="00C5543A">
        <w:t xml:space="preserve"> </w:t>
      </w:r>
      <w:r>
        <w:t>Domestic travel emissions may contain reservations for non-Services Australia employees. Whilst attempts have been made to separate and remove associated flight, accommodation and hire car bookings, this report may contain some emissions from non-employee travel.</w:t>
      </w:r>
    </w:p>
    <w:p w14:paraId="53456DF6" w14:textId="79B5CD9A" w:rsidR="00247AD2" w:rsidRDefault="00247AD2" w:rsidP="00C5543A">
      <w:pPr>
        <w:pStyle w:val="ProductCode"/>
      </w:pPr>
      <w:r>
        <w:t>(d)</w:t>
      </w:r>
      <w:r w:rsidR="00C5543A">
        <w:t xml:space="preserve"> </w:t>
      </w:r>
      <w:r>
        <w:t>Not all solid waste and hire car data was available at the time of the report and amendments to data may be required in future reports. The quality of data is expected to improve over time as emissions reporting matures.</w:t>
      </w:r>
    </w:p>
    <w:p w14:paraId="5304D607" w14:textId="77777777" w:rsidR="00247AD2" w:rsidRDefault="00247AD2" w:rsidP="00247AD2">
      <w:pPr>
        <w:pStyle w:val="BodyText"/>
      </w:pPr>
      <w:r>
        <w:t>Table 86 shows the agency’s electricity greenhouse gas emissions in 2024–25.</w:t>
      </w:r>
    </w:p>
    <w:p w14:paraId="7B93BA1C" w14:textId="5FC0EB45" w:rsidR="00247AD2" w:rsidRPr="00C5543A" w:rsidRDefault="00C5543A" w:rsidP="00C5543A">
      <w:pPr>
        <w:pStyle w:val="BodyText"/>
        <w:rPr>
          <w:b/>
          <w:bCs/>
          <w:vertAlign w:val="superscript"/>
        </w:rPr>
      </w:pPr>
      <w:r w:rsidRPr="00C5543A">
        <w:rPr>
          <w:b/>
          <w:bCs/>
        </w:rPr>
        <w:t>Table 86:</w:t>
      </w:r>
      <w:r w:rsidR="00247AD2" w:rsidRPr="00C5543A">
        <w:rPr>
          <w:b/>
          <w:bCs/>
        </w:rPr>
        <w:t xml:space="preserve"> Electricity greenhouse gas emissions 2024–25</w:t>
      </w:r>
      <w:r w:rsidR="00247AD2" w:rsidRPr="00C5543A">
        <w:rPr>
          <w:b/>
          <w:bCs/>
          <w:vertAlign w:val="superscript"/>
        </w:rPr>
        <w:t>(a)</w:t>
      </w:r>
    </w:p>
    <w:tbl>
      <w:tblPr>
        <w:tblStyle w:val="TableGrid"/>
        <w:tblW w:w="5000" w:type="pct"/>
        <w:tblLook w:val="04A0" w:firstRow="1" w:lastRow="0" w:firstColumn="1" w:lastColumn="0" w:noHBand="0" w:noVBand="1"/>
        <w:tblCaption w:val="Electricity greenhouse gas emissions 2024–25"/>
      </w:tblPr>
      <w:tblGrid>
        <w:gridCol w:w="3814"/>
        <w:gridCol w:w="1694"/>
        <w:gridCol w:w="1694"/>
        <w:gridCol w:w="1693"/>
        <w:gridCol w:w="2201"/>
      </w:tblGrid>
      <w:tr w:rsidR="00247AD2" w14:paraId="2285B2D0" w14:textId="77777777" w:rsidTr="0047577B">
        <w:trPr>
          <w:trHeight w:val="396"/>
          <w:tblHeader/>
        </w:trPr>
        <w:tc>
          <w:tcPr>
            <w:tcW w:w="1717" w:type="pct"/>
          </w:tcPr>
          <w:p w14:paraId="6D57AFC4" w14:textId="77777777" w:rsidR="00247AD2" w:rsidRPr="00891C1C" w:rsidRDefault="00247AD2" w:rsidP="0047577B">
            <w:pPr>
              <w:pStyle w:val="BodyText"/>
            </w:pPr>
            <w:r w:rsidRPr="00891C1C">
              <w:rPr>
                <w:rStyle w:val="Bold"/>
              </w:rPr>
              <w:lastRenderedPageBreak/>
              <w:t xml:space="preserve">Emission source </w:t>
            </w:r>
          </w:p>
        </w:tc>
        <w:tc>
          <w:tcPr>
            <w:tcW w:w="763" w:type="pct"/>
          </w:tcPr>
          <w:p w14:paraId="57FEEC1C" w14:textId="77777777" w:rsidR="00247AD2" w:rsidRPr="0047577B" w:rsidRDefault="00247AD2" w:rsidP="0047577B">
            <w:pPr>
              <w:pStyle w:val="BodyText"/>
              <w:rPr>
                <w:b/>
                <w:bCs/>
              </w:rPr>
            </w:pPr>
            <w:r w:rsidRPr="0047577B">
              <w:rPr>
                <w:b/>
                <w:bCs/>
              </w:rPr>
              <w:t>Scope 2 t CO2-e</w:t>
            </w:r>
          </w:p>
        </w:tc>
        <w:tc>
          <w:tcPr>
            <w:tcW w:w="763" w:type="pct"/>
          </w:tcPr>
          <w:p w14:paraId="69B4DC64" w14:textId="77777777" w:rsidR="00247AD2" w:rsidRPr="0047577B" w:rsidRDefault="00247AD2" w:rsidP="0047577B">
            <w:pPr>
              <w:pStyle w:val="BodyText"/>
              <w:rPr>
                <w:b/>
                <w:bCs/>
              </w:rPr>
            </w:pPr>
            <w:r w:rsidRPr="0047577B">
              <w:rPr>
                <w:b/>
                <w:bCs/>
              </w:rPr>
              <w:t>Scope 3 t CO2-e</w:t>
            </w:r>
          </w:p>
        </w:tc>
        <w:tc>
          <w:tcPr>
            <w:tcW w:w="763" w:type="pct"/>
          </w:tcPr>
          <w:p w14:paraId="5A77C995" w14:textId="77777777" w:rsidR="00247AD2" w:rsidRPr="0047577B" w:rsidRDefault="00247AD2" w:rsidP="0047577B">
            <w:pPr>
              <w:pStyle w:val="BodyText"/>
              <w:rPr>
                <w:b/>
                <w:bCs/>
              </w:rPr>
            </w:pPr>
            <w:r w:rsidRPr="0047577B">
              <w:rPr>
                <w:b/>
                <w:bCs/>
              </w:rPr>
              <w:t>Total t CO2-e</w:t>
            </w:r>
          </w:p>
        </w:tc>
        <w:tc>
          <w:tcPr>
            <w:tcW w:w="992" w:type="pct"/>
          </w:tcPr>
          <w:p w14:paraId="407D507D" w14:textId="77777777" w:rsidR="00247AD2" w:rsidRPr="0047577B" w:rsidRDefault="00247AD2" w:rsidP="0047577B">
            <w:pPr>
              <w:pStyle w:val="BodyText"/>
              <w:rPr>
                <w:b/>
                <w:bCs/>
              </w:rPr>
            </w:pPr>
            <w:r w:rsidRPr="0047577B">
              <w:rPr>
                <w:b/>
                <w:bCs/>
              </w:rPr>
              <w:t>Electricity kWh</w:t>
            </w:r>
          </w:p>
        </w:tc>
      </w:tr>
      <w:tr w:rsidR="00247AD2" w14:paraId="07AE679A" w14:textId="77777777" w:rsidTr="006A0585">
        <w:trPr>
          <w:trHeight w:val="396"/>
        </w:trPr>
        <w:tc>
          <w:tcPr>
            <w:tcW w:w="1717" w:type="pct"/>
          </w:tcPr>
          <w:p w14:paraId="7E29A283" w14:textId="77777777" w:rsidR="00247AD2" w:rsidRDefault="00247AD2" w:rsidP="0047577B">
            <w:pPr>
              <w:pStyle w:val="BodyText"/>
            </w:pPr>
            <w:r>
              <w:rPr>
                <w:spacing w:val="-4"/>
              </w:rPr>
              <w:t>Location-based electricity emissions</w:t>
            </w:r>
          </w:p>
        </w:tc>
        <w:tc>
          <w:tcPr>
            <w:tcW w:w="763" w:type="pct"/>
          </w:tcPr>
          <w:p w14:paraId="1E4C6A56" w14:textId="77777777" w:rsidR="00247AD2" w:rsidRDefault="00247AD2" w:rsidP="0047577B">
            <w:pPr>
              <w:pStyle w:val="BodyText"/>
            </w:pPr>
            <w:r>
              <w:t>48,458</w:t>
            </w:r>
          </w:p>
        </w:tc>
        <w:tc>
          <w:tcPr>
            <w:tcW w:w="763" w:type="pct"/>
          </w:tcPr>
          <w:p w14:paraId="74982AB3" w14:textId="77777777" w:rsidR="00247AD2" w:rsidRDefault="00247AD2" w:rsidP="0047577B">
            <w:pPr>
              <w:pStyle w:val="BodyText"/>
            </w:pPr>
            <w:r>
              <w:t>4,161</w:t>
            </w:r>
          </w:p>
        </w:tc>
        <w:tc>
          <w:tcPr>
            <w:tcW w:w="763" w:type="pct"/>
          </w:tcPr>
          <w:p w14:paraId="0CAAFD7B" w14:textId="77777777" w:rsidR="00247AD2" w:rsidRDefault="00247AD2" w:rsidP="0047577B">
            <w:pPr>
              <w:pStyle w:val="BodyText"/>
            </w:pPr>
            <w:r>
              <w:t>52,619</w:t>
            </w:r>
          </w:p>
        </w:tc>
        <w:tc>
          <w:tcPr>
            <w:tcW w:w="992" w:type="pct"/>
          </w:tcPr>
          <w:p w14:paraId="16CB1341" w14:textId="77777777" w:rsidR="00247AD2" w:rsidRDefault="00247AD2" w:rsidP="0047577B">
            <w:pPr>
              <w:pStyle w:val="BodyText"/>
            </w:pPr>
            <w:r>
              <w:t>74,614,982</w:t>
            </w:r>
          </w:p>
        </w:tc>
      </w:tr>
      <w:tr w:rsidR="00247AD2" w14:paraId="1F6D1C5B" w14:textId="77777777" w:rsidTr="006A0585">
        <w:trPr>
          <w:trHeight w:val="396"/>
        </w:trPr>
        <w:tc>
          <w:tcPr>
            <w:tcW w:w="1717" w:type="pct"/>
          </w:tcPr>
          <w:p w14:paraId="48C94142" w14:textId="77777777" w:rsidR="00247AD2" w:rsidRDefault="00247AD2" w:rsidP="0047577B">
            <w:pPr>
              <w:pStyle w:val="BodyText"/>
            </w:pPr>
            <w:r>
              <w:t xml:space="preserve">Market-based electricity emissions </w:t>
            </w:r>
          </w:p>
        </w:tc>
        <w:tc>
          <w:tcPr>
            <w:tcW w:w="763" w:type="pct"/>
          </w:tcPr>
          <w:p w14:paraId="6BD9514C" w14:textId="77777777" w:rsidR="00247AD2" w:rsidRDefault="00247AD2" w:rsidP="0047577B">
            <w:pPr>
              <w:pStyle w:val="BodyText"/>
            </w:pPr>
            <w:r>
              <w:t>26,990</w:t>
            </w:r>
          </w:p>
        </w:tc>
        <w:tc>
          <w:tcPr>
            <w:tcW w:w="763" w:type="pct"/>
          </w:tcPr>
          <w:p w14:paraId="0B10C607" w14:textId="77777777" w:rsidR="00247AD2" w:rsidRDefault="00247AD2" w:rsidP="0047577B">
            <w:pPr>
              <w:pStyle w:val="BodyText"/>
            </w:pPr>
            <w:r>
              <w:t>3,665</w:t>
            </w:r>
          </w:p>
        </w:tc>
        <w:tc>
          <w:tcPr>
            <w:tcW w:w="763" w:type="pct"/>
          </w:tcPr>
          <w:p w14:paraId="1D899FEF" w14:textId="77777777" w:rsidR="00247AD2" w:rsidRDefault="00247AD2" w:rsidP="0047577B">
            <w:pPr>
              <w:pStyle w:val="BodyText"/>
            </w:pPr>
            <w:r>
              <w:t>30,656</w:t>
            </w:r>
          </w:p>
        </w:tc>
        <w:tc>
          <w:tcPr>
            <w:tcW w:w="992" w:type="pct"/>
          </w:tcPr>
          <w:p w14:paraId="43C95FCD" w14:textId="77777777" w:rsidR="00247AD2" w:rsidRDefault="00247AD2" w:rsidP="0047577B">
            <w:pPr>
              <w:pStyle w:val="BodyText"/>
            </w:pPr>
            <w:r>
              <w:t>33,321,425</w:t>
            </w:r>
          </w:p>
        </w:tc>
      </w:tr>
      <w:tr w:rsidR="00247AD2" w14:paraId="3F867F82" w14:textId="77777777" w:rsidTr="006A0585">
        <w:trPr>
          <w:trHeight w:val="396"/>
        </w:trPr>
        <w:tc>
          <w:tcPr>
            <w:tcW w:w="1717" w:type="pct"/>
          </w:tcPr>
          <w:p w14:paraId="37E5A394" w14:textId="77777777" w:rsidR="00247AD2" w:rsidRDefault="00247AD2" w:rsidP="0047577B">
            <w:pPr>
              <w:pStyle w:val="BodyText"/>
            </w:pPr>
            <w:r>
              <w:rPr>
                <w:rStyle w:val="Bold"/>
              </w:rPr>
              <w:t>Total renewable electricity consumed</w:t>
            </w:r>
          </w:p>
        </w:tc>
        <w:tc>
          <w:tcPr>
            <w:tcW w:w="763" w:type="pct"/>
          </w:tcPr>
          <w:p w14:paraId="7FC13A68" w14:textId="77777777" w:rsidR="00247AD2" w:rsidRDefault="00247AD2" w:rsidP="0047577B">
            <w:pPr>
              <w:pStyle w:val="BodyText"/>
            </w:pPr>
            <w:r>
              <w:rPr>
                <w:rStyle w:val="Bold"/>
              </w:rPr>
              <w:t>N/A</w:t>
            </w:r>
          </w:p>
        </w:tc>
        <w:tc>
          <w:tcPr>
            <w:tcW w:w="763" w:type="pct"/>
          </w:tcPr>
          <w:p w14:paraId="32EA9939" w14:textId="77777777" w:rsidR="00247AD2" w:rsidRDefault="00247AD2" w:rsidP="0047577B">
            <w:pPr>
              <w:pStyle w:val="BodyText"/>
            </w:pPr>
            <w:r>
              <w:rPr>
                <w:rStyle w:val="Bold"/>
              </w:rPr>
              <w:t>N/A</w:t>
            </w:r>
          </w:p>
        </w:tc>
        <w:tc>
          <w:tcPr>
            <w:tcW w:w="763" w:type="pct"/>
          </w:tcPr>
          <w:p w14:paraId="6D04F9D8" w14:textId="77777777" w:rsidR="00247AD2" w:rsidRDefault="00247AD2" w:rsidP="0047577B">
            <w:pPr>
              <w:pStyle w:val="BodyText"/>
            </w:pPr>
            <w:r>
              <w:rPr>
                <w:rStyle w:val="Bold"/>
              </w:rPr>
              <w:t>N/A</w:t>
            </w:r>
          </w:p>
        </w:tc>
        <w:tc>
          <w:tcPr>
            <w:tcW w:w="992" w:type="pct"/>
          </w:tcPr>
          <w:p w14:paraId="72F1C103" w14:textId="77777777" w:rsidR="00247AD2" w:rsidRDefault="00247AD2" w:rsidP="0047577B">
            <w:pPr>
              <w:pStyle w:val="BodyText"/>
            </w:pPr>
            <w:r>
              <w:rPr>
                <w:rStyle w:val="Bold"/>
              </w:rPr>
              <w:t>41,427,928</w:t>
            </w:r>
          </w:p>
        </w:tc>
      </w:tr>
      <w:tr w:rsidR="00247AD2" w14:paraId="06692FE2" w14:textId="77777777" w:rsidTr="006A0585">
        <w:trPr>
          <w:trHeight w:val="396"/>
        </w:trPr>
        <w:tc>
          <w:tcPr>
            <w:tcW w:w="1717" w:type="pct"/>
          </w:tcPr>
          <w:p w14:paraId="25D67BF7" w14:textId="77777777" w:rsidR="00247AD2" w:rsidRDefault="00247AD2" w:rsidP="0047577B">
            <w:pPr>
              <w:pStyle w:val="BodyText"/>
            </w:pPr>
            <w:r>
              <w:t>Renewable power percentage</w:t>
            </w:r>
            <w:r>
              <w:rPr>
                <w:vertAlign w:val="superscript"/>
              </w:rPr>
              <w:t>(b)</w:t>
            </w:r>
          </w:p>
        </w:tc>
        <w:tc>
          <w:tcPr>
            <w:tcW w:w="763" w:type="pct"/>
          </w:tcPr>
          <w:p w14:paraId="305E6F20" w14:textId="77777777" w:rsidR="00247AD2" w:rsidRDefault="00247AD2" w:rsidP="0047577B">
            <w:pPr>
              <w:pStyle w:val="BodyText"/>
            </w:pPr>
            <w:r>
              <w:t>N/A</w:t>
            </w:r>
          </w:p>
        </w:tc>
        <w:tc>
          <w:tcPr>
            <w:tcW w:w="763" w:type="pct"/>
          </w:tcPr>
          <w:p w14:paraId="31D9E18A" w14:textId="77777777" w:rsidR="00247AD2" w:rsidRDefault="00247AD2" w:rsidP="0047577B">
            <w:pPr>
              <w:pStyle w:val="BodyText"/>
            </w:pPr>
            <w:r>
              <w:t>N/A</w:t>
            </w:r>
          </w:p>
        </w:tc>
        <w:tc>
          <w:tcPr>
            <w:tcW w:w="763" w:type="pct"/>
          </w:tcPr>
          <w:p w14:paraId="0EAE267B" w14:textId="77777777" w:rsidR="00247AD2" w:rsidRDefault="00247AD2" w:rsidP="0047577B">
            <w:pPr>
              <w:pStyle w:val="BodyText"/>
            </w:pPr>
            <w:r>
              <w:t>N/A</w:t>
            </w:r>
          </w:p>
        </w:tc>
        <w:tc>
          <w:tcPr>
            <w:tcW w:w="992" w:type="pct"/>
          </w:tcPr>
          <w:p w14:paraId="4A06EAC4" w14:textId="77777777" w:rsidR="00247AD2" w:rsidRDefault="00247AD2" w:rsidP="0047577B">
            <w:pPr>
              <w:pStyle w:val="BodyText"/>
            </w:pPr>
            <w:r>
              <w:t>13,576,196</w:t>
            </w:r>
          </w:p>
        </w:tc>
      </w:tr>
      <w:tr w:rsidR="00247AD2" w14:paraId="19BBA50D" w14:textId="77777777" w:rsidTr="006A0585">
        <w:trPr>
          <w:trHeight w:val="396"/>
        </w:trPr>
        <w:tc>
          <w:tcPr>
            <w:tcW w:w="1717" w:type="pct"/>
          </w:tcPr>
          <w:p w14:paraId="0C5E99F1" w14:textId="77777777" w:rsidR="00247AD2" w:rsidRDefault="00247AD2" w:rsidP="0047577B">
            <w:pPr>
              <w:pStyle w:val="BodyText"/>
            </w:pPr>
            <w:r>
              <w:t>Jurisdictional renewable power percentage</w:t>
            </w:r>
            <w:r>
              <w:rPr>
                <w:vertAlign w:val="superscript"/>
              </w:rPr>
              <w:t>(c)(d)</w:t>
            </w:r>
          </w:p>
        </w:tc>
        <w:tc>
          <w:tcPr>
            <w:tcW w:w="763" w:type="pct"/>
          </w:tcPr>
          <w:p w14:paraId="244465CE" w14:textId="77777777" w:rsidR="00247AD2" w:rsidRDefault="00247AD2" w:rsidP="0047577B">
            <w:pPr>
              <w:pStyle w:val="BodyText"/>
            </w:pPr>
            <w:r>
              <w:t>N/A</w:t>
            </w:r>
          </w:p>
        </w:tc>
        <w:tc>
          <w:tcPr>
            <w:tcW w:w="763" w:type="pct"/>
          </w:tcPr>
          <w:p w14:paraId="6F024C9A" w14:textId="77777777" w:rsidR="00247AD2" w:rsidRDefault="00247AD2" w:rsidP="0047577B">
            <w:pPr>
              <w:pStyle w:val="BodyText"/>
            </w:pPr>
            <w:r>
              <w:t>N/A</w:t>
            </w:r>
          </w:p>
        </w:tc>
        <w:tc>
          <w:tcPr>
            <w:tcW w:w="763" w:type="pct"/>
          </w:tcPr>
          <w:p w14:paraId="464195B3" w14:textId="77777777" w:rsidR="00247AD2" w:rsidRDefault="00247AD2" w:rsidP="0047577B">
            <w:pPr>
              <w:pStyle w:val="BodyText"/>
            </w:pPr>
            <w:r>
              <w:t>N/A</w:t>
            </w:r>
          </w:p>
        </w:tc>
        <w:tc>
          <w:tcPr>
            <w:tcW w:w="992" w:type="pct"/>
          </w:tcPr>
          <w:p w14:paraId="5D18C147" w14:textId="77777777" w:rsidR="00247AD2" w:rsidRDefault="00247AD2" w:rsidP="0047577B">
            <w:pPr>
              <w:pStyle w:val="BodyText"/>
            </w:pPr>
            <w:r>
              <w:t>27,327,176</w:t>
            </w:r>
          </w:p>
        </w:tc>
      </w:tr>
      <w:tr w:rsidR="00247AD2" w14:paraId="4D7D816D" w14:textId="77777777" w:rsidTr="006A0585">
        <w:trPr>
          <w:trHeight w:val="396"/>
        </w:trPr>
        <w:tc>
          <w:tcPr>
            <w:tcW w:w="1717" w:type="pct"/>
          </w:tcPr>
          <w:p w14:paraId="4EB7988C" w14:textId="77777777" w:rsidR="00247AD2" w:rsidRDefault="00247AD2" w:rsidP="0047577B">
            <w:pPr>
              <w:pStyle w:val="BodyText"/>
            </w:pPr>
            <w:r>
              <w:t>GreenPower</w:t>
            </w:r>
            <w:r>
              <w:rPr>
                <w:vertAlign w:val="superscript"/>
              </w:rPr>
              <w:t>(c)</w:t>
            </w:r>
          </w:p>
        </w:tc>
        <w:tc>
          <w:tcPr>
            <w:tcW w:w="763" w:type="pct"/>
          </w:tcPr>
          <w:p w14:paraId="74640EDE" w14:textId="77777777" w:rsidR="00247AD2" w:rsidRDefault="00247AD2" w:rsidP="0047577B">
            <w:pPr>
              <w:pStyle w:val="BodyText"/>
            </w:pPr>
            <w:r>
              <w:t>N/A</w:t>
            </w:r>
          </w:p>
        </w:tc>
        <w:tc>
          <w:tcPr>
            <w:tcW w:w="763" w:type="pct"/>
          </w:tcPr>
          <w:p w14:paraId="3D9B5CF3" w14:textId="77777777" w:rsidR="00247AD2" w:rsidRDefault="00247AD2" w:rsidP="0047577B">
            <w:pPr>
              <w:pStyle w:val="BodyText"/>
            </w:pPr>
            <w:r>
              <w:t>N/A</w:t>
            </w:r>
          </w:p>
        </w:tc>
        <w:tc>
          <w:tcPr>
            <w:tcW w:w="763" w:type="pct"/>
          </w:tcPr>
          <w:p w14:paraId="0C49AB53" w14:textId="77777777" w:rsidR="00247AD2" w:rsidRDefault="00247AD2" w:rsidP="0047577B">
            <w:pPr>
              <w:pStyle w:val="BodyText"/>
            </w:pPr>
            <w:r>
              <w:t>N/A</w:t>
            </w:r>
          </w:p>
        </w:tc>
        <w:tc>
          <w:tcPr>
            <w:tcW w:w="992" w:type="pct"/>
          </w:tcPr>
          <w:p w14:paraId="013E48DA" w14:textId="77777777" w:rsidR="00247AD2" w:rsidRDefault="00247AD2" w:rsidP="0047577B">
            <w:pPr>
              <w:pStyle w:val="BodyText"/>
            </w:pPr>
            <w:r>
              <w:t>390,184</w:t>
            </w:r>
          </w:p>
        </w:tc>
      </w:tr>
      <w:tr w:rsidR="00247AD2" w14:paraId="10511BB1" w14:textId="77777777" w:rsidTr="006A0585">
        <w:trPr>
          <w:trHeight w:val="396"/>
        </w:trPr>
        <w:tc>
          <w:tcPr>
            <w:tcW w:w="1717" w:type="pct"/>
          </w:tcPr>
          <w:p w14:paraId="62DB0F35" w14:textId="77777777" w:rsidR="00247AD2" w:rsidRDefault="00247AD2" w:rsidP="0047577B">
            <w:pPr>
              <w:pStyle w:val="BodyText"/>
            </w:pPr>
            <w:r>
              <w:t>Large-scale generations certificate</w:t>
            </w:r>
            <w:r>
              <w:rPr>
                <w:vertAlign w:val="superscript"/>
              </w:rPr>
              <w:t>(c)</w:t>
            </w:r>
          </w:p>
        </w:tc>
        <w:tc>
          <w:tcPr>
            <w:tcW w:w="763" w:type="pct"/>
          </w:tcPr>
          <w:p w14:paraId="08E35D0B" w14:textId="77777777" w:rsidR="00247AD2" w:rsidRDefault="00247AD2" w:rsidP="0047577B">
            <w:pPr>
              <w:pStyle w:val="BodyText"/>
            </w:pPr>
            <w:r>
              <w:t>N/A</w:t>
            </w:r>
          </w:p>
        </w:tc>
        <w:tc>
          <w:tcPr>
            <w:tcW w:w="763" w:type="pct"/>
          </w:tcPr>
          <w:p w14:paraId="15751AFB" w14:textId="77777777" w:rsidR="00247AD2" w:rsidRDefault="00247AD2" w:rsidP="0047577B">
            <w:pPr>
              <w:pStyle w:val="BodyText"/>
            </w:pPr>
            <w:r>
              <w:t>N/A</w:t>
            </w:r>
          </w:p>
        </w:tc>
        <w:tc>
          <w:tcPr>
            <w:tcW w:w="763" w:type="pct"/>
          </w:tcPr>
          <w:p w14:paraId="4898DA90" w14:textId="77777777" w:rsidR="00247AD2" w:rsidRDefault="00247AD2" w:rsidP="0047577B">
            <w:pPr>
              <w:pStyle w:val="BodyText"/>
            </w:pPr>
            <w:r>
              <w:t>N/A</w:t>
            </w:r>
          </w:p>
        </w:tc>
        <w:tc>
          <w:tcPr>
            <w:tcW w:w="992" w:type="pct"/>
          </w:tcPr>
          <w:p w14:paraId="2B0595D0" w14:textId="77777777" w:rsidR="00247AD2" w:rsidRDefault="00247AD2" w:rsidP="0047577B">
            <w:pPr>
              <w:pStyle w:val="BodyText"/>
            </w:pPr>
            <w:r>
              <w:t>–</w:t>
            </w:r>
          </w:p>
        </w:tc>
      </w:tr>
      <w:tr w:rsidR="00247AD2" w14:paraId="79DF2237" w14:textId="77777777" w:rsidTr="006A0585">
        <w:trPr>
          <w:trHeight w:val="396"/>
        </w:trPr>
        <w:tc>
          <w:tcPr>
            <w:tcW w:w="1717" w:type="pct"/>
          </w:tcPr>
          <w:p w14:paraId="12A00196" w14:textId="77777777" w:rsidR="00247AD2" w:rsidRDefault="00247AD2" w:rsidP="0047577B">
            <w:pPr>
              <w:pStyle w:val="BodyText"/>
            </w:pPr>
            <w:r>
              <w:t>Behind the meter solar</w:t>
            </w:r>
            <w:r>
              <w:rPr>
                <w:vertAlign w:val="superscript"/>
              </w:rPr>
              <w:t>(e)</w:t>
            </w:r>
          </w:p>
        </w:tc>
        <w:tc>
          <w:tcPr>
            <w:tcW w:w="763" w:type="pct"/>
          </w:tcPr>
          <w:p w14:paraId="1F699862" w14:textId="77777777" w:rsidR="00247AD2" w:rsidRDefault="00247AD2" w:rsidP="0047577B">
            <w:pPr>
              <w:pStyle w:val="BodyText"/>
            </w:pPr>
            <w:r>
              <w:t>N/A</w:t>
            </w:r>
          </w:p>
        </w:tc>
        <w:tc>
          <w:tcPr>
            <w:tcW w:w="763" w:type="pct"/>
          </w:tcPr>
          <w:p w14:paraId="3107A69E" w14:textId="77777777" w:rsidR="00247AD2" w:rsidRDefault="00247AD2" w:rsidP="0047577B">
            <w:pPr>
              <w:pStyle w:val="BodyText"/>
            </w:pPr>
            <w:r>
              <w:t>N/A</w:t>
            </w:r>
          </w:p>
        </w:tc>
        <w:tc>
          <w:tcPr>
            <w:tcW w:w="763" w:type="pct"/>
          </w:tcPr>
          <w:p w14:paraId="0D8FCC06" w14:textId="77777777" w:rsidR="00247AD2" w:rsidRDefault="00247AD2" w:rsidP="0047577B">
            <w:pPr>
              <w:pStyle w:val="BodyText"/>
            </w:pPr>
            <w:r>
              <w:t>N/A</w:t>
            </w:r>
          </w:p>
        </w:tc>
        <w:tc>
          <w:tcPr>
            <w:tcW w:w="992" w:type="pct"/>
          </w:tcPr>
          <w:p w14:paraId="6092C6BD" w14:textId="77777777" w:rsidR="00247AD2" w:rsidRDefault="00247AD2" w:rsidP="0047577B">
            <w:pPr>
              <w:pStyle w:val="BodyText"/>
            </w:pPr>
            <w:r>
              <w:t>134,371</w:t>
            </w:r>
          </w:p>
        </w:tc>
      </w:tr>
      <w:tr w:rsidR="00247AD2" w14:paraId="5D6E3108" w14:textId="77777777" w:rsidTr="006A0585">
        <w:trPr>
          <w:trHeight w:val="396"/>
        </w:trPr>
        <w:tc>
          <w:tcPr>
            <w:tcW w:w="1717" w:type="pct"/>
          </w:tcPr>
          <w:p w14:paraId="003084DB" w14:textId="77777777" w:rsidR="00247AD2" w:rsidRDefault="00247AD2" w:rsidP="0047577B">
            <w:pPr>
              <w:pStyle w:val="BodyText"/>
            </w:pPr>
            <w:r>
              <w:rPr>
                <w:rStyle w:val="Bold"/>
              </w:rPr>
              <w:t>Total renewable electricity produced</w:t>
            </w:r>
          </w:p>
        </w:tc>
        <w:tc>
          <w:tcPr>
            <w:tcW w:w="763" w:type="pct"/>
          </w:tcPr>
          <w:p w14:paraId="6065762F" w14:textId="77777777" w:rsidR="00247AD2" w:rsidRDefault="00247AD2" w:rsidP="0047577B">
            <w:pPr>
              <w:pStyle w:val="BodyText"/>
            </w:pPr>
            <w:r>
              <w:rPr>
                <w:rStyle w:val="Bold"/>
              </w:rPr>
              <w:t>N/A</w:t>
            </w:r>
          </w:p>
        </w:tc>
        <w:tc>
          <w:tcPr>
            <w:tcW w:w="763" w:type="pct"/>
          </w:tcPr>
          <w:p w14:paraId="2F73E4DC" w14:textId="77777777" w:rsidR="00247AD2" w:rsidRDefault="00247AD2" w:rsidP="0047577B">
            <w:pPr>
              <w:pStyle w:val="BodyText"/>
            </w:pPr>
            <w:r>
              <w:rPr>
                <w:rStyle w:val="Bold"/>
              </w:rPr>
              <w:t>N/A</w:t>
            </w:r>
          </w:p>
        </w:tc>
        <w:tc>
          <w:tcPr>
            <w:tcW w:w="763" w:type="pct"/>
          </w:tcPr>
          <w:p w14:paraId="0C1F907C" w14:textId="77777777" w:rsidR="00247AD2" w:rsidRDefault="00247AD2" w:rsidP="0047577B">
            <w:pPr>
              <w:pStyle w:val="BodyText"/>
            </w:pPr>
            <w:r>
              <w:rPr>
                <w:rStyle w:val="Bold"/>
              </w:rPr>
              <w:t>N/A</w:t>
            </w:r>
          </w:p>
        </w:tc>
        <w:tc>
          <w:tcPr>
            <w:tcW w:w="992" w:type="pct"/>
          </w:tcPr>
          <w:p w14:paraId="31F6A03E" w14:textId="77777777" w:rsidR="00247AD2" w:rsidRDefault="00247AD2" w:rsidP="0047577B">
            <w:pPr>
              <w:pStyle w:val="BodyText"/>
            </w:pPr>
            <w:r>
              <w:rPr>
                <w:rStyle w:val="Bold"/>
              </w:rPr>
              <w:t>134,371</w:t>
            </w:r>
          </w:p>
        </w:tc>
      </w:tr>
      <w:tr w:rsidR="00247AD2" w14:paraId="788A9D79" w14:textId="77777777" w:rsidTr="006A0585">
        <w:trPr>
          <w:trHeight w:val="396"/>
        </w:trPr>
        <w:tc>
          <w:tcPr>
            <w:tcW w:w="1717" w:type="pct"/>
          </w:tcPr>
          <w:p w14:paraId="675BD6D2" w14:textId="77777777" w:rsidR="00247AD2" w:rsidRDefault="00247AD2" w:rsidP="0047577B">
            <w:pPr>
              <w:pStyle w:val="BodyText"/>
            </w:pPr>
            <w:r>
              <w:t>Large-scale generation certificates</w:t>
            </w:r>
            <w:r>
              <w:rPr>
                <w:vertAlign w:val="superscript"/>
              </w:rPr>
              <w:t>(c)</w:t>
            </w:r>
          </w:p>
        </w:tc>
        <w:tc>
          <w:tcPr>
            <w:tcW w:w="763" w:type="pct"/>
          </w:tcPr>
          <w:p w14:paraId="494D2B1A" w14:textId="77777777" w:rsidR="00247AD2" w:rsidRDefault="00247AD2" w:rsidP="0047577B">
            <w:pPr>
              <w:pStyle w:val="BodyText"/>
            </w:pPr>
            <w:r>
              <w:t>N/A</w:t>
            </w:r>
          </w:p>
        </w:tc>
        <w:tc>
          <w:tcPr>
            <w:tcW w:w="763" w:type="pct"/>
          </w:tcPr>
          <w:p w14:paraId="307B651B" w14:textId="77777777" w:rsidR="00247AD2" w:rsidRDefault="00247AD2" w:rsidP="0047577B">
            <w:pPr>
              <w:pStyle w:val="BodyText"/>
            </w:pPr>
            <w:r>
              <w:t>N/A</w:t>
            </w:r>
          </w:p>
        </w:tc>
        <w:tc>
          <w:tcPr>
            <w:tcW w:w="763" w:type="pct"/>
          </w:tcPr>
          <w:p w14:paraId="08E27C6D" w14:textId="77777777" w:rsidR="00247AD2" w:rsidRDefault="00247AD2" w:rsidP="0047577B">
            <w:pPr>
              <w:pStyle w:val="BodyText"/>
            </w:pPr>
            <w:r>
              <w:t>N/A</w:t>
            </w:r>
          </w:p>
        </w:tc>
        <w:tc>
          <w:tcPr>
            <w:tcW w:w="992" w:type="pct"/>
          </w:tcPr>
          <w:p w14:paraId="73CC1D3D" w14:textId="77777777" w:rsidR="00247AD2" w:rsidRDefault="00247AD2" w:rsidP="0047577B">
            <w:pPr>
              <w:pStyle w:val="BodyText"/>
            </w:pPr>
            <w:r>
              <w:t>–</w:t>
            </w:r>
          </w:p>
        </w:tc>
      </w:tr>
      <w:tr w:rsidR="00247AD2" w14:paraId="30B48FCE" w14:textId="77777777" w:rsidTr="006A0585">
        <w:trPr>
          <w:trHeight w:val="396"/>
        </w:trPr>
        <w:tc>
          <w:tcPr>
            <w:tcW w:w="1717" w:type="pct"/>
          </w:tcPr>
          <w:p w14:paraId="78C835F2" w14:textId="77777777" w:rsidR="00247AD2" w:rsidRDefault="00247AD2" w:rsidP="0047577B">
            <w:pPr>
              <w:pStyle w:val="BodyText"/>
            </w:pPr>
            <w:r>
              <w:t>Behind the meter solar</w:t>
            </w:r>
            <w:r>
              <w:rPr>
                <w:vertAlign w:val="superscript"/>
              </w:rPr>
              <w:t>(e)</w:t>
            </w:r>
          </w:p>
        </w:tc>
        <w:tc>
          <w:tcPr>
            <w:tcW w:w="763" w:type="pct"/>
          </w:tcPr>
          <w:p w14:paraId="33CA8305" w14:textId="77777777" w:rsidR="00247AD2" w:rsidRDefault="00247AD2" w:rsidP="0047577B">
            <w:pPr>
              <w:pStyle w:val="BodyText"/>
            </w:pPr>
            <w:r>
              <w:t>N/A</w:t>
            </w:r>
          </w:p>
        </w:tc>
        <w:tc>
          <w:tcPr>
            <w:tcW w:w="763" w:type="pct"/>
          </w:tcPr>
          <w:p w14:paraId="7B112543" w14:textId="77777777" w:rsidR="00247AD2" w:rsidRDefault="00247AD2" w:rsidP="0047577B">
            <w:pPr>
              <w:pStyle w:val="BodyText"/>
            </w:pPr>
            <w:r>
              <w:t>N/A</w:t>
            </w:r>
          </w:p>
        </w:tc>
        <w:tc>
          <w:tcPr>
            <w:tcW w:w="763" w:type="pct"/>
          </w:tcPr>
          <w:p w14:paraId="5BCF825C" w14:textId="77777777" w:rsidR="00247AD2" w:rsidRDefault="00247AD2" w:rsidP="0047577B">
            <w:pPr>
              <w:pStyle w:val="BodyText"/>
            </w:pPr>
            <w:r>
              <w:t>N/A</w:t>
            </w:r>
          </w:p>
        </w:tc>
        <w:tc>
          <w:tcPr>
            <w:tcW w:w="992" w:type="pct"/>
          </w:tcPr>
          <w:p w14:paraId="42C8E98D" w14:textId="77777777" w:rsidR="00247AD2" w:rsidRDefault="00247AD2" w:rsidP="0047577B">
            <w:pPr>
              <w:pStyle w:val="BodyText"/>
            </w:pPr>
            <w:r>
              <w:t>134,371</w:t>
            </w:r>
          </w:p>
        </w:tc>
      </w:tr>
    </w:tbl>
    <w:p w14:paraId="3012472A" w14:textId="037D7EEE" w:rsidR="00247AD2" w:rsidRDefault="00247AD2" w:rsidP="00C5543A">
      <w:pPr>
        <w:pStyle w:val="ProductCode"/>
      </w:pPr>
      <w:r>
        <w:t>(a)</w:t>
      </w:r>
      <w:r w:rsidR="00C5543A">
        <w:t xml:space="preserve"> </w:t>
      </w:r>
      <w:r>
        <w:t>The table above presents emissions related to electricity usage using both the location-based and the market-based accounting methods. CO2-e = Carbon Dioxide Equivalent. Electricity usage is measured in kilowatt hours (kWh).</w:t>
      </w:r>
    </w:p>
    <w:p w14:paraId="4840DFEA" w14:textId="0D21B6C1" w:rsidR="00247AD2" w:rsidRDefault="00247AD2" w:rsidP="00C5543A">
      <w:pPr>
        <w:pStyle w:val="ProductCode"/>
      </w:pPr>
      <w:r>
        <w:t>(b)</w:t>
      </w:r>
      <w:r w:rsidR="00C5543A">
        <w:t xml:space="preserve"> </w:t>
      </w:r>
      <w:r>
        <w:t xml:space="preserve">Listed as Mandatory renewables in Annual report 2023–24. The renewable power percentage (RPP) accounts for the portion of electricity used, from the grid, that falls within the Renewable Energy Target (RET). The RPP calculates the large-scale generation certificates surrendered by an entity and shown in kWh. </w:t>
      </w:r>
    </w:p>
    <w:p w14:paraId="7BDADCAF" w14:textId="23B506E7" w:rsidR="00247AD2" w:rsidRDefault="00247AD2" w:rsidP="00C5543A">
      <w:pPr>
        <w:pStyle w:val="ProductCode"/>
      </w:pPr>
      <w:r>
        <w:t>(c)</w:t>
      </w:r>
      <w:r w:rsidR="00C5543A">
        <w:t xml:space="preserve"> </w:t>
      </w:r>
      <w:r>
        <w:t>Listed as Voluntary renewables in Annual report 2023–24. The ACT is currently the only state with a jurisdictional renewable power percentage (JRPP). The JRPP calculates the large-scale generation certificates surrendered by an entity and shown in kWh.</w:t>
      </w:r>
    </w:p>
    <w:p w14:paraId="16512D1F" w14:textId="2B6625E8" w:rsidR="00247AD2" w:rsidRDefault="00247AD2" w:rsidP="00C5543A">
      <w:pPr>
        <w:pStyle w:val="ProductCode"/>
      </w:pPr>
      <w:r>
        <w:t>(d)</w:t>
      </w:r>
      <w:r w:rsidR="00C5543A">
        <w:t xml:space="preserve"> </w:t>
      </w:r>
      <w:r>
        <w:t>Reporting behind the meter solar consumption and/or production is optional. The quality of data is expected to improve over time as emissions reporting matures.</w:t>
      </w:r>
    </w:p>
    <w:p w14:paraId="433CC85E" w14:textId="2164CBD2" w:rsidR="00247AD2" w:rsidRDefault="00247AD2" w:rsidP="00C5543A">
      <w:pPr>
        <w:pStyle w:val="ProductCode"/>
      </w:pPr>
      <w:r>
        <w:t>(e)</w:t>
      </w:r>
      <w:r w:rsidR="00C5543A">
        <w:t xml:space="preserve"> </w:t>
      </w:r>
      <w:r>
        <w:t>Emissions from electricity consumed by electric and plug-in hybrid vehicles has only been reported for electricity directly purchased. Emissions associated with electricity consumption from public charging stations has not been reported for 2024–25.</w:t>
      </w:r>
    </w:p>
    <w:p w14:paraId="53C88E3F" w14:textId="77777777" w:rsidR="00247AD2" w:rsidRDefault="00247AD2" w:rsidP="00247AD2">
      <w:pPr>
        <w:pStyle w:val="BodyText"/>
      </w:pPr>
      <w:r>
        <w:rPr>
          <w:spacing w:val="-3"/>
        </w:rPr>
        <w:t>Table 87 shows agency’s progress towards the APS Net Zero 2030 target during 2024–25.</w:t>
      </w:r>
    </w:p>
    <w:p w14:paraId="5005F987" w14:textId="31DCA7BA" w:rsidR="00247AD2" w:rsidRPr="00C5543A" w:rsidRDefault="00C5543A" w:rsidP="00C5543A">
      <w:pPr>
        <w:pStyle w:val="BodyText"/>
        <w:rPr>
          <w:b/>
          <w:bCs/>
        </w:rPr>
      </w:pPr>
      <w:r w:rsidRPr="00C5543A">
        <w:rPr>
          <w:b/>
          <w:bCs/>
        </w:rPr>
        <w:t>Table 87:</w:t>
      </w:r>
      <w:r w:rsidR="00247AD2" w:rsidRPr="00C5543A">
        <w:rPr>
          <w:b/>
          <w:bCs/>
        </w:rPr>
        <w:t xml:space="preserve"> Progress towards the APS Net Zero target</w:t>
      </w:r>
      <w:r w:rsidR="00247AD2" w:rsidRPr="00C5543A">
        <w:rPr>
          <w:b/>
          <w:bCs/>
          <w:vertAlign w:val="superscript"/>
        </w:rPr>
        <w:t>(a)</w:t>
      </w:r>
    </w:p>
    <w:tbl>
      <w:tblPr>
        <w:tblStyle w:val="TableGrid"/>
        <w:tblW w:w="5000" w:type="pct"/>
        <w:tblLook w:val="04A0" w:firstRow="1" w:lastRow="0" w:firstColumn="1" w:lastColumn="0" w:noHBand="0" w:noVBand="1"/>
        <w:tblCaption w:val="Progress towards the APS Net Zero target"/>
      </w:tblPr>
      <w:tblGrid>
        <w:gridCol w:w="4743"/>
        <w:gridCol w:w="2117"/>
        <w:gridCol w:w="2117"/>
        <w:gridCol w:w="2119"/>
      </w:tblGrid>
      <w:tr w:rsidR="00247AD2" w14:paraId="6F099835" w14:textId="77777777" w:rsidTr="0047577B">
        <w:trPr>
          <w:trHeight w:val="396"/>
          <w:tblHeader/>
        </w:trPr>
        <w:tc>
          <w:tcPr>
            <w:tcW w:w="2137" w:type="pct"/>
          </w:tcPr>
          <w:p w14:paraId="10428670" w14:textId="77777777" w:rsidR="00247AD2" w:rsidRPr="00891C1C" w:rsidRDefault="00247AD2" w:rsidP="0047577B">
            <w:pPr>
              <w:pStyle w:val="BodyText"/>
            </w:pPr>
            <w:r w:rsidRPr="00891C1C">
              <w:rPr>
                <w:rStyle w:val="Bold"/>
              </w:rPr>
              <w:lastRenderedPageBreak/>
              <w:t xml:space="preserve">APS Net Zero 2030 target emission sources </w:t>
            </w:r>
          </w:p>
        </w:tc>
        <w:tc>
          <w:tcPr>
            <w:tcW w:w="954" w:type="pct"/>
          </w:tcPr>
          <w:p w14:paraId="632C3AB8" w14:textId="77777777" w:rsidR="00247AD2" w:rsidRPr="0047577B" w:rsidRDefault="00247AD2" w:rsidP="0047577B">
            <w:pPr>
              <w:pStyle w:val="BodyText"/>
              <w:rPr>
                <w:b/>
                <w:bCs/>
                <w:vertAlign w:val="superscript"/>
              </w:rPr>
            </w:pPr>
            <w:r w:rsidRPr="0047577B">
              <w:rPr>
                <w:b/>
                <w:bCs/>
              </w:rPr>
              <w:t>2022–23</w:t>
            </w:r>
            <w:r w:rsidRPr="0047577B">
              <w:rPr>
                <w:b/>
                <w:bCs/>
                <w:vertAlign w:val="superscript"/>
              </w:rPr>
              <w:t>(b)</w:t>
            </w:r>
          </w:p>
          <w:p w14:paraId="32D5A25A" w14:textId="77777777" w:rsidR="00247AD2" w:rsidRPr="0047577B" w:rsidRDefault="00247AD2" w:rsidP="0047577B">
            <w:pPr>
              <w:pStyle w:val="BodyText"/>
              <w:rPr>
                <w:b/>
                <w:bCs/>
              </w:rPr>
            </w:pPr>
            <w:r w:rsidRPr="0047577B">
              <w:rPr>
                <w:b/>
                <w:bCs/>
              </w:rPr>
              <w:t>t CO2-e</w:t>
            </w:r>
          </w:p>
        </w:tc>
        <w:tc>
          <w:tcPr>
            <w:tcW w:w="954" w:type="pct"/>
          </w:tcPr>
          <w:p w14:paraId="48C213B0" w14:textId="77777777" w:rsidR="00247AD2" w:rsidRPr="0047577B" w:rsidRDefault="00247AD2" w:rsidP="0047577B">
            <w:pPr>
              <w:pStyle w:val="BodyText"/>
              <w:rPr>
                <w:b/>
                <w:bCs/>
                <w:vertAlign w:val="superscript"/>
              </w:rPr>
            </w:pPr>
            <w:r w:rsidRPr="0047577B">
              <w:rPr>
                <w:b/>
                <w:bCs/>
              </w:rPr>
              <w:t>2023–24</w:t>
            </w:r>
            <w:r w:rsidRPr="0047577B">
              <w:rPr>
                <w:b/>
                <w:bCs/>
                <w:vertAlign w:val="superscript"/>
              </w:rPr>
              <w:t>(b)</w:t>
            </w:r>
          </w:p>
          <w:p w14:paraId="587A1B3B" w14:textId="77777777" w:rsidR="00247AD2" w:rsidRPr="0047577B" w:rsidRDefault="00247AD2" w:rsidP="0047577B">
            <w:pPr>
              <w:pStyle w:val="BodyText"/>
              <w:rPr>
                <w:b/>
                <w:bCs/>
              </w:rPr>
            </w:pPr>
            <w:r w:rsidRPr="0047577B">
              <w:rPr>
                <w:b/>
                <w:bCs/>
              </w:rPr>
              <w:t>t CO2-e</w:t>
            </w:r>
          </w:p>
        </w:tc>
        <w:tc>
          <w:tcPr>
            <w:tcW w:w="955" w:type="pct"/>
          </w:tcPr>
          <w:p w14:paraId="5F738D89" w14:textId="77777777" w:rsidR="00247AD2" w:rsidRPr="0047577B" w:rsidRDefault="00247AD2" w:rsidP="0047577B">
            <w:pPr>
              <w:pStyle w:val="BodyText"/>
              <w:rPr>
                <w:b/>
                <w:bCs/>
              </w:rPr>
            </w:pPr>
            <w:r w:rsidRPr="0047577B">
              <w:rPr>
                <w:b/>
                <w:bCs/>
              </w:rPr>
              <w:t>Percentage change since 2022–23</w:t>
            </w:r>
          </w:p>
        </w:tc>
      </w:tr>
      <w:tr w:rsidR="00247AD2" w14:paraId="62A2EAD3" w14:textId="77777777" w:rsidTr="006A0585">
        <w:trPr>
          <w:trHeight w:val="396"/>
        </w:trPr>
        <w:tc>
          <w:tcPr>
            <w:tcW w:w="2137" w:type="pct"/>
          </w:tcPr>
          <w:p w14:paraId="5E21287B" w14:textId="77777777" w:rsidR="00247AD2" w:rsidRDefault="00247AD2" w:rsidP="0047577B">
            <w:pPr>
              <w:pStyle w:val="BodyText"/>
            </w:pPr>
            <w:r>
              <w:rPr>
                <w:rStyle w:val="Bold"/>
              </w:rPr>
              <w:t>Total Scope 1</w:t>
            </w:r>
          </w:p>
        </w:tc>
        <w:tc>
          <w:tcPr>
            <w:tcW w:w="954" w:type="pct"/>
          </w:tcPr>
          <w:p w14:paraId="391AE102" w14:textId="77777777" w:rsidR="00247AD2" w:rsidRDefault="00247AD2" w:rsidP="0047577B">
            <w:pPr>
              <w:pStyle w:val="BodyText"/>
            </w:pPr>
            <w:r>
              <w:rPr>
                <w:rStyle w:val="Bold"/>
              </w:rPr>
              <w:t>799</w:t>
            </w:r>
          </w:p>
        </w:tc>
        <w:tc>
          <w:tcPr>
            <w:tcW w:w="954" w:type="pct"/>
          </w:tcPr>
          <w:p w14:paraId="5736D9E6" w14:textId="77777777" w:rsidR="00247AD2" w:rsidRDefault="00247AD2" w:rsidP="0047577B">
            <w:pPr>
              <w:pStyle w:val="BodyText"/>
            </w:pPr>
            <w:r>
              <w:rPr>
                <w:rStyle w:val="Bold"/>
              </w:rPr>
              <w:t>940</w:t>
            </w:r>
          </w:p>
        </w:tc>
        <w:tc>
          <w:tcPr>
            <w:tcW w:w="955" w:type="pct"/>
          </w:tcPr>
          <w:p w14:paraId="6E523407" w14:textId="77777777" w:rsidR="00247AD2" w:rsidRDefault="00247AD2" w:rsidP="0047577B">
            <w:pPr>
              <w:pStyle w:val="BodyText"/>
            </w:pPr>
            <w:r>
              <w:rPr>
                <w:rStyle w:val="Bold"/>
              </w:rPr>
              <w:t>18%</w:t>
            </w:r>
          </w:p>
        </w:tc>
      </w:tr>
      <w:tr w:rsidR="00247AD2" w14:paraId="20447439" w14:textId="77777777" w:rsidTr="006A0585">
        <w:trPr>
          <w:trHeight w:val="396"/>
        </w:trPr>
        <w:tc>
          <w:tcPr>
            <w:tcW w:w="2137" w:type="pct"/>
          </w:tcPr>
          <w:p w14:paraId="1F178B47" w14:textId="77777777" w:rsidR="00247AD2" w:rsidRDefault="00247AD2" w:rsidP="0047577B">
            <w:pPr>
              <w:pStyle w:val="BodyText"/>
            </w:pPr>
            <w:r>
              <w:t>Natural gas</w:t>
            </w:r>
          </w:p>
        </w:tc>
        <w:tc>
          <w:tcPr>
            <w:tcW w:w="954" w:type="pct"/>
          </w:tcPr>
          <w:p w14:paraId="6546E879" w14:textId="77777777" w:rsidR="00247AD2" w:rsidRDefault="00247AD2" w:rsidP="0047577B">
            <w:pPr>
              <w:pStyle w:val="BodyText"/>
            </w:pPr>
            <w:r>
              <w:t>116</w:t>
            </w:r>
          </w:p>
        </w:tc>
        <w:tc>
          <w:tcPr>
            <w:tcW w:w="954" w:type="pct"/>
          </w:tcPr>
          <w:p w14:paraId="6C51674F" w14:textId="77777777" w:rsidR="00247AD2" w:rsidRDefault="00247AD2" w:rsidP="0047577B">
            <w:pPr>
              <w:pStyle w:val="BodyText"/>
            </w:pPr>
            <w:r>
              <w:t>215</w:t>
            </w:r>
          </w:p>
        </w:tc>
        <w:tc>
          <w:tcPr>
            <w:tcW w:w="955" w:type="pct"/>
          </w:tcPr>
          <w:p w14:paraId="09F53D7C" w14:textId="77777777" w:rsidR="00247AD2" w:rsidRDefault="00247AD2" w:rsidP="0047577B">
            <w:pPr>
              <w:pStyle w:val="BodyText"/>
            </w:pPr>
            <w:r>
              <w:t>86%</w:t>
            </w:r>
          </w:p>
        </w:tc>
      </w:tr>
      <w:tr w:rsidR="00247AD2" w14:paraId="4BD34895" w14:textId="77777777" w:rsidTr="006A0585">
        <w:trPr>
          <w:trHeight w:val="396"/>
        </w:trPr>
        <w:tc>
          <w:tcPr>
            <w:tcW w:w="2137" w:type="pct"/>
          </w:tcPr>
          <w:p w14:paraId="7D2B6EB1" w14:textId="77777777" w:rsidR="00247AD2" w:rsidRDefault="00247AD2" w:rsidP="0047577B">
            <w:pPr>
              <w:pStyle w:val="BodyText"/>
            </w:pPr>
            <w:r>
              <w:t>Fleet and other vehicles</w:t>
            </w:r>
          </w:p>
        </w:tc>
        <w:tc>
          <w:tcPr>
            <w:tcW w:w="954" w:type="pct"/>
          </w:tcPr>
          <w:p w14:paraId="06428127" w14:textId="77777777" w:rsidR="00247AD2" w:rsidRDefault="00247AD2" w:rsidP="0047577B">
            <w:pPr>
              <w:pStyle w:val="BodyText"/>
            </w:pPr>
            <w:r>
              <w:t>683</w:t>
            </w:r>
          </w:p>
        </w:tc>
        <w:tc>
          <w:tcPr>
            <w:tcW w:w="954" w:type="pct"/>
          </w:tcPr>
          <w:p w14:paraId="40616A98" w14:textId="77777777" w:rsidR="00247AD2" w:rsidRDefault="00247AD2" w:rsidP="0047577B">
            <w:pPr>
              <w:pStyle w:val="BodyText"/>
            </w:pPr>
            <w:r>
              <w:t>725</w:t>
            </w:r>
          </w:p>
        </w:tc>
        <w:tc>
          <w:tcPr>
            <w:tcW w:w="955" w:type="pct"/>
          </w:tcPr>
          <w:p w14:paraId="7443103F" w14:textId="77777777" w:rsidR="00247AD2" w:rsidRDefault="00247AD2" w:rsidP="0047577B">
            <w:pPr>
              <w:pStyle w:val="BodyText"/>
            </w:pPr>
            <w:r>
              <w:t>6%</w:t>
            </w:r>
          </w:p>
        </w:tc>
      </w:tr>
      <w:tr w:rsidR="00247AD2" w14:paraId="16F3F52F" w14:textId="77777777" w:rsidTr="006A0585">
        <w:trPr>
          <w:trHeight w:val="396"/>
        </w:trPr>
        <w:tc>
          <w:tcPr>
            <w:tcW w:w="2137" w:type="pct"/>
          </w:tcPr>
          <w:p w14:paraId="0394542C" w14:textId="77777777" w:rsidR="00247AD2" w:rsidRDefault="00247AD2" w:rsidP="0047577B">
            <w:pPr>
              <w:pStyle w:val="BodyText"/>
            </w:pPr>
            <w:r>
              <w:t>Refrigerants</w:t>
            </w:r>
          </w:p>
        </w:tc>
        <w:tc>
          <w:tcPr>
            <w:tcW w:w="954" w:type="pct"/>
          </w:tcPr>
          <w:p w14:paraId="6C6DDFDE" w14:textId="77777777" w:rsidR="00247AD2" w:rsidRDefault="00247AD2" w:rsidP="0047577B">
            <w:pPr>
              <w:pStyle w:val="BodyText"/>
            </w:pPr>
            <w:r>
              <w:t>N/A</w:t>
            </w:r>
          </w:p>
        </w:tc>
        <w:tc>
          <w:tcPr>
            <w:tcW w:w="954" w:type="pct"/>
          </w:tcPr>
          <w:p w14:paraId="4E323737" w14:textId="77777777" w:rsidR="00247AD2" w:rsidRDefault="00247AD2" w:rsidP="0047577B">
            <w:pPr>
              <w:pStyle w:val="BodyText"/>
            </w:pPr>
            <w:r>
              <w:t>–</w:t>
            </w:r>
          </w:p>
        </w:tc>
        <w:tc>
          <w:tcPr>
            <w:tcW w:w="955" w:type="pct"/>
          </w:tcPr>
          <w:p w14:paraId="777D24A6" w14:textId="77777777" w:rsidR="00247AD2" w:rsidRDefault="00247AD2" w:rsidP="0047577B">
            <w:pPr>
              <w:pStyle w:val="BodyText"/>
            </w:pPr>
            <w:r>
              <w:t>N/A</w:t>
            </w:r>
          </w:p>
        </w:tc>
      </w:tr>
      <w:tr w:rsidR="00247AD2" w14:paraId="02B92385" w14:textId="77777777" w:rsidTr="006A0585">
        <w:trPr>
          <w:trHeight w:val="396"/>
        </w:trPr>
        <w:tc>
          <w:tcPr>
            <w:tcW w:w="2137" w:type="pct"/>
          </w:tcPr>
          <w:p w14:paraId="2811CFBC" w14:textId="77777777" w:rsidR="00247AD2" w:rsidRDefault="00247AD2" w:rsidP="0047577B">
            <w:pPr>
              <w:pStyle w:val="BodyText"/>
            </w:pPr>
            <w:r>
              <w:t>Other energy</w:t>
            </w:r>
          </w:p>
        </w:tc>
        <w:tc>
          <w:tcPr>
            <w:tcW w:w="954" w:type="pct"/>
          </w:tcPr>
          <w:p w14:paraId="4E5B39F6" w14:textId="77777777" w:rsidR="00247AD2" w:rsidRDefault="00247AD2" w:rsidP="0047577B">
            <w:pPr>
              <w:pStyle w:val="BodyText"/>
            </w:pPr>
            <w:r>
              <w:t>–</w:t>
            </w:r>
          </w:p>
        </w:tc>
        <w:tc>
          <w:tcPr>
            <w:tcW w:w="954" w:type="pct"/>
          </w:tcPr>
          <w:p w14:paraId="1CCB63F7" w14:textId="77777777" w:rsidR="00247AD2" w:rsidRDefault="00247AD2" w:rsidP="0047577B">
            <w:pPr>
              <w:pStyle w:val="BodyText"/>
            </w:pPr>
            <w:r>
              <w:t>–</w:t>
            </w:r>
          </w:p>
        </w:tc>
        <w:tc>
          <w:tcPr>
            <w:tcW w:w="955" w:type="pct"/>
          </w:tcPr>
          <w:p w14:paraId="41C6CD27" w14:textId="77777777" w:rsidR="00247AD2" w:rsidRDefault="00247AD2" w:rsidP="0047577B">
            <w:pPr>
              <w:pStyle w:val="BodyText"/>
            </w:pPr>
            <w:r>
              <w:t>N/A</w:t>
            </w:r>
          </w:p>
        </w:tc>
      </w:tr>
      <w:tr w:rsidR="00247AD2" w14:paraId="123917A6" w14:textId="77777777" w:rsidTr="006A0585">
        <w:trPr>
          <w:trHeight w:val="396"/>
        </w:trPr>
        <w:tc>
          <w:tcPr>
            <w:tcW w:w="2137" w:type="pct"/>
          </w:tcPr>
          <w:p w14:paraId="13944A56" w14:textId="77777777" w:rsidR="00247AD2" w:rsidRDefault="00247AD2" w:rsidP="0047577B">
            <w:pPr>
              <w:pStyle w:val="BodyText"/>
            </w:pPr>
            <w:r>
              <w:rPr>
                <w:rStyle w:val="Bold"/>
              </w:rPr>
              <w:t>Total Scope 2</w:t>
            </w:r>
          </w:p>
        </w:tc>
        <w:tc>
          <w:tcPr>
            <w:tcW w:w="954" w:type="pct"/>
          </w:tcPr>
          <w:p w14:paraId="3AF46E61" w14:textId="77777777" w:rsidR="00247AD2" w:rsidRDefault="00247AD2" w:rsidP="0047577B">
            <w:pPr>
              <w:pStyle w:val="BodyText"/>
            </w:pPr>
            <w:r>
              <w:rPr>
                <w:rStyle w:val="Bold"/>
              </w:rPr>
              <w:t>35,752</w:t>
            </w:r>
          </w:p>
        </w:tc>
        <w:tc>
          <w:tcPr>
            <w:tcW w:w="954" w:type="pct"/>
          </w:tcPr>
          <w:p w14:paraId="4E3B655D" w14:textId="77777777" w:rsidR="00247AD2" w:rsidRDefault="00247AD2" w:rsidP="0047577B">
            <w:pPr>
              <w:pStyle w:val="BodyText"/>
            </w:pPr>
            <w:r>
              <w:rPr>
                <w:rStyle w:val="Bold"/>
              </w:rPr>
              <w:t>32,577</w:t>
            </w:r>
          </w:p>
        </w:tc>
        <w:tc>
          <w:tcPr>
            <w:tcW w:w="955" w:type="pct"/>
          </w:tcPr>
          <w:p w14:paraId="57AC90BA" w14:textId="77777777" w:rsidR="00247AD2" w:rsidRDefault="00247AD2" w:rsidP="0047577B">
            <w:pPr>
              <w:pStyle w:val="BodyText"/>
            </w:pPr>
            <w:r>
              <w:rPr>
                <w:rStyle w:val="Bold"/>
              </w:rPr>
              <w:t>-9%</w:t>
            </w:r>
          </w:p>
        </w:tc>
      </w:tr>
      <w:tr w:rsidR="00247AD2" w14:paraId="69566F6F" w14:textId="77777777" w:rsidTr="006A0585">
        <w:trPr>
          <w:trHeight w:val="396"/>
        </w:trPr>
        <w:tc>
          <w:tcPr>
            <w:tcW w:w="2137" w:type="pct"/>
          </w:tcPr>
          <w:p w14:paraId="334CFA3F" w14:textId="77777777" w:rsidR="00247AD2" w:rsidRDefault="00247AD2" w:rsidP="0047577B">
            <w:pPr>
              <w:pStyle w:val="BodyText"/>
            </w:pPr>
            <w:r>
              <w:t xml:space="preserve">Electricity (market based) </w:t>
            </w:r>
          </w:p>
        </w:tc>
        <w:tc>
          <w:tcPr>
            <w:tcW w:w="954" w:type="pct"/>
          </w:tcPr>
          <w:p w14:paraId="2B290C8B" w14:textId="77777777" w:rsidR="00247AD2" w:rsidRDefault="00247AD2" w:rsidP="0047577B">
            <w:pPr>
              <w:pStyle w:val="BodyText"/>
            </w:pPr>
            <w:r>
              <w:t>35,752</w:t>
            </w:r>
          </w:p>
        </w:tc>
        <w:tc>
          <w:tcPr>
            <w:tcW w:w="954" w:type="pct"/>
          </w:tcPr>
          <w:p w14:paraId="60D2F92D" w14:textId="77777777" w:rsidR="00247AD2" w:rsidRDefault="00247AD2" w:rsidP="0047577B">
            <w:pPr>
              <w:pStyle w:val="BodyText"/>
            </w:pPr>
            <w:r>
              <w:t>32,577</w:t>
            </w:r>
          </w:p>
        </w:tc>
        <w:tc>
          <w:tcPr>
            <w:tcW w:w="955" w:type="pct"/>
          </w:tcPr>
          <w:p w14:paraId="18AE1488" w14:textId="77777777" w:rsidR="00247AD2" w:rsidRDefault="00247AD2" w:rsidP="0047577B">
            <w:pPr>
              <w:pStyle w:val="BodyText"/>
            </w:pPr>
            <w:r>
              <w:t>-9%</w:t>
            </w:r>
          </w:p>
        </w:tc>
      </w:tr>
      <w:tr w:rsidR="00247AD2" w14:paraId="376AE112" w14:textId="77777777" w:rsidTr="006A0585">
        <w:trPr>
          <w:trHeight w:val="396"/>
        </w:trPr>
        <w:tc>
          <w:tcPr>
            <w:tcW w:w="2137" w:type="pct"/>
          </w:tcPr>
          <w:p w14:paraId="33FDE0D9" w14:textId="77777777" w:rsidR="00247AD2" w:rsidRDefault="00247AD2" w:rsidP="0047577B">
            <w:pPr>
              <w:pStyle w:val="BodyText"/>
            </w:pPr>
            <w:r>
              <w:rPr>
                <w:rStyle w:val="Bold"/>
              </w:rPr>
              <w:t>Total Scope 1 and Scope 2</w:t>
            </w:r>
          </w:p>
        </w:tc>
        <w:tc>
          <w:tcPr>
            <w:tcW w:w="954" w:type="pct"/>
          </w:tcPr>
          <w:p w14:paraId="2DA7B169" w14:textId="77777777" w:rsidR="00247AD2" w:rsidRDefault="00247AD2" w:rsidP="0047577B">
            <w:pPr>
              <w:pStyle w:val="BodyText"/>
            </w:pPr>
            <w:r>
              <w:rPr>
                <w:rStyle w:val="Bold"/>
              </w:rPr>
              <w:t>36,552</w:t>
            </w:r>
          </w:p>
        </w:tc>
        <w:tc>
          <w:tcPr>
            <w:tcW w:w="954" w:type="pct"/>
          </w:tcPr>
          <w:p w14:paraId="154DD50D" w14:textId="77777777" w:rsidR="00247AD2" w:rsidRDefault="00247AD2" w:rsidP="0047577B">
            <w:pPr>
              <w:pStyle w:val="BodyText"/>
            </w:pPr>
            <w:r>
              <w:rPr>
                <w:rStyle w:val="Bold"/>
              </w:rPr>
              <w:t>33,517</w:t>
            </w:r>
          </w:p>
        </w:tc>
        <w:tc>
          <w:tcPr>
            <w:tcW w:w="955" w:type="pct"/>
          </w:tcPr>
          <w:p w14:paraId="65F30745" w14:textId="77777777" w:rsidR="00247AD2" w:rsidRDefault="00247AD2" w:rsidP="0047577B">
            <w:pPr>
              <w:pStyle w:val="BodyText"/>
            </w:pPr>
            <w:r>
              <w:rPr>
                <w:rStyle w:val="Bold"/>
              </w:rPr>
              <w:t>-8%</w:t>
            </w:r>
          </w:p>
        </w:tc>
      </w:tr>
    </w:tbl>
    <w:p w14:paraId="07E187CE" w14:textId="1C383B6D" w:rsidR="00247AD2" w:rsidRDefault="00247AD2" w:rsidP="00C5543A">
      <w:pPr>
        <w:pStyle w:val="ProductCode"/>
      </w:pPr>
      <w:r>
        <w:t>(a)</w:t>
      </w:r>
      <w:r w:rsidR="00C5543A">
        <w:t xml:space="preserve"> </w:t>
      </w:r>
      <w:r>
        <w:t>The table above presents emissions related to electricity usage using the market-based accounting method. CO2-e = Carbon Dioxide Equivalent.</w:t>
      </w:r>
    </w:p>
    <w:p w14:paraId="72238BB3" w14:textId="7919A65C" w:rsidR="00247AD2" w:rsidRDefault="00247AD2" w:rsidP="00C5543A">
      <w:pPr>
        <w:pStyle w:val="ProductCode"/>
      </w:pPr>
      <w:r>
        <w:t>(b)</w:t>
      </w:r>
      <w:r w:rsidR="00C5543A">
        <w:t xml:space="preserve"> </w:t>
      </w:r>
      <w:r>
        <w:t xml:space="preserve">Emissions reported may differ from previously published emissions due to reconciliation of natural gas and electricity data or updates to emission factors and calculation methods. </w:t>
      </w:r>
    </w:p>
    <w:p w14:paraId="58B35620" w14:textId="77777777" w:rsidR="00247AD2" w:rsidRDefault="00247AD2" w:rsidP="00247AD2">
      <w:pPr>
        <w:pStyle w:val="Heading2"/>
      </w:pPr>
      <w:r>
        <w:t>Climate disclosure</w:t>
      </w:r>
    </w:p>
    <w:p w14:paraId="72FBEC74" w14:textId="77777777" w:rsidR="00247AD2" w:rsidRDefault="00247AD2" w:rsidP="00247AD2">
      <w:pPr>
        <w:pStyle w:val="BodyText"/>
      </w:pPr>
      <w:r>
        <w:t>The Commonwealth Climate Disclosure (CCD) is the government’s policy for Australian Government entities to publicly disclose their exposure to climate risks and opportunities, and actions to manage them. This is the agency’s first climate-related disclosure. Our approach to CCD in 2024–25 is outlined below.</w:t>
      </w:r>
    </w:p>
    <w:p w14:paraId="45AB0E62" w14:textId="77777777" w:rsidR="00247AD2" w:rsidRDefault="00247AD2" w:rsidP="00247AD2">
      <w:pPr>
        <w:pStyle w:val="Heading4"/>
      </w:pPr>
      <w:r>
        <w:t xml:space="preserve">Governance, strategy and risk management </w:t>
      </w:r>
    </w:p>
    <w:p w14:paraId="4E53A356" w14:textId="77777777" w:rsidR="00247AD2" w:rsidRDefault="00247AD2" w:rsidP="00247AD2">
      <w:pPr>
        <w:pStyle w:val="BodyText"/>
      </w:pPr>
      <w:r>
        <w:t xml:space="preserve">The agency acknowledges that our climate governance, strategy and risk management arrangements are in development. Due to the complexity of the agency’s structure, a partial disclosure is reported for 2024–25. The agency’s future focus will be on building a capability uplift among key stakeholders to allow for a more mature disclosure for the future. </w:t>
      </w:r>
    </w:p>
    <w:p w14:paraId="79ADFCFF" w14:textId="77777777" w:rsidR="00247AD2" w:rsidRDefault="00247AD2" w:rsidP="00247AD2">
      <w:pPr>
        <w:pStyle w:val="BodyText"/>
      </w:pPr>
      <w:r>
        <w:t>During 2024–25 the agency appointed a Chief Sustainability Officer (CSO). The CSO’s role is to lead the agency’s sustainability efforts through the agency’s net zero emissions action plan.</w:t>
      </w:r>
    </w:p>
    <w:p w14:paraId="22CFABEA" w14:textId="77777777" w:rsidR="00247AD2" w:rsidRDefault="00247AD2" w:rsidP="00247AD2">
      <w:pPr>
        <w:pStyle w:val="BodyText"/>
      </w:pPr>
      <w:r>
        <w:t>The agency’s strategy to manage climate-related risks and opportunities is developing and will mature as our understanding of how climate risks and opportunities impact at an enterprise level improves.</w:t>
      </w:r>
    </w:p>
    <w:p w14:paraId="4F0E9002" w14:textId="77777777" w:rsidR="00247AD2" w:rsidRDefault="00247AD2" w:rsidP="00247AD2">
      <w:pPr>
        <w:pStyle w:val="BodyText"/>
        <w:spacing w:after="57"/>
      </w:pPr>
      <w:r>
        <w:t xml:space="preserve">In 2024–25 the agency performed a climate risk and opportunity assessment, focusing on emergency payment activation, emissions reduction, and Government Energy Action Response activation due to extreme weather events. The assessment was conducted using the Climate Risk Management Guide, leading to following actions: </w:t>
      </w:r>
    </w:p>
    <w:p w14:paraId="7CB78DA4" w14:textId="77777777" w:rsidR="00247AD2" w:rsidRDefault="00247AD2" w:rsidP="00C5543A">
      <w:pPr>
        <w:pStyle w:val="ListBullet"/>
      </w:pPr>
      <w:r>
        <w:t xml:space="preserve">capability uplifts </w:t>
      </w:r>
    </w:p>
    <w:p w14:paraId="28C1C284" w14:textId="77777777" w:rsidR="00247AD2" w:rsidRDefault="00247AD2" w:rsidP="00C5543A">
      <w:pPr>
        <w:pStyle w:val="ListBullet"/>
      </w:pPr>
      <w:r>
        <w:t>process reviews and creating actionable deliverables to improve risk assessments</w:t>
      </w:r>
    </w:p>
    <w:p w14:paraId="2C501832" w14:textId="77777777" w:rsidR="00247AD2" w:rsidRDefault="00247AD2" w:rsidP="00C5543A">
      <w:pPr>
        <w:pStyle w:val="ListBullet"/>
      </w:pPr>
      <w:r>
        <w:lastRenderedPageBreak/>
        <w:t xml:space="preserve">uptake of technology, such as AI </w:t>
      </w:r>
    </w:p>
    <w:p w14:paraId="17BD12A1" w14:textId="77777777" w:rsidR="00247AD2" w:rsidRDefault="00247AD2" w:rsidP="00C5543A">
      <w:pPr>
        <w:pStyle w:val="ListBullet"/>
      </w:pPr>
      <w:r>
        <w:t xml:space="preserve">incorporation of renewable energy into electricity contracts. </w:t>
      </w:r>
    </w:p>
    <w:p w14:paraId="4B806382" w14:textId="77777777" w:rsidR="00247AD2" w:rsidRDefault="00247AD2" w:rsidP="00247AD2">
      <w:pPr>
        <w:pStyle w:val="Heading4"/>
      </w:pPr>
      <w:r>
        <w:t>Metrics and targets</w:t>
      </w:r>
    </w:p>
    <w:p w14:paraId="177654D6" w14:textId="77777777" w:rsidR="00247AD2" w:rsidRDefault="00247AD2" w:rsidP="00247AD2">
      <w:pPr>
        <w:pStyle w:val="BodyText"/>
      </w:pPr>
      <w:r>
        <w:t xml:space="preserve">The agency’s climate-related target is net zero emissions by 2030, as detailed within the Net Zero in Government Operations Strategy. </w:t>
      </w:r>
    </w:p>
    <w:p w14:paraId="31A14AB8" w14:textId="77777777" w:rsidR="00247AD2" w:rsidRDefault="00247AD2" w:rsidP="00247AD2">
      <w:pPr>
        <w:pStyle w:val="BodyText"/>
        <w:spacing w:after="57"/>
      </w:pPr>
      <w:r>
        <w:t>The agency’s 2024–25 climate-related target disclosures align with Australian Government criteria, as set out in the APS Net Zero 2030 Target Factsheet, with the following additions and variations:</w:t>
      </w:r>
    </w:p>
    <w:p w14:paraId="13BC386F" w14:textId="77777777" w:rsidR="00247AD2" w:rsidRDefault="00247AD2" w:rsidP="00C5543A">
      <w:pPr>
        <w:pStyle w:val="ListBullet"/>
      </w:pPr>
      <w:r>
        <w:t>The agency’s objective of achieving the target is to reduce greenhouse gas emissions to mitigate impacts associated with climate change.</w:t>
      </w:r>
    </w:p>
    <w:p w14:paraId="36CDA7A8" w14:textId="77777777" w:rsidR="00247AD2" w:rsidRDefault="00247AD2" w:rsidP="00C5543A">
      <w:pPr>
        <w:pStyle w:val="ListBullet"/>
      </w:pPr>
      <w:r>
        <w:t>The timeframe for achieving the target is from to 16 June 2022 to 30 June 2030.</w:t>
      </w:r>
    </w:p>
    <w:p w14:paraId="0AA5ADC1" w14:textId="77777777" w:rsidR="00247AD2" w:rsidRDefault="00247AD2" w:rsidP="00C5543A">
      <w:pPr>
        <w:pStyle w:val="ListBullet"/>
      </w:pPr>
      <w:r>
        <w:t>Over 90% of agency emissions are from purchased electricity, and this is where the greatest focus is. The agency is also transitioning its fleet to low emission vehicles.</w:t>
      </w:r>
    </w:p>
    <w:p w14:paraId="110770CD" w14:textId="77777777" w:rsidR="00247AD2" w:rsidRDefault="00247AD2" w:rsidP="00C5543A">
      <w:pPr>
        <w:pStyle w:val="ListBullet"/>
      </w:pPr>
      <w:r>
        <w:t>The agency currently incorporates 50% green power in its small and large market electricity contracts for sites in NSW, Vic, SA, Tas and Qld.</w:t>
      </w:r>
    </w:p>
    <w:p w14:paraId="657F17FA" w14:textId="77777777" w:rsidR="00247AD2" w:rsidRDefault="00247AD2" w:rsidP="00C5543A">
      <w:pPr>
        <w:pStyle w:val="ListBullet"/>
      </w:pPr>
      <w:r>
        <w:t>Interim targets include transitioning the agency’s electricity contracts to whole of Australian Government fully renewable electricity contracts in the following order:</w:t>
      </w:r>
    </w:p>
    <w:p w14:paraId="57C7B1CD" w14:textId="77777777" w:rsidR="00247AD2" w:rsidRDefault="00247AD2" w:rsidP="00C5543A">
      <w:pPr>
        <w:pStyle w:val="ListBullet2"/>
      </w:pPr>
      <w:r>
        <w:t>Tas, due quarter 1 2025–26</w:t>
      </w:r>
    </w:p>
    <w:p w14:paraId="22FCF977" w14:textId="77777777" w:rsidR="00247AD2" w:rsidRDefault="00247AD2" w:rsidP="00C5543A">
      <w:pPr>
        <w:pStyle w:val="ListBullet2"/>
      </w:pPr>
      <w:r>
        <w:t>WA, due 1 January 2026</w:t>
      </w:r>
    </w:p>
    <w:p w14:paraId="5DFB0499" w14:textId="77777777" w:rsidR="00247AD2" w:rsidRDefault="00247AD2" w:rsidP="00C5543A">
      <w:pPr>
        <w:pStyle w:val="ListBullet2"/>
      </w:pPr>
      <w:r>
        <w:t>SA, due quarter 1 2025–26</w:t>
      </w:r>
    </w:p>
    <w:p w14:paraId="01EC4E88" w14:textId="77777777" w:rsidR="00247AD2" w:rsidRDefault="00247AD2" w:rsidP="00C5543A">
      <w:pPr>
        <w:pStyle w:val="ListBullet2"/>
      </w:pPr>
      <w:r>
        <w:t>ACT (small market), due quarter 2 2025–26</w:t>
      </w:r>
    </w:p>
    <w:p w14:paraId="618D6EED" w14:textId="77777777" w:rsidR="00247AD2" w:rsidRDefault="00247AD2" w:rsidP="00C5543A">
      <w:pPr>
        <w:pStyle w:val="ListBullet2"/>
      </w:pPr>
      <w:r>
        <w:t>ACT (large market), due quarter 2 2025–26</w:t>
      </w:r>
    </w:p>
    <w:p w14:paraId="09E56ACC" w14:textId="77777777" w:rsidR="00247AD2" w:rsidRDefault="00247AD2" w:rsidP="00C5543A">
      <w:pPr>
        <w:pStyle w:val="ListBullet2"/>
      </w:pPr>
      <w:r>
        <w:t>Vic, due quarter 3 2025–26</w:t>
      </w:r>
    </w:p>
    <w:p w14:paraId="413EBF6B" w14:textId="77777777" w:rsidR="00247AD2" w:rsidRDefault="00247AD2" w:rsidP="00C5543A">
      <w:pPr>
        <w:pStyle w:val="ListBullet2"/>
      </w:pPr>
      <w:r>
        <w:t>NSW, due quarter 3 2025–26</w:t>
      </w:r>
    </w:p>
    <w:p w14:paraId="1F424543" w14:textId="77777777" w:rsidR="00247AD2" w:rsidRDefault="00247AD2" w:rsidP="00C5543A">
      <w:pPr>
        <w:pStyle w:val="ListBullet2"/>
      </w:pPr>
      <w:r>
        <w:t>Qld, due 1 January 2029.</w:t>
      </w:r>
    </w:p>
    <w:p w14:paraId="4C67E991" w14:textId="77777777" w:rsidR="00247AD2" w:rsidRDefault="00247AD2" w:rsidP="00C5543A">
      <w:pPr>
        <w:pStyle w:val="ListBullet"/>
      </w:pPr>
      <w:r>
        <w:t>The agency intends to purchase 100% renewable electricity in all electricity contracts by 30 June 2029.</w:t>
      </w:r>
    </w:p>
    <w:p w14:paraId="49782B6E" w14:textId="77777777" w:rsidR="00247AD2" w:rsidRDefault="00247AD2" w:rsidP="00C5543A">
      <w:pPr>
        <w:pStyle w:val="ListBullet"/>
      </w:pPr>
      <w:r>
        <w:t>The target for electricity transition will be reviewed before to each contract expiry to inform next steps and requirements of new contractual arrangements.</w:t>
      </w:r>
    </w:p>
    <w:p w14:paraId="2226E6F1" w14:textId="77777777" w:rsidR="00247AD2" w:rsidRDefault="00247AD2" w:rsidP="00C5543A">
      <w:pPr>
        <w:pStyle w:val="ListBullet"/>
      </w:pPr>
      <w:r>
        <w:t>The agency has developed an internal electricity transition plan and progress will be reported annually to stakeholders through our annual report.</w:t>
      </w:r>
    </w:p>
    <w:p w14:paraId="49766612" w14:textId="77777777" w:rsidR="00247AD2" w:rsidRDefault="00247AD2" w:rsidP="00C5543A">
      <w:pPr>
        <w:pStyle w:val="ListBullet"/>
      </w:pPr>
      <w:r>
        <w:t>The target applies to scope 2 emissions from purchased electricity, as this represents over 90% of emissions in the agency.</w:t>
      </w:r>
    </w:p>
    <w:p w14:paraId="5E36950F" w14:textId="77777777" w:rsidR="00247AD2" w:rsidRDefault="00247AD2" w:rsidP="00C5543A">
      <w:pPr>
        <w:pStyle w:val="ListBullet"/>
      </w:pPr>
      <w:r>
        <w:t>The target is an absolute greenhouse gas emissions target.</w:t>
      </w:r>
    </w:p>
    <w:p w14:paraId="6F013617" w14:textId="77777777" w:rsidR="00247AD2" w:rsidRDefault="00247AD2" w:rsidP="00C5543A">
      <w:pPr>
        <w:pStyle w:val="ListBullet"/>
      </w:pPr>
      <w:r>
        <w:t>The steps the agency will take to achieve Net Zero in the APS by 2030 are set out in our net zero action plan.</w:t>
      </w:r>
    </w:p>
    <w:p w14:paraId="1C8501CD" w14:textId="77777777" w:rsidR="00247AD2" w:rsidRDefault="00247AD2" w:rsidP="00247AD2">
      <w:pPr>
        <w:pStyle w:val="BodyText"/>
      </w:pPr>
      <w:r>
        <w:t xml:space="preserve">The APS Net Zero 2030 Target Factsheet and Year 1 CCD Reporting Requirements are available at </w:t>
      </w:r>
      <w:r>
        <w:rPr>
          <w:rStyle w:val="Bold"/>
        </w:rPr>
        <w:t>finance.gov.au/government/climate-action-government-operations</w:t>
      </w:r>
    </w:p>
    <w:p w14:paraId="35A2C940" w14:textId="77777777" w:rsidR="00247AD2" w:rsidRDefault="00247AD2" w:rsidP="00247AD2">
      <w:pPr>
        <w:pStyle w:val="Heading2"/>
      </w:pPr>
      <w:r>
        <w:lastRenderedPageBreak/>
        <w:t>Corporate record keeping</w:t>
      </w:r>
    </w:p>
    <w:p w14:paraId="410F636F" w14:textId="77777777" w:rsidR="00247AD2" w:rsidRDefault="00247AD2" w:rsidP="00247AD2">
      <w:pPr>
        <w:pStyle w:val="BodyText"/>
      </w:pPr>
      <w:r>
        <w:t xml:space="preserve">The Australian Government’s policy, Building trust in the public record: managing information and data for government and community, identifies key requirements for managing government information assets (records, information and data). For more information on the policy, go to the National Archives of Australia website. </w:t>
      </w:r>
    </w:p>
    <w:p w14:paraId="0666623C" w14:textId="77777777" w:rsidR="00247AD2" w:rsidRDefault="00247AD2" w:rsidP="00247AD2">
      <w:pPr>
        <w:pStyle w:val="BodyText"/>
      </w:pPr>
      <w:r>
        <w:t xml:space="preserve">The agency promotes, creates and maintains administrative records digitally, thus reducing paper records. This is in line with our goal to transition to a digital record keeping model, including converting incoming paper to digital records whenever possible. Our focus on online and self-service capabilities for customers has further reduced the volume of paper received and stored in 2024–25. </w:t>
      </w:r>
    </w:p>
    <w:p w14:paraId="63777F8F" w14:textId="77777777" w:rsidR="00247AD2" w:rsidRDefault="00247AD2" w:rsidP="00247AD2">
      <w:pPr>
        <w:pStyle w:val="Heading1"/>
      </w:pPr>
      <w:bookmarkStart w:id="67" w:name="_Toc210815446"/>
      <w:r>
        <w:t>Appendix D — List of requirements</w:t>
      </w:r>
      <w:bookmarkEnd w:id="67"/>
    </w:p>
    <w:tbl>
      <w:tblPr>
        <w:tblStyle w:val="TableGrid"/>
        <w:tblW w:w="5000" w:type="pct"/>
        <w:tblLook w:val="04A0" w:firstRow="1" w:lastRow="0" w:firstColumn="1" w:lastColumn="0" w:noHBand="0" w:noVBand="1"/>
        <w:tblCaption w:val="Appendix D — List of requirements"/>
      </w:tblPr>
      <w:tblGrid>
        <w:gridCol w:w="2117"/>
        <w:gridCol w:w="4998"/>
        <w:gridCol w:w="2033"/>
        <w:gridCol w:w="1948"/>
      </w:tblGrid>
      <w:tr w:rsidR="00247AD2" w14:paraId="7751571E" w14:textId="77777777" w:rsidTr="0047577B">
        <w:trPr>
          <w:trHeight w:val="396"/>
          <w:tblHeader/>
        </w:trPr>
        <w:tc>
          <w:tcPr>
            <w:tcW w:w="954" w:type="pct"/>
          </w:tcPr>
          <w:p w14:paraId="7A657D98" w14:textId="77777777" w:rsidR="00247AD2" w:rsidRPr="00891C1C" w:rsidRDefault="00247AD2" w:rsidP="00891C1C">
            <w:pPr>
              <w:pStyle w:val="BodyText"/>
              <w:rPr>
                <w:b/>
                <w:bCs/>
              </w:rPr>
            </w:pPr>
            <w:r w:rsidRPr="00891C1C">
              <w:rPr>
                <w:b/>
                <w:bCs/>
              </w:rPr>
              <w:t>PGPA Rule Reference</w:t>
            </w:r>
          </w:p>
        </w:tc>
        <w:tc>
          <w:tcPr>
            <w:tcW w:w="2252" w:type="pct"/>
          </w:tcPr>
          <w:p w14:paraId="22901899" w14:textId="77777777" w:rsidR="00247AD2" w:rsidRPr="00891C1C" w:rsidRDefault="00247AD2" w:rsidP="00891C1C">
            <w:pPr>
              <w:pStyle w:val="BodyText"/>
              <w:rPr>
                <w:b/>
                <w:bCs/>
              </w:rPr>
            </w:pPr>
            <w:r w:rsidRPr="00891C1C">
              <w:rPr>
                <w:b/>
                <w:bCs/>
              </w:rPr>
              <w:t>Description</w:t>
            </w:r>
          </w:p>
        </w:tc>
        <w:tc>
          <w:tcPr>
            <w:tcW w:w="916" w:type="pct"/>
          </w:tcPr>
          <w:p w14:paraId="0D0C5A1C" w14:textId="77777777" w:rsidR="00247AD2" w:rsidRPr="00891C1C" w:rsidRDefault="00247AD2" w:rsidP="00891C1C">
            <w:pPr>
              <w:pStyle w:val="BodyText"/>
            </w:pPr>
            <w:r w:rsidRPr="00891C1C">
              <w:rPr>
                <w:rStyle w:val="Bold"/>
              </w:rPr>
              <w:t>Requirement</w:t>
            </w:r>
          </w:p>
        </w:tc>
        <w:tc>
          <w:tcPr>
            <w:tcW w:w="878" w:type="pct"/>
          </w:tcPr>
          <w:p w14:paraId="2DE9A450" w14:textId="77777777" w:rsidR="00247AD2" w:rsidRPr="00891C1C" w:rsidRDefault="00247AD2" w:rsidP="00891C1C">
            <w:pPr>
              <w:pStyle w:val="BodyText"/>
              <w:rPr>
                <w:b/>
                <w:bCs/>
              </w:rPr>
            </w:pPr>
            <w:r w:rsidRPr="00891C1C">
              <w:rPr>
                <w:b/>
                <w:bCs/>
              </w:rPr>
              <w:t>Location in the report (# number)</w:t>
            </w:r>
          </w:p>
        </w:tc>
      </w:tr>
      <w:tr w:rsidR="00247AD2" w14:paraId="4B6331F7" w14:textId="77777777" w:rsidTr="006A0585">
        <w:trPr>
          <w:trHeight w:val="396"/>
        </w:trPr>
        <w:tc>
          <w:tcPr>
            <w:tcW w:w="954" w:type="pct"/>
          </w:tcPr>
          <w:p w14:paraId="068813BC" w14:textId="77777777" w:rsidR="00247AD2" w:rsidRDefault="00247AD2" w:rsidP="00682FFF">
            <w:pPr>
              <w:pStyle w:val="BodyText"/>
            </w:pPr>
            <w:r>
              <w:rPr>
                <w:rStyle w:val="Bold"/>
              </w:rPr>
              <w:t>17AD(g)</w:t>
            </w:r>
          </w:p>
        </w:tc>
        <w:tc>
          <w:tcPr>
            <w:tcW w:w="2252" w:type="pct"/>
          </w:tcPr>
          <w:p w14:paraId="2D69D443" w14:textId="77777777" w:rsidR="00247AD2" w:rsidRDefault="00247AD2" w:rsidP="00682FFF">
            <w:pPr>
              <w:pStyle w:val="BodyText"/>
            </w:pPr>
            <w:r>
              <w:rPr>
                <w:rStyle w:val="Bold"/>
              </w:rPr>
              <w:t>Letter of transmittal</w:t>
            </w:r>
          </w:p>
        </w:tc>
        <w:tc>
          <w:tcPr>
            <w:tcW w:w="916" w:type="pct"/>
          </w:tcPr>
          <w:p w14:paraId="5000D452" w14:textId="77777777" w:rsidR="00247AD2" w:rsidRDefault="00247AD2" w:rsidP="00682FFF">
            <w:pPr>
              <w:pStyle w:val="BodyText"/>
            </w:pPr>
            <w:r>
              <w:rPr>
                <w:rStyle w:val="Bold"/>
              </w:rPr>
              <w:t xml:space="preserve"> </w:t>
            </w:r>
          </w:p>
        </w:tc>
        <w:tc>
          <w:tcPr>
            <w:tcW w:w="878" w:type="pct"/>
          </w:tcPr>
          <w:p w14:paraId="4ADE40A7"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736F6A8E" w14:textId="77777777" w:rsidTr="006A0585">
        <w:trPr>
          <w:trHeight w:val="396"/>
        </w:trPr>
        <w:tc>
          <w:tcPr>
            <w:tcW w:w="954" w:type="pct"/>
          </w:tcPr>
          <w:p w14:paraId="3780AEC4" w14:textId="77777777" w:rsidR="00247AD2" w:rsidRDefault="00247AD2" w:rsidP="00682FFF">
            <w:pPr>
              <w:pStyle w:val="BodyText"/>
            </w:pPr>
            <w:r>
              <w:t>17AI</w:t>
            </w:r>
          </w:p>
        </w:tc>
        <w:tc>
          <w:tcPr>
            <w:tcW w:w="2252" w:type="pct"/>
          </w:tcPr>
          <w:p w14:paraId="5EBD6D78" w14:textId="77777777" w:rsidR="00247AD2" w:rsidRDefault="00247AD2" w:rsidP="00682FFF">
            <w:pPr>
              <w:pStyle w:val="BodyText"/>
            </w:pPr>
            <w:r>
              <w:t>A copy of the letter of transmittal signed and dated by accountable authority on date final text approved, with statement that the report has been prepared in accordance with section 46 of the Act and any enabling legislation that specifies additional requirements in relation to the annual report.</w:t>
            </w:r>
          </w:p>
        </w:tc>
        <w:tc>
          <w:tcPr>
            <w:tcW w:w="916" w:type="pct"/>
          </w:tcPr>
          <w:p w14:paraId="241D6D63" w14:textId="77777777" w:rsidR="00247AD2" w:rsidRDefault="00247AD2" w:rsidP="00682FFF">
            <w:pPr>
              <w:pStyle w:val="BodyText"/>
            </w:pPr>
            <w:r>
              <w:t>Mandatory</w:t>
            </w:r>
          </w:p>
        </w:tc>
        <w:tc>
          <w:tcPr>
            <w:tcW w:w="878" w:type="pct"/>
          </w:tcPr>
          <w:p w14:paraId="17FA2BCF" w14:textId="77777777" w:rsidR="00247AD2" w:rsidRDefault="00247AD2" w:rsidP="00682FFF">
            <w:pPr>
              <w:pStyle w:val="BodyText"/>
              <w:jc w:val="right"/>
            </w:pPr>
            <w:r>
              <w:t>vi</w:t>
            </w:r>
          </w:p>
        </w:tc>
      </w:tr>
      <w:tr w:rsidR="00247AD2" w14:paraId="4FABA8FE" w14:textId="77777777" w:rsidTr="006A0585">
        <w:trPr>
          <w:trHeight w:val="396"/>
        </w:trPr>
        <w:tc>
          <w:tcPr>
            <w:tcW w:w="954" w:type="pct"/>
          </w:tcPr>
          <w:p w14:paraId="1457B8EF" w14:textId="77777777" w:rsidR="00247AD2" w:rsidRDefault="00247AD2" w:rsidP="00682FFF">
            <w:pPr>
              <w:pStyle w:val="BodyText"/>
            </w:pPr>
            <w:r>
              <w:rPr>
                <w:rStyle w:val="Bold"/>
              </w:rPr>
              <w:t>17AD(h)</w:t>
            </w:r>
          </w:p>
        </w:tc>
        <w:tc>
          <w:tcPr>
            <w:tcW w:w="2252" w:type="pct"/>
          </w:tcPr>
          <w:p w14:paraId="045E594F" w14:textId="77777777" w:rsidR="00247AD2" w:rsidRDefault="00247AD2" w:rsidP="00682FFF">
            <w:pPr>
              <w:pStyle w:val="BodyText"/>
            </w:pPr>
            <w:r>
              <w:rPr>
                <w:rStyle w:val="Bold"/>
              </w:rPr>
              <w:t>Aids to access</w:t>
            </w:r>
          </w:p>
        </w:tc>
        <w:tc>
          <w:tcPr>
            <w:tcW w:w="916" w:type="pct"/>
          </w:tcPr>
          <w:p w14:paraId="3294CCD2" w14:textId="77777777" w:rsidR="00247AD2" w:rsidRDefault="00247AD2" w:rsidP="00682FFF">
            <w:pPr>
              <w:pStyle w:val="BodyText"/>
            </w:pPr>
            <w:r>
              <w:rPr>
                <w:rStyle w:val="Bold"/>
              </w:rPr>
              <w:t xml:space="preserve"> </w:t>
            </w:r>
          </w:p>
        </w:tc>
        <w:tc>
          <w:tcPr>
            <w:tcW w:w="878" w:type="pct"/>
          </w:tcPr>
          <w:p w14:paraId="118252B5"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6684E0EF" w14:textId="77777777" w:rsidTr="006A0585">
        <w:trPr>
          <w:trHeight w:val="396"/>
        </w:trPr>
        <w:tc>
          <w:tcPr>
            <w:tcW w:w="954" w:type="pct"/>
          </w:tcPr>
          <w:p w14:paraId="077EFDCE" w14:textId="77777777" w:rsidR="00247AD2" w:rsidRDefault="00247AD2" w:rsidP="00682FFF">
            <w:pPr>
              <w:pStyle w:val="BodyText"/>
            </w:pPr>
            <w:r>
              <w:t>17AJ(a)</w:t>
            </w:r>
          </w:p>
        </w:tc>
        <w:tc>
          <w:tcPr>
            <w:tcW w:w="2252" w:type="pct"/>
          </w:tcPr>
          <w:p w14:paraId="2DDB8009" w14:textId="77777777" w:rsidR="00247AD2" w:rsidRDefault="00247AD2" w:rsidP="00682FFF">
            <w:pPr>
              <w:pStyle w:val="BodyText"/>
            </w:pPr>
            <w:r>
              <w:t>Table of contents (print only).</w:t>
            </w:r>
          </w:p>
        </w:tc>
        <w:tc>
          <w:tcPr>
            <w:tcW w:w="916" w:type="pct"/>
          </w:tcPr>
          <w:p w14:paraId="58CB9596" w14:textId="77777777" w:rsidR="00247AD2" w:rsidRDefault="00247AD2" w:rsidP="00682FFF">
            <w:pPr>
              <w:pStyle w:val="BodyText"/>
            </w:pPr>
            <w:r>
              <w:t>Mandatory</w:t>
            </w:r>
          </w:p>
        </w:tc>
        <w:tc>
          <w:tcPr>
            <w:tcW w:w="878" w:type="pct"/>
          </w:tcPr>
          <w:p w14:paraId="15367DCD" w14:textId="77777777" w:rsidR="00247AD2" w:rsidRDefault="00247AD2" w:rsidP="00682FFF">
            <w:pPr>
              <w:pStyle w:val="BodyText"/>
              <w:jc w:val="right"/>
            </w:pPr>
            <w:r>
              <w:t>iv</w:t>
            </w:r>
          </w:p>
        </w:tc>
      </w:tr>
      <w:tr w:rsidR="00247AD2" w14:paraId="02CB5F01" w14:textId="77777777" w:rsidTr="006A0585">
        <w:trPr>
          <w:trHeight w:val="396"/>
        </w:trPr>
        <w:tc>
          <w:tcPr>
            <w:tcW w:w="954" w:type="pct"/>
          </w:tcPr>
          <w:p w14:paraId="12B62B43" w14:textId="77777777" w:rsidR="00247AD2" w:rsidRDefault="00247AD2" w:rsidP="00682FFF">
            <w:pPr>
              <w:pStyle w:val="BodyText"/>
            </w:pPr>
            <w:r>
              <w:t>17AJ(b)</w:t>
            </w:r>
          </w:p>
        </w:tc>
        <w:tc>
          <w:tcPr>
            <w:tcW w:w="2252" w:type="pct"/>
          </w:tcPr>
          <w:p w14:paraId="71A6552C" w14:textId="77777777" w:rsidR="00247AD2" w:rsidRDefault="00247AD2" w:rsidP="00682FFF">
            <w:pPr>
              <w:pStyle w:val="BodyText"/>
            </w:pPr>
            <w:r>
              <w:t>Alphabetical index (print only).</w:t>
            </w:r>
          </w:p>
        </w:tc>
        <w:tc>
          <w:tcPr>
            <w:tcW w:w="916" w:type="pct"/>
          </w:tcPr>
          <w:p w14:paraId="151E5CCB" w14:textId="77777777" w:rsidR="00247AD2" w:rsidRDefault="00247AD2" w:rsidP="00682FFF">
            <w:pPr>
              <w:pStyle w:val="BodyText"/>
            </w:pPr>
            <w:r>
              <w:t>Mandatory</w:t>
            </w:r>
          </w:p>
        </w:tc>
        <w:tc>
          <w:tcPr>
            <w:tcW w:w="878" w:type="pct"/>
          </w:tcPr>
          <w:p w14:paraId="48DA8920" w14:textId="77777777" w:rsidR="00247AD2" w:rsidRDefault="00247AD2" w:rsidP="00682FFF">
            <w:pPr>
              <w:pStyle w:val="BodyText"/>
              <w:jc w:val="right"/>
            </w:pPr>
            <w:r>
              <w:t>266</w:t>
            </w:r>
          </w:p>
        </w:tc>
      </w:tr>
      <w:tr w:rsidR="00247AD2" w14:paraId="6311E8EB" w14:textId="77777777" w:rsidTr="006A0585">
        <w:trPr>
          <w:trHeight w:val="396"/>
        </w:trPr>
        <w:tc>
          <w:tcPr>
            <w:tcW w:w="954" w:type="pct"/>
          </w:tcPr>
          <w:p w14:paraId="4F085CB0" w14:textId="77777777" w:rsidR="00247AD2" w:rsidRDefault="00247AD2" w:rsidP="00682FFF">
            <w:pPr>
              <w:pStyle w:val="BodyText"/>
            </w:pPr>
            <w:r>
              <w:t>17AJ(c)</w:t>
            </w:r>
          </w:p>
        </w:tc>
        <w:tc>
          <w:tcPr>
            <w:tcW w:w="2252" w:type="pct"/>
          </w:tcPr>
          <w:p w14:paraId="0ED8B60B" w14:textId="77777777" w:rsidR="00247AD2" w:rsidRDefault="00247AD2" w:rsidP="00682FFF">
            <w:pPr>
              <w:pStyle w:val="BodyText"/>
            </w:pPr>
            <w:r>
              <w:t>Glossary of abbreviations and acronyms.</w:t>
            </w:r>
          </w:p>
        </w:tc>
        <w:tc>
          <w:tcPr>
            <w:tcW w:w="916" w:type="pct"/>
          </w:tcPr>
          <w:p w14:paraId="2ACC6FE8" w14:textId="77777777" w:rsidR="00247AD2" w:rsidRDefault="00247AD2" w:rsidP="00682FFF">
            <w:pPr>
              <w:pStyle w:val="BodyText"/>
            </w:pPr>
            <w:r>
              <w:t>Mandatory</w:t>
            </w:r>
          </w:p>
        </w:tc>
        <w:tc>
          <w:tcPr>
            <w:tcW w:w="878" w:type="pct"/>
          </w:tcPr>
          <w:p w14:paraId="7FEDDBB0" w14:textId="77777777" w:rsidR="00247AD2" w:rsidRDefault="00247AD2" w:rsidP="00682FFF">
            <w:pPr>
              <w:pStyle w:val="BodyText"/>
              <w:jc w:val="right"/>
            </w:pPr>
            <w:r>
              <w:t>263</w:t>
            </w:r>
          </w:p>
        </w:tc>
      </w:tr>
      <w:tr w:rsidR="00247AD2" w14:paraId="75E51819" w14:textId="77777777" w:rsidTr="006A0585">
        <w:trPr>
          <w:trHeight w:val="396"/>
        </w:trPr>
        <w:tc>
          <w:tcPr>
            <w:tcW w:w="954" w:type="pct"/>
          </w:tcPr>
          <w:p w14:paraId="4121747C" w14:textId="77777777" w:rsidR="00247AD2" w:rsidRDefault="00247AD2" w:rsidP="00682FFF">
            <w:pPr>
              <w:pStyle w:val="BodyText"/>
            </w:pPr>
            <w:r>
              <w:t>17AJ(d)</w:t>
            </w:r>
          </w:p>
        </w:tc>
        <w:tc>
          <w:tcPr>
            <w:tcW w:w="2252" w:type="pct"/>
          </w:tcPr>
          <w:p w14:paraId="3B7E8F37" w14:textId="77777777" w:rsidR="00247AD2" w:rsidRDefault="00247AD2" w:rsidP="00682FFF">
            <w:pPr>
              <w:pStyle w:val="BodyText"/>
            </w:pPr>
            <w:r>
              <w:t>List of requirements.</w:t>
            </w:r>
          </w:p>
        </w:tc>
        <w:tc>
          <w:tcPr>
            <w:tcW w:w="916" w:type="pct"/>
          </w:tcPr>
          <w:p w14:paraId="0149067A" w14:textId="77777777" w:rsidR="00247AD2" w:rsidRDefault="00247AD2" w:rsidP="00682FFF">
            <w:pPr>
              <w:pStyle w:val="BodyText"/>
            </w:pPr>
            <w:r>
              <w:t>Mandatory</w:t>
            </w:r>
          </w:p>
        </w:tc>
        <w:tc>
          <w:tcPr>
            <w:tcW w:w="878" w:type="pct"/>
          </w:tcPr>
          <w:p w14:paraId="698A3376" w14:textId="77777777" w:rsidR="00247AD2" w:rsidRDefault="00247AD2" w:rsidP="00682FFF">
            <w:pPr>
              <w:pStyle w:val="BodyText"/>
              <w:jc w:val="right"/>
            </w:pPr>
            <w:r>
              <w:t>253</w:t>
            </w:r>
          </w:p>
        </w:tc>
      </w:tr>
      <w:tr w:rsidR="00247AD2" w14:paraId="706B22A4" w14:textId="77777777" w:rsidTr="006A0585">
        <w:trPr>
          <w:trHeight w:val="396"/>
        </w:trPr>
        <w:tc>
          <w:tcPr>
            <w:tcW w:w="954" w:type="pct"/>
          </w:tcPr>
          <w:p w14:paraId="70DA6167" w14:textId="77777777" w:rsidR="00247AD2" w:rsidRDefault="00247AD2" w:rsidP="00682FFF">
            <w:pPr>
              <w:pStyle w:val="BodyText"/>
            </w:pPr>
            <w:r>
              <w:t>17AJ(e)</w:t>
            </w:r>
          </w:p>
        </w:tc>
        <w:tc>
          <w:tcPr>
            <w:tcW w:w="2252" w:type="pct"/>
          </w:tcPr>
          <w:p w14:paraId="04D7A309" w14:textId="77777777" w:rsidR="00247AD2" w:rsidRDefault="00247AD2" w:rsidP="00682FFF">
            <w:pPr>
              <w:pStyle w:val="BodyText"/>
            </w:pPr>
            <w:r>
              <w:t>Details of contact officer.</w:t>
            </w:r>
          </w:p>
        </w:tc>
        <w:tc>
          <w:tcPr>
            <w:tcW w:w="916" w:type="pct"/>
          </w:tcPr>
          <w:p w14:paraId="5F963210" w14:textId="77777777" w:rsidR="00247AD2" w:rsidRDefault="00247AD2" w:rsidP="00682FFF">
            <w:pPr>
              <w:pStyle w:val="BodyText"/>
            </w:pPr>
            <w:r>
              <w:t>Mandatory</w:t>
            </w:r>
          </w:p>
        </w:tc>
        <w:tc>
          <w:tcPr>
            <w:tcW w:w="878" w:type="pct"/>
          </w:tcPr>
          <w:p w14:paraId="200B6695" w14:textId="77777777" w:rsidR="00247AD2" w:rsidRDefault="00247AD2" w:rsidP="00682FFF">
            <w:pPr>
              <w:pStyle w:val="BodyText"/>
              <w:jc w:val="right"/>
            </w:pPr>
            <w:r>
              <w:t>ii</w:t>
            </w:r>
          </w:p>
        </w:tc>
      </w:tr>
      <w:tr w:rsidR="00247AD2" w14:paraId="54384339" w14:textId="77777777" w:rsidTr="006A0585">
        <w:trPr>
          <w:trHeight w:val="396"/>
        </w:trPr>
        <w:tc>
          <w:tcPr>
            <w:tcW w:w="954" w:type="pct"/>
          </w:tcPr>
          <w:p w14:paraId="591CD67A" w14:textId="77777777" w:rsidR="00247AD2" w:rsidRDefault="00247AD2" w:rsidP="00682FFF">
            <w:pPr>
              <w:pStyle w:val="BodyText"/>
            </w:pPr>
            <w:r>
              <w:t>17AJ(f)</w:t>
            </w:r>
          </w:p>
        </w:tc>
        <w:tc>
          <w:tcPr>
            <w:tcW w:w="2252" w:type="pct"/>
          </w:tcPr>
          <w:p w14:paraId="425CEB8C" w14:textId="77777777" w:rsidR="00247AD2" w:rsidRDefault="00247AD2" w:rsidP="00682FFF">
            <w:pPr>
              <w:pStyle w:val="BodyText"/>
            </w:pPr>
            <w:r>
              <w:t>Entity’s website address.</w:t>
            </w:r>
          </w:p>
        </w:tc>
        <w:tc>
          <w:tcPr>
            <w:tcW w:w="916" w:type="pct"/>
          </w:tcPr>
          <w:p w14:paraId="01C542EA" w14:textId="77777777" w:rsidR="00247AD2" w:rsidRDefault="00247AD2" w:rsidP="00682FFF">
            <w:pPr>
              <w:pStyle w:val="BodyText"/>
            </w:pPr>
            <w:r>
              <w:t>Mandatory</w:t>
            </w:r>
          </w:p>
        </w:tc>
        <w:tc>
          <w:tcPr>
            <w:tcW w:w="878" w:type="pct"/>
          </w:tcPr>
          <w:p w14:paraId="07A4B173" w14:textId="77777777" w:rsidR="00247AD2" w:rsidRDefault="00247AD2" w:rsidP="00682FFF">
            <w:pPr>
              <w:pStyle w:val="BodyText"/>
              <w:jc w:val="right"/>
            </w:pPr>
            <w:r>
              <w:t>ii</w:t>
            </w:r>
          </w:p>
        </w:tc>
      </w:tr>
      <w:tr w:rsidR="00247AD2" w14:paraId="04D154C5" w14:textId="77777777" w:rsidTr="006A0585">
        <w:trPr>
          <w:trHeight w:val="396"/>
        </w:trPr>
        <w:tc>
          <w:tcPr>
            <w:tcW w:w="954" w:type="pct"/>
          </w:tcPr>
          <w:p w14:paraId="0D77C641" w14:textId="77777777" w:rsidR="00247AD2" w:rsidRDefault="00247AD2" w:rsidP="00682FFF">
            <w:pPr>
              <w:pStyle w:val="BodyText"/>
            </w:pPr>
            <w:r>
              <w:t>17AJ(g)</w:t>
            </w:r>
          </w:p>
        </w:tc>
        <w:tc>
          <w:tcPr>
            <w:tcW w:w="2252" w:type="pct"/>
          </w:tcPr>
          <w:p w14:paraId="46FD6D07" w14:textId="77777777" w:rsidR="00247AD2" w:rsidRDefault="00247AD2" w:rsidP="00682FFF">
            <w:pPr>
              <w:pStyle w:val="BodyText"/>
            </w:pPr>
            <w:r>
              <w:t>Electronic address of report.</w:t>
            </w:r>
          </w:p>
        </w:tc>
        <w:tc>
          <w:tcPr>
            <w:tcW w:w="916" w:type="pct"/>
          </w:tcPr>
          <w:p w14:paraId="034C6EFA" w14:textId="77777777" w:rsidR="00247AD2" w:rsidRDefault="00247AD2" w:rsidP="00682FFF">
            <w:pPr>
              <w:pStyle w:val="BodyText"/>
            </w:pPr>
            <w:r>
              <w:t>Mandatory</w:t>
            </w:r>
          </w:p>
        </w:tc>
        <w:tc>
          <w:tcPr>
            <w:tcW w:w="878" w:type="pct"/>
          </w:tcPr>
          <w:p w14:paraId="264A2099" w14:textId="77777777" w:rsidR="00247AD2" w:rsidRDefault="00247AD2" w:rsidP="00682FFF">
            <w:pPr>
              <w:pStyle w:val="BodyText"/>
              <w:jc w:val="right"/>
            </w:pPr>
            <w:r>
              <w:t>ii</w:t>
            </w:r>
          </w:p>
        </w:tc>
      </w:tr>
      <w:tr w:rsidR="00247AD2" w14:paraId="4845A075" w14:textId="77777777" w:rsidTr="006A0585">
        <w:trPr>
          <w:trHeight w:val="396"/>
        </w:trPr>
        <w:tc>
          <w:tcPr>
            <w:tcW w:w="954" w:type="pct"/>
          </w:tcPr>
          <w:p w14:paraId="6DADC31C" w14:textId="77777777" w:rsidR="00247AD2" w:rsidRDefault="00247AD2" w:rsidP="00682FFF">
            <w:pPr>
              <w:pStyle w:val="BodyText"/>
            </w:pPr>
            <w:r>
              <w:rPr>
                <w:rStyle w:val="Bold"/>
              </w:rPr>
              <w:t>17AD(a)</w:t>
            </w:r>
          </w:p>
        </w:tc>
        <w:tc>
          <w:tcPr>
            <w:tcW w:w="2252" w:type="pct"/>
          </w:tcPr>
          <w:p w14:paraId="3E22F631" w14:textId="77777777" w:rsidR="00247AD2" w:rsidRDefault="00247AD2" w:rsidP="00682FFF">
            <w:pPr>
              <w:pStyle w:val="BodyText"/>
            </w:pPr>
            <w:r>
              <w:rPr>
                <w:rStyle w:val="Bold"/>
              </w:rPr>
              <w:t>Review by accountable authority</w:t>
            </w:r>
          </w:p>
        </w:tc>
        <w:tc>
          <w:tcPr>
            <w:tcW w:w="916" w:type="pct"/>
          </w:tcPr>
          <w:p w14:paraId="5E4B9ABA" w14:textId="77777777" w:rsidR="00247AD2" w:rsidRDefault="00247AD2" w:rsidP="00682FFF">
            <w:pPr>
              <w:pStyle w:val="BodyText"/>
            </w:pPr>
            <w:r>
              <w:rPr>
                <w:rStyle w:val="Bold"/>
              </w:rPr>
              <w:t xml:space="preserve"> </w:t>
            </w:r>
          </w:p>
        </w:tc>
        <w:tc>
          <w:tcPr>
            <w:tcW w:w="878" w:type="pct"/>
          </w:tcPr>
          <w:p w14:paraId="157BC51D"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628C4A38" w14:textId="77777777" w:rsidTr="006A0585">
        <w:trPr>
          <w:trHeight w:val="396"/>
        </w:trPr>
        <w:tc>
          <w:tcPr>
            <w:tcW w:w="954" w:type="pct"/>
          </w:tcPr>
          <w:p w14:paraId="322987D0" w14:textId="77777777" w:rsidR="00247AD2" w:rsidRDefault="00247AD2" w:rsidP="00682FFF">
            <w:pPr>
              <w:pStyle w:val="BodyText"/>
            </w:pPr>
            <w:r>
              <w:t>17AD(a)</w:t>
            </w:r>
          </w:p>
        </w:tc>
        <w:tc>
          <w:tcPr>
            <w:tcW w:w="2252" w:type="pct"/>
          </w:tcPr>
          <w:p w14:paraId="7E4C1232" w14:textId="77777777" w:rsidR="00247AD2" w:rsidRDefault="00247AD2" w:rsidP="00682FFF">
            <w:pPr>
              <w:pStyle w:val="BodyText"/>
            </w:pPr>
            <w:r>
              <w:t>A review by the accountable authority of the entity.</w:t>
            </w:r>
          </w:p>
        </w:tc>
        <w:tc>
          <w:tcPr>
            <w:tcW w:w="916" w:type="pct"/>
          </w:tcPr>
          <w:p w14:paraId="47630DFC" w14:textId="77777777" w:rsidR="00247AD2" w:rsidRDefault="00247AD2" w:rsidP="00682FFF">
            <w:pPr>
              <w:pStyle w:val="BodyText"/>
            </w:pPr>
            <w:r>
              <w:t>Mandatory</w:t>
            </w:r>
          </w:p>
        </w:tc>
        <w:tc>
          <w:tcPr>
            <w:tcW w:w="878" w:type="pct"/>
          </w:tcPr>
          <w:p w14:paraId="3E1C6645" w14:textId="77777777" w:rsidR="00247AD2" w:rsidRDefault="00247AD2" w:rsidP="00682FFF">
            <w:pPr>
              <w:pStyle w:val="BodyText"/>
              <w:jc w:val="right"/>
            </w:pPr>
            <w:r>
              <w:t>ix</w:t>
            </w:r>
          </w:p>
        </w:tc>
      </w:tr>
      <w:tr w:rsidR="00247AD2" w14:paraId="756608CE" w14:textId="77777777" w:rsidTr="006A0585">
        <w:trPr>
          <w:trHeight w:val="396"/>
        </w:trPr>
        <w:tc>
          <w:tcPr>
            <w:tcW w:w="954" w:type="pct"/>
          </w:tcPr>
          <w:p w14:paraId="3B08286D" w14:textId="77777777" w:rsidR="00247AD2" w:rsidRDefault="00247AD2" w:rsidP="00682FFF">
            <w:pPr>
              <w:pStyle w:val="BodyText"/>
            </w:pPr>
            <w:r>
              <w:rPr>
                <w:rStyle w:val="Bold"/>
              </w:rPr>
              <w:lastRenderedPageBreak/>
              <w:t>17AD(b)</w:t>
            </w:r>
          </w:p>
        </w:tc>
        <w:tc>
          <w:tcPr>
            <w:tcW w:w="2252" w:type="pct"/>
          </w:tcPr>
          <w:p w14:paraId="4303AE85" w14:textId="77777777" w:rsidR="00247AD2" w:rsidRDefault="00247AD2" w:rsidP="00682FFF">
            <w:pPr>
              <w:pStyle w:val="BodyText"/>
            </w:pPr>
            <w:r>
              <w:rPr>
                <w:rStyle w:val="Bold"/>
              </w:rPr>
              <w:t>Overview of the entity</w:t>
            </w:r>
          </w:p>
        </w:tc>
        <w:tc>
          <w:tcPr>
            <w:tcW w:w="916" w:type="pct"/>
          </w:tcPr>
          <w:p w14:paraId="7F4B04BF"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878" w:type="pct"/>
          </w:tcPr>
          <w:p w14:paraId="7C020AD2"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53A83D0C" w14:textId="77777777" w:rsidTr="006A0585">
        <w:trPr>
          <w:trHeight w:val="396"/>
        </w:trPr>
        <w:tc>
          <w:tcPr>
            <w:tcW w:w="954" w:type="pct"/>
          </w:tcPr>
          <w:p w14:paraId="666CC40A" w14:textId="77777777" w:rsidR="00247AD2" w:rsidRDefault="00247AD2" w:rsidP="00682FFF">
            <w:pPr>
              <w:pStyle w:val="BodyText"/>
            </w:pPr>
            <w:r>
              <w:t>17AE(1)(a)(i)</w:t>
            </w:r>
          </w:p>
        </w:tc>
        <w:tc>
          <w:tcPr>
            <w:tcW w:w="2252" w:type="pct"/>
          </w:tcPr>
          <w:p w14:paraId="75A9A18D" w14:textId="77777777" w:rsidR="00247AD2" w:rsidRDefault="00247AD2" w:rsidP="00682FFF">
            <w:pPr>
              <w:pStyle w:val="BodyText"/>
            </w:pPr>
            <w:r>
              <w:t>A description of the role and functions of the entity.</w:t>
            </w:r>
          </w:p>
        </w:tc>
        <w:tc>
          <w:tcPr>
            <w:tcW w:w="916" w:type="pct"/>
          </w:tcPr>
          <w:p w14:paraId="07A789F9" w14:textId="77777777" w:rsidR="00247AD2" w:rsidRDefault="00247AD2" w:rsidP="00682FFF">
            <w:pPr>
              <w:pStyle w:val="BodyText"/>
            </w:pPr>
            <w:r>
              <w:t>Mandatory</w:t>
            </w:r>
          </w:p>
        </w:tc>
        <w:tc>
          <w:tcPr>
            <w:tcW w:w="878" w:type="pct"/>
          </w:tcPr>
          <w:p w14:paraId="4164D0BA" w14:textId="77777777" w:rsidR="00247AD2" w:rsidRDefault="00247AD2" w:rsidP="00682FFF">
            <w:pPr>
              <w:pStyle w:val="BodyText"/>
              <w:jc w:val="right"/>
            </w:pPr>
            <w:r>
              <w:t>2</w:t>
            </w:r>
          </w:p>
        </w:tc>
      </w:tr>
      <w:tr w:rsidR="00247AD2" w14:paraId="4A85FEA7" w14:textId="77777777" w:rsidTr="006A0585">
        <w:trPr>
          <w:trHeight w:val="396"/>
        </w:trPr>
        <w:tc>
          <w:tcPr>
            <w:tcW w:w="954" w:type="pct"/>
          </w:tcPr>
          <w:p w14:paraId="783AC827" w14:textId="77777777" w:rsidR="00247AD2" w:rsidRDefault="00247AD2" w:rsidP="00682FFF">
            <w:pPr>
              <w:pStyle w:val="BodyText"/>
            </w:pPr>
            <w:r>
              <w:t>17AE(1)(a)(ii)</w:t>
            </w:r>
          </w:p>
        </w:tc>
        <w:tc>
          <w:tcPr>
            <w:tcW w:w="2252" w:type="pct"/>
          </w:tcPr>
          <w:p w14:paraId="021D755C" w14:textId="77777777" w:rsidR="00247AD2" w:rsidRDefault="00247AD2" w:rsidP="00682FFF">
            <w:pPr>
              <w:pStyle w:val="BodyText"/>
            </w:pPr>
            <w:r>
              <w:t>A description of the organisational structure of the entity.</w:t>
            </w:r>
          </w:p>
        </w:tc>
        <w:tc>
          <w:tcPr>
            <w:tcW w:w="916" w:type="pct"/>
          </w:tcPr>
          <w:p w14:paraId="3F2C0132" w14:textId="77777777" w:rsidR="00247AD2" w:rsidRDefault="00247AD2" w:rsidP="00682FFF">
            <w:pPr>
              <w:pStyle w:val="BodyText"/>
            </w:pPr>
            <w:r>
              <w:t>Mandatory</w:t>
            </w:r>
          </w:p>
        </w:tc>
        <w:tc>
          <w:tcPr>
            <w:tcW w:w="878" w:type="pct"/>
          </w:tcPr>
          <w:p w14:paraId="1636AC8B" w14:textId="77777777" w:rsidR="00247AD2" w:rsidRDefault="00247AD2" w:rsidP="00682FFF">
            <w:pPr>
              <w:pStyle w:val="BodyText"/>
              <w:jc w:val="right"/>
            </w:pPr>
            <w:r>
              <w:t>4–5</w:t>
            </w:r>
          </w:p>
        </w:tc>
      </w:tr>
      <w:tr w:rsidR="00247AD2" w14:paraId="5E4F624A" w14:textId="77777777" w:rsidTr="006A0585">
        <w:trPr>
          <w:trHeight w:val="396"/>
        </w:trPr>
        <w:tc>
          <w:tcPr>
            <w:tcW w:w="954" w:type="pct"/>
          </w:tcPr>
          <w:p w14:paraId="11872250" w14:textId="77777777" w:rsidR="00247AD2" w:rsidRDefault="00247AD2" w:rsidP="00682FFF">
            <w:pPr>
              <w:pStyle w:val="BodyText"/>
            </w:pPr>
            <w:r>
              <w:t>17AE(1)(a)(iii)</w:t>
            </w:r>
          </w:p>
        </w:tc>
        <w:tc>
          <w:tcPr>
            <w:tcW w:w="2252" w:type="pct"/>
          </w:tcPr>
          <w:p w14:paraId="083C2225" w14:textId="77777777" w:rsidR="00247AD2" w:rsidRDefault="00247AD2" w:rsidP="00682FFF">
            <w:pPr>
              <w:pStyle w:val="BodyText"/>
            </w:pPr>
            <w:r>
              <w:t>A description of the outcomes and programmes administered by the entity.</w:t>
            </w:r>
          </w:p>
        </w:tc>
        <w:tc>
          <w:tcPr>
            <w:tcW w:w="916" w:type="pct"/>
          </w:tcPr>
          <w:p w14:paraId="05F69912" w14:textId="77777777" w:rsidR="00247AD2" w:rsidRDefault="00247AD2" w:rsidP="00682FFF">
            <w:pPr>
              <w:pStyle w:val="BodyText"/>
            </w:pPr>
            <w:r>
              <w:t>Mandatory</w:t>
            </w:r>
          </w:p>
        </w:tc>
        <w:tc>
          <w:tcPr>
            <w:tcW w:w="878" w:type="pct"/>
          </w:tcPr>
          <w:p w14:paraId="605B00C8" w14:textId="77777777" w:rsidR="00247AD2" w:rsidRDefault="00247AD2" w:rsidP="00682FFF">
            <w:pPr>
              <w:pStyle w:val="BodyText"/>
              <w:spacing w:after="0"/>
              <w:jc w:val="right"/>
            </w:pPr>
            <w:r>
              <w:t>12–43</w:t>
            </w:r>
          </w:p>
          <w:p w14:paraId="1E39F02B" w14:textId="77777777" w:rsidR="00247AD2" w:rsidRDefault="00247AD2" w:rsidP="00682FFF">
            <w:pPr>
              <w:pStyle w:val="BodyText"/>
              <w:spacing w:after="0"/>
              <w:jc w:val="right"/>
            </w:pPr>
            <w:r>
              <w:t>164–207</w:t>
            </w:r>
          </w:p>
          <w:p w14:paraId="2FBF7099" w14:textId="77777777" w:rsidR="00247AD2" w:rsidRDefault="00247AD2" w:rsidP="00682FFF">
            <w:pPr>
              <w:pStyle w:val="BodyText"/>
              <w:spacing w:after="0"/>
              <w:jc w:val="right"/>
            </w:pPr>
            <w:r>
              <w:t>208–211</w:t>
            </w:r>
          </w:p>
        </w:tc>
      </w:tr>
      <w:tr w:rsidR="00247AD2" w14:paraId="5F63205F" w14:textId="77777777" w:rsidTr="006A0585">
        <w:trPr>
          <w:trHeight w:val="396"/>
        </w:trPr>
        <w:tc>
          <w:tcPr>
            <w:tcW w:w="954" w:type="pct"/>
          </w:tcPr>
          <w:p w14:paraId="267AA061" w14:textId="77777777" w:rsidR="00247AD2" w:rsidRDefault="00247AD2" w:rsidP="00682FFF">
            <w:pPr>
              <w:pStyle w:val="BodyText"/>
            </w:pPr>
            <w:r>
              <w:t>17AE(1)(a)(iv)</w:t>
            </w:r>
          </w:p>
        </w:tc>
        <w:tc>
          <w:tcPr>
            <w:tcW w:w="2252" w:type="pct"/>
          </w:tcPr>
          <w:p w14:paraId="49676781" w14:textId="77777777" w:rsidR="00247AD2" w:rsidRDefault="00247AD2" w:rsidP="00682FFF">
            <w:pPr>
              <w:pStyle w:val="BodyText"/>
            </w:pPr>
            <w:r>
              <w:t>A description of the purposes of the entity as included in corporate plan.</w:t>
            </w:r>
          </w:p>
        </w:tc>
        <w:tc>
          <w:tcPr>
            <w:tcW w:w="916" w:type="pct"/>
          </w:tcPr>
          <w:p w14:paraId="1EFA9788" w14:textId="77777777" w:rsidR="00247AD2" w:rsidRDefault="00247AD2" w:rsidP="00682FFF">
            <w:pPr>
              <w:pStyle w:val="BodyText"/>
            </w:pPr>
            <w:r>
              <w:t>Mandatory</w:t>
            </w:r>
          </w:p>
        </w:tc>
        <w:tc>
          <w:tcPr>
            <w:tcW w:w="878" w:type="pct"/>
          </w:tcPr>
          <w:p w14:paraId="0E9403D1" w14:textId="77777777" w:rsidR="00247AD2" w:rsidRDefault="00247AD2" w:rsidP="00682FFF">
            <w:pPr>
              <w:pStyle w:val="BodyText"/>
              <w:jc w:val="right"/>
            </w:pPr>
            <w:r>
              <w:t>2</w:t>
            </w:r>
          </w:p>
        </w:tc>
      </w:tr>
      <w:tr w:rsidR="00247AD2" w14:paraId="43B6720E" w14:textId="77777777" w:rsidTr="006A0585">
        <w:trPr>
          <w:trHeight w:val="396"/>
        </w:trPr>
        <w:tc>
          <w:tcPr>
            <w:tcW w:w="954" w:type="pct"/>
          </w:tcPr>
          <w:p w14:paraId="78DDC63B" w14:textId="77777777" w:rsidR="00247AD2" w:rsidRDefault="00247AD2" w:rsidP="00682FFF">
            <w:pPr>
              <w:pStyle w:val="BodyText"/>
            </w:pPr>
            <w:r>
              <w:t>17AE(1)(aa)(i)</w:t>
            </w:r>
          </w:p>
        </w:tc>
        <w:tc>
          <w:tcPr>
            <w:tcW w:w="2252" w:type="pct"/>
          </w:tcPr>
          <w:p w14:paraId="6F0AD0F3" w14:textId="77777777" w:rsidR="00247AD2" w:rsidRDefault="00247AD2" w:rsidP="00682FFF">
            <w:pPr>
              <w:pStyle w:val="BodyText"/>
            </w:pPr>
            <w:r>
              <w:t>Name of the accountable authority or each member of the accountable authority.</w:t>
            </w:r>
          </w:p>
        </w:tc>
        <w:tc>
          <w:tcPr>
            <w:tcW w:w="916" w:type="pct"/>
          </w:tcPr>
          <w:p w14:paraId="0CFEDC83" w14:textId="77777777" w:rsidR="00247AD2" w:rsidRDefault="00247AD2" w:rsidP="00682FFF">
            <w:pPr>
              <w:pStyle w:val="BodyText"/>
            </w:pPr>
            <w:r>
              <w:t>Mandatory</w:t>
            </w:r>
          </w:p>
        </w:tc>
        <w:tc>
          <w:tcPr>
            <w:tcW w:w="878" w:type="pct"/>
          </w:tcPr>
          <w:p w14:paraId="285E462A" w14:textId="77777777" w:rsidR="00247AD2" w:rsidRDefault="00247AD2" w:rsidP="00682FFF">
            <w:pPr>
              <w:pStyle w:val="BodyText"/>
              <w:jc w:val="right"/>
            </w:pPr>
            <w:r>
              <w:t>223</w:t>
            </w:r>
          </w:p>
        </w:tc>
      </w:tr>
      <w:tr w:rsidR="00247AD2" w14:paraId="3D3D3D69" w14:textId="77777777" w:rsidTr="006A0585">
        <w:trPr>
          <w:trHeight w:val="396"/>
        </w:trPr>
        <w:tc>
          <w:tcPr>
            <w:tcW w:w="954" w:type="pct"/>
          </w:tcPr>
          <w:p w14:paraId="494250C9" w14:textId="77777777" w:rsidR="00247AD2" w:rsidRDefault="00247AD2" w:rsidP="00682FFF">
            <w:pPr>
              <w:pStyle w:val="BodyText"/>
            </w:pPr>
            <w:r>
              <w:rPr>
                <w:spacing w:val="-4"/>
              </w:rPr>
              <w:t>17AE(1)(aa)(ii)</w:t>
            </w:r>
          </w:p>
        </w:tc>
        <w:tc>
          <w:tcPr>
            <w:tcW w:w="2252" w:type="pct"/>
          </w:tcPr>
          <w:p w14:paraId="102216B9" w14:textId="77777777" w:rsidR="00247AD2" w:rsidRDefault="00247AD2" w:rsidP="00682FFF">
            <w:pPr>
              <w:pStyle w:val="BodyText"/>
            </w:pPr>
            <w:r>
              <w:t>Position title of the accountable authority or each member of the accountable authority.</w:t>
            </w:r>
          </w:p>
        </w:tc>
        <w:tc>
          <w:tcPr>
            <w:tcW w:w="916" w:type="pct"/>
          </w:tcPr>
          <w:p w14:paraId="06CE79AC" w14:textId="77777777" w:rsidR="00247AD2" w:rsidRDefault="00247AD2" w:rsidP="00682FFF">
            <w:pPr>
              <w:pStyle w:val="BodyText"/>
            </w:pPr>
            <w:r>
              <w:t>Mandatory</w:t>
            </w:r>
          </w:p>
        </w:tc>
        <w:tc>
          <w:tcPr>
            <w:tcW w:w="878" w:type="pct"/>
          </w:tcPr>
          <w:p w14:paraId="3A1E7362" w14:textId="77777777" w:rsidR="00247AD2" w:rsidRDefault="00247AD2" w:rsidP="00682FFF">
            <w:pPr>
              <w:pStyle w:val="BodyText"/>
              <w:jc w:val="right"/>
            </w:pPr>
            <w:r>
              <w:t>223</w:t>
            </w:r>
          </w:p>
        </w:tc>
      </w:tr>
      <w:tr w:rsidR="00247AD2" w14:paraId="0CD35126" w14:textId="77777777" w:rsidTr="006A0585">
        <w:trPr>
          <w:trHeight w:val="396"/>
        </w:trPr>
        <w:tc>
          <w:tcPr>
            <w:tcW w:w="954" w:type="pct"/>
          </w:tcPr>
          <w:p w14:paraId="7169B192" w14:textId="77777777" w:rsidR="00247AD2" w:rsidRDefault="00247AD2" w:rsidP="00682FFF">
            <w:pPr>
              <w:pStyle w:val="BodyText"/>
            </w:pPr>
            <w:r>
              <w:rPr>
                <w:spacing w:val="-6"/>
              </w:rPr>
              <w:t>17AE(1)(aa)(iii)</w:t>
            </w:r>
          </w:p>
        </w:tc>
        <w:tc>
          <w:tcPr>
            <w:tcW w:w="2252" w:type="pct"/>
          </w:tcPr>
          <w:p w14:paraId="7ECE125D" w14:textId="77777777" w:rsidR="00247AD2" w:rsidRDefault="00247AD2" w:rsidP="00682FFF">
            <w:pPr>
              <w:pStyle w:val="BodyText"/>
            </w:pPr>
            <w:r>
              <w:t>Period as the accountable authority or member of the accountable authority within the reporting period.</w:t>
            </w:r>
          </w:p>
        </w:tc>
        <w:tc>
          <w:tcPr>
            <w:tcW w:w="916" w:type="pct"/>
          </w:tcPr>
          <w:p w14:paraId="42A38261" w14:textId="77777777" w:rsidR="00247AD2" w:rsidRDefault="00247AD2" w:rsidP="00682FFF">
            <w:pPr>
              <w:pStyle w:val="BodyText"/>
            </w:pPr>
            <w:r>
              <w:t>Mandatory</w:t>
            </w:r>
          </w:p>
        </w:tc>
        <w:tc>
          <w:tcPr>
            <w:tcW w:w="878" w:type="pct"/>
          </w:tcPr>
          <w:p w14:paraId="15CDA22D" w14:textId="77777777" w:rsidR="00247AD2" w:rsidRDefault="00247AD2" w:rsidP="00682FFF">
            <w:pPr>
              <w:pStyle w:val="BodyText"/>
              <w:jc w:val="right"/>
            </w:pPr>
            <w:r>
              <w:t>223</w:t>
            </w:r>
          </w:p>
        </w:tc>
      </w:tr>
      <w:tr w:rsidR="00247AD2" w14:paraId="196EA9DB" w14:textId="77777777" w:rsidTr="006A0585">
        <w:trPr>
          <w:trHeight w:val="396"/>
        </w:trPr>
        <w:tc>
          <w:tcPr>
            <w:tcW w:w="954" w:type="pct"/>
          </w:tcPr>
          <w:p w14:paraId="21DCC625" w14:textId="77777777" w:rsidR="00247AD2" w:rsidRDefault="00247AD2" w:rsidP="00682FFF">
            <w:pPr>
              <w:pStyle w:val="BodyText"/>
            </w:pPr>
            <w:r>
              <w:t>17AE(1)(b)</w:t>
            </w:r>
          </w:p>
        </w:tc>
        <w:tc>
          <w:tcPr>
            <w:tcW w:w="2252" w:type="pct"/>
          </w:tcPr>
          <w:p w14:paraId="2DAA3AC8" w14:textId="77777777" w:rsidR="00247AD2" w:rsidRDefault="00247AD2" w:rsidP="00682FFF">
            <w:pPr>
              <w:pStyle w:val="BodyText"/>
            </w:pPr>
            <w:r>
              <w:t>An outline of the structure of the portfolio of the entity.</w:t>
            </w:r>
          </w:p>
        </w:tc>
        <w:tc>
          <w:tcPr>
            <w:tcW w:w="916" w:type="pct"/>
          </w:tcPr>
          <w:p w14:paraId="769DCD1D" w14:textId="77777777" w:rsidR="00247AD2" w:rsidRDefault="00247AD2" w:rsidP="00682FFF">
            <w:pPr>
              <w:pStyle w:val="BodyText"/>
            </w:pPr>
            <w:r>
              <w:t>Portfolio departments — mandatory</w:t>
            </w:r>
          </w:p>
        </w:tc>
        <w:tc>
          <w:tcPr>
            <w:tcW w:w="878" w:type="pct"/>
          </w:tcPr>
          <w:p w14:paraId="1ED2D629" w14:textId="77777777" w:rsidR="00247AD2" w:rsidRDefault="00247AD2" w:rsidP="00682FFF">
            <w:pPr>
              <w:pStyle w:val="BodyText"/>
              <w:jc w:val="right"/>
            </w:pPr>
            <w:r>
              <w:t>Not applicable</w:t>
            </w:r>
          </w:p>
        </w:tc>
      </w:tr>
      <w:tr w:rsidR="00247AD2" w14:paraId="7A98E2B3" w14:textId="77777777" w:rsidTr="006A0585">
        <w:trPr>
          <w:trHeight w:val="396"/>
        </w:trPr>
        <w:tc>
          <w:tcPr>
            <w:tcW w:w="954" w:type="pct"/>
          </w:tcPr>
          <w:p w14:paraId="4576EA8F" w14:textId="77777777" w:rsidR="00247AD2" w:rsidRDefault="00247AD2" w:rsidP="00682FFF">
            <w:pPr>
              <w:pStyle w:val="BodyText"/>
            </w:pPr>
            <w:r>
              <w:t>17AE(2)</w:t>
            </w:r>
          </w:p>
        </w:tc>
        <w:tc>
          <w:tcPr>
            <w:tcW w:w="2252" w:type="pct"/>
          </w:tcPr>
          <w:p w14:paraId="7E114C08" w14:textId="77777777" w:rsidR="00247AD2" w:rsidRDefault="00247AD2" w:rsidP="00682FFF">
            <w:pPr>
              <w:pStyle w:val="BodyText"/>
            </w:pPr>
            <w:r>
              <w:t>Where the outcomes and programs administered by the entity differ from any Portfolio Budget Statement, Portfolio Additional Estimates Statement or other portfolio estimates statement that was prepared for the entity for the period, include details of variation and reasons for change.</w:t>
            </w:r>
          </w:p>
        </w:tc>
        <w:tc>
          <w:tcPr>
            <w:tcW w:w="916" w:type="pct"/>
          </w:tcPr>
          <w:p w14:paraId="789ED82C" w14:textId="77777777" w:rsidR="00247AD2" w:rsidRDefault="00247AD2" w:rsidP="00682FFF">
            <w:pPr>
              <w:pStyle w:val="BodyText"/>
            </w:pPr>
            <w:r>
              <w:t>If applicable, mandatory</w:t>
            </w:r>
          </w:p>
        </w:tc>
        <w:tc>
          <w:tcPr>
            <w:tcW w:w="878" w:type="pct"/>
          </w:tcPr>
          <w:p w14:paraId="00D80733" w14:textId="77777777" w:rsidR="00247AD2" w:rsidRDefault="00247AD2" w:rsidP="00682FFF">
            <w:pPr>
              <w:pStyle w:val="BodyText"/>
              <w:jc w:val="right"/>
            </w:pPr>
            <w:r>
              <w:t>Not applicable</w:t>
            </w:r>
          </w:p>
        </w:tc>
      </w:tr>
      <w:tr w:rsidR="00247AD2" w14:paraId="09980C89" w14:textId="77777777" w:rsidTr="006A0585">
        <w:trPr>
          <w:trHeight w:val="396"/>
        </w:trPr>
        <w:tc>
          <w:tcPr>
            <w:tcW w:w="954" w:type="pct"/>
          </w:tcPr>
          <w:p w14:paraId="563DEF8D" w14:textId="77777777" w:rsidR="00247AD2" w:rsidRDefault="00247AD2" w:rsidP="00682FFF">
            <w:pPr>
              <w:pStyle w:val="BodyText"/>
            </w:pPr>
            <w:r>
              <w:rPr>
                <w:rStyle w:val="Bold"/>
              </w:rPr>
              <w:t>17AD(c)</w:t>
            </w:r>
          </w:p>
        </w:tc>
        <w:tc>
          <w:tcPr>
            <w:tcW w:w="2252" w:type="pct"/>
          </w:tcPr>
          <w:p w14:paraId="211BE9A3" w14:textId="77777777" w:rsidR="00247AD2" w:rsidRDefault="00247AD2" w:rsidP="00682FFF">
            <w:pPr>
              <w:pStyle w:val="BodyText"/>
            </w:pPr>
            <w:r>
              <w:rPr>
                <w:rStyle w:val="Bold"/>
              </w:rPr>
              <w:t>Report on the Performance of the entity</w:t>
            </w:r>
          </w:p>
        </w:tc>
        <w:tc>
          <w:tcPr>
            <w:tcW w:w="916" w:type="pct"/>
          </w:tcPr>
          <w:p w14:paraId="46DEDDE4" w14:textId="77777777" w:rsidR="00247AD2" w:rsidRDefault="00247AD2" w:rsidP="00682FFF">
            <w:pPr>
              <w:pStyle w:val="BodyText"/>
            </w:pPr>
            <w:r>
              <w:rPr>
                <w:rStyle w:val="Bold"/>
              </w:rPr>
              <w:t xml:space="preserve"> </w:t>
            </w:r>
          </w:p>
        </w:tc>
        <w:tc>
          <w:tcPr>
            <w:tcW w:w="878" w:type="pct"/>
          </w:tcPr>
          <w:p w14:paraId="6EF35F33"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4F7F3216" w14:textId="77777777" w:rsidTr="006A0585">
        <w:trPr>
          <w:trHeight w:val="396"/>
        </w:trPr>
        <w:tc>
          <w:tcPr>
            <w:tcW w:w="954" w:type="pct"/>
          </w:tcPr>
          <w:p w14:paraId="2925918D" w14:textId="77777777" w:rsidR="00247AD2" w:rsidRDefault="00247AD2" w:rsidP="00682FFF">
            <w:pPr>
              <w:pStyle w:val="BodyText"/>
            </w:pPr>
            <w:r>
              <w:rPr>
                <w:rStyle w:val="Bold"/>
              </w:rPr>
              <w:t xml:space="preserve"> </w:t>
            </w:r>
          </w:p>
        </w:tc>
        <w:tc>
          <w:tcPr>
            <w:tcW w:w="2252" w:type="pct"/>
          </w:tcPr>
          <w:p w14:paraId="214DA764" w14:textId="77777777" w:rsidR="00247AD2" w:rsidRDefault="00247AD2" w:rsidP="00682FFF">
            <w:pPr>
              <w:pStyle w:val="BodyText"/>
            </w:pPr>
            <w:r>
              <w:rPr>
                <w:rStyle w:val="Bold"/>
              </w:rPr>
              <w:t>Annual Performance Statements</w:t>
            </w:r>
          </w:p>
        </w:tc>
        <w:tc>
          <w:tcPr>
            <w:tcW w:w="916" w:type="pct"/>
          </w:tcPr>
          <w:p w14:paraId="3B1B60A6" w14:textId="77777777" w:rsidR="00247AD2" w:rsidRDefault="00247AD2" w:rsidP="00682FFF">
            <w:pPr>
              <w:pStyle w:val="BodyText"/>
            </w:pPr>
            <w:r>
              <w:rPr>
                <w:rStyle w:val="Bold"/>
              </w:rPr>
              <w:t xml:space="preserve"> </w:t>
            </w:r>
          </w:p>
        </w:tc>
        <w:tc>
          <w:tcPr>
            <w:tcW w:w="878" w:type="pct"/>
          </w:tcPr>
          <w:p w14:paraId="2457986C"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67FAE24E" w14:textId="77777777" w:rsidTr="006A0585">
        <w:trPr>
          <w:trHeight w:val="396"/>
        </w:trPr>
        <w:tc>
          <w:tcPr>
            <w:tcW w:w="954" w:type="pct"/>
          </w:tcPr>
          <w:p w14:paraId="5DB16170" w14:textId="77777777" w:rsidR="00247AD2" w:rsidRDefault="00247AD2" w:rsidP="00682FFF">
            <w:pPr>
              <w:pStyle w:val="BodyText"/>
            </w:pPr>
            <w:r>
              <w:t>17AD(c)(i); 16F</w:t>
            </w:r>
          </w:p>
        </w:tc>
        <w:tc>
          <w:tcPr>
            <w:tcW w:w="2252" w:type="pct"/>
          </w:tcPr>
          <w:p w14:paraId="78F3F1A8" w14:textId="77777777" w:rsidR="00247AD2" w:rsidRDefault="00247AD2" w:rsidP="00682FFF">
            <w:pPr>
              <w:pStyle w:val="BodyText"/>
            </w:pPr>
            <w:r>
              <w:t>Annual Performance Statements in accordance with paragraph 39(1)(b) of the Act and section 16F of the Rule.</w:t>
            </w:r>
          </w:p>
        </w:tc>
        <w:tc>
          <w:tcPr>
            <w:tcW w:w="916" w:type="pct"/>
          </w:tcPr>
          <w:p w14:paraId="418AB06B" w14:textId="77777777" w:rsidR="00247AD2" w:rsidRDefault="00247AD2" w:rsidP="00682FFF">
            <w:pPr>
              <w:pStyle w:val="BodyText"/>
            </w:pPr>
            <w:r>
              <w:t>Mandatory</w:t>
            </w:r>
          </w:p>
        </w:tc>
        <w:tc>
          <w:tcPr>
            <w:tcW w:w="878" w:type="pct"/>
          </w:tcPr>
          <w:p w14:paraId="009ED26A" w14:textId="77777777" w:rsidR="00247AD2" w:rsidRDefault="00247AD2" w:rsidP="00682FFF">
            <w:pPr>
              <w:pStyle w:val="BodyText"/>
              <w:jc w:val="right"/>
            </w:pPr>
            <w:r>
              <w:t>12–43</w:t>
            </w:r>
          </w:p>
        </w:tc>
      </w:tr>
      <w:tr w:rsidR="00247AD2" w14:paraId="53606A6C" w14:textId="77777777" w:rsidTr="006A0585">
        <w:trPr>
          <w:trHeight w:val="396"/>
        </w:trPr>
        <w:tc>
          <w:tcPr>
            <w:tcW w:w="954" w:type="pct"/>
          </w:tcPr>
          <w:p w14:paraId="1EC8B437" w14:textId="77777777" w:rsidR="00247AD2" w:rsidRDefault="00247AD2" w:rsidP="00682FFF">
            <w:pPr>
              <w:pStyle w:val="BodyText"/>
            </w:pPr>
            <w:r>
              <w:rPr>
                <w:rStyle w:val="Bold"/>
              </w:rPr>
              <w:lastRenderedPageBreak/>
              <w:t>17AD(c)(ii)</w:t>
            </w:r>
          </w:p>
        </w:tc>
        <w:tc>
          <w:tcPr>
            <w:tcW w:w="2252" w:type="pct"/>
          </w:tcPr>
          <w:p w14:paraId="14B653D0" w14:textId="77777777" w:rsidR="00247AD2" w:rsidRDefault="00247AD2" w:rsidP="00682FFF">
            <w:pPr>
              <w:pStyle w:val="BodyText"/>
            </w:pPr>
            <w:r>
              <w:rPr>
                <w:rStyle w:val="Bold"/>
              </w:rPr>
              <w:t>Report on Financial Performance</w:t>
            </w:r>
          </w:p>
        </w:tc>
        <w:tc>
          <w:tcPr>
            <w:tcW w:w="916" w:type="pct"/>
          </w:tcPr>
          <w:p w14:paraId="31B9FE06"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878" w:type="pct"/>
          </w:tcPr>
          <w:p w14:paraId="4752ED24"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15829276" w14:textId="77777777" w:rsidTr="006A0585">
        <w:trPr>
          <w:trHeight w:val="396"/>
        </w:trPr>
        <w:tc>
          <w:tcPr>
            <w:tcW w:w="954" w:type="pct"/>
          </w:tcPr>
          <w:p w14:paraId="34DFA41A" w14:textId="77777777" w:rsidR="00247AD2" w:rsidRDefault="00247AD2" w:rsidP="00682FFF">
            <w:pPr>
              <w:pStyle w:val="BodyText"/>
            </w:pPr>
            <w:r>
              <w:t>17AF(1)(a)</w:t>
            </w:r>
          </w:p>
        </w:tc>
        <w:tc>
          <w:tcPr>
            <w:tcW w:w="2252" w:type="pct"/>
          </w:tcPr>
          <w:p w14:paraId="02A73E62" w14:textId="77777777" w:rsidR="00247AD2" w:rsidRDefault="00247AD2" w:rsidP="00682FFF">
            <w:pPr>
              <w:pStyle w:val="BodyText"/>
            </w:pPr>
            <w:r>
              <w:t>A discussion and analysis of the entity’s financial performance.</w:t>
            </w:r>
          </w:p>
        </w:tc>
        <w:tc>
          <w:tcPr>
            <w:tcW w:w="916" w:type="pct"/>
          </w:tcPr>
          <w:p w14:paraId="6510ED45" w14:textId="77777777" w:rsidR="00247AD2" w:rsidRDefault="00247AD2" w:rsidP="00682FFF">
            <w:pPr>
              <w:pStyle w:val="BodyText"/>
            </w:pPr>
            <w:r>
              <w:t>Mandatory</w:t>
            </w:r>
          </w:p>
        </w:tc>
        <w:tc>
          <w:tcPr>
            <w:tcW w:w="878" w:type="pct"/>
          </w:tcPr>
          <w:p w14:paraId="556B6EB2" w14:textId="77777777" w:rsidR="00247AD2" w:rsidRDefault="00247AD2" w:rsidP="00682FFF">
            <w:pPr>
              <w:pStyle w:val="BodyText"/>
              <w:jc w:val="right"/>
            </w:pPr>
            <w:r>
              <w:t>164–207</w:t>
            </w:r>
          </w:p>
        </w:tc>
      </w:tr>
      <w:tr w:rsidR="00247AD2" w14:paraId="58508804" w14:textId="77777777" w:rsidTr="006A0585">
        <w:trPr>
          <w:trHeight w:val="396"/>
        </w:trPr>
        <w:tc>
          <w:tcPr>
            <w:tcW w:w="954" w:type="pct"/>
          </w:tcPr>
          <w:p w14:paraId="4D396CA4" w14:textId="77777777" w:rsidR="00247AD2" w:rsidRDefault="00247AD2" w:rsidP="00682FFF">
            <w:pPr>
              <w:pStyle w:val="BodyText"/>
            </w:pPr>
            <w:r>
              <w:t>17AF(1)(b)</w:t>
            </w:r>
          </w:p>
        </w:tc>
        <w:tc>
          <w:tcPr>
            <w:tcW w:w="2252" w:type="pct"/>
          </w:tcPr>
          <w:p w14:paraId="2F09BD20" w14:textId="77777777" w:rsidR="00247AD2" w:rsidRDefault="00247AD2" w:rsidP="00682FFF">
            <w:pPr>
              <w:pStyle w:val="BodyText"/>
            </w:pPr>
            <w:r>
              <w:t>A table summarising the total resources and total payments of the entity.</w:t>
            </w:r>
          </w:p>
        </w:tc>
        <w:tc>
          <w:tcPr>
            <w:tcW w:w="916" w:type="pct"/>
          </w:tcPr>
          <w:p w14:paraId="23A93D88" w14:textId="77777777" w:rsidR="00247AD2" w:rsidRDefault="00247AD2" w:rsidP="00682FFF">
            <w:pPr>
              <w:pStyle w:val="BodyText"/>
            </w:pPr>
            <w:r>
              <w:t>Mandatory</w:t>
            </w:r>
          </w:p>
        </w:tc>
        <w:tc>
          <w:tcPr>
            <w:tcW w:w="878" w:type="pct"/>
          </w:tcPr>
          <w:p w14:paraId="2EAA5A22" w14:textId="77777777" w:rsidR="00247AD2" w:rsidRDefault="00247AD2" w:rsidP="00682FFF">
            <w:pPr>
              <w:pStyle w:val="BodyText"/>
              <w:jc w:val="right"/>
            </w:pPr>
            <w:r>
              <w:t>208–211</w:t>
            </w:r>
          </w:p>
        </w:tc>
      </w:tr>
      <w:tr w:rsidR="00247AD2" w14:paraId="3EE2DB42" w14:textId="77777777" w:rsidTr="006A0585">
        <w:trPr>
          <w:trHeight w:val="396"/>
        </w:trPr>
        <w:tc>
          <w:tcPr>
            <w:tcW w:w="954" w:type="pct"/>
          </w:tcPr>
          <w:p w14:paraId="247EEE1A" w14:textId="77777777" w:rsidR="00247AD2" w:rsidRDefault="00247AD2" w:rsidP="00682FFF">
            <w:pPr>
              <w:pStyle w:val="BodyText"/>
            </w:pPr>
            <w:r>
              <w:t>17AF(2)</w:t>
            </w:r>
          </w:p>
        </w:tc>
        <w:tc>
          <w:tcPr>
            <w:tcW w:w="2252" w:type="pct"/>
          </w:tcPr>
          <w:p w14:paraId="34811D75" w14:textId="77777777" w:rsidR="00247AD2" w:rsidRDefault="00247AD2" w:rsidP="00682FFF">
            <w:pPr>
              <w:pStyle w:val="BodyText"/>
              <w:spacing w:after="57"/>
            </w:pPr>
            <w:r>
              <w:t xml:space="preserve">If there may be significant changes in the financial results during or after the previous or current reporting period, information on those changes, including: </w:t>
            </w:r>
          </w:p>
          <w:p w14:paraId="5853EC51" w14:textId="77777777" w:rsidR="00247AD2" w:rsidRDefault="00247AD2" w:rsidP="00C5543A">
            <w:pPr>
              <w:pStyle w:val="ListBullet"/>
            </w:pPr>
            <w:r>
              <w:t>the cause of any operating loss of the entity</w:t>
            </w:r>
          </w:p>
          <w:p w14:paraId="269DBEF6" w14:textId="77777777" w:rsidR="00247AD2" w:rsidRDefault="00247AD2" w:rsidP="00C5543A">
            <w:pPr>
              <w:pStyle w:val="ListBullet"/>
              <w:rPr>
                <w:spacing w:val="-2"/>
              </w:rPr>
            </w:pPr>
            <w:r>
              <w:rPr>
                <w:spacing w:val="-2"/>
              </w:rPr>
              <w:t>how the entity has responded to the loss and the actions that have been taken in relation to the loss</w:t>
            </w:r>
          </w:p>
          <w:p w14:paraId="0CB3AD8D" w14:textId="77777777" w:rsidR="00247AD2" w:rsidRDefault="00247AD2" w:rsidP="00C5543A">
            <w:pPr>
              <w:pStyle w:val="ListBullet"/>
            </w:pPr>
            <w:r>
              <w:t>any matter or circumstances that it can reasonably be anticipated will have a significant impact on the entity’s future operation or financial results.</w:t>
            </w:r>
          </w:p>
        </w:tc>
        <w:tc>
          <w:tcPr>
            <w:tcW w:w="916" w:type="pct"/>
          </w:tcPr>
          <w:p w14:paraId="6415A6F4" w14:textId="77777777" w:rsidR="00247AD2" w:rsidRDefault="00247AD2" w:rsidP="00682FFF">
            <w:pPr>
              <w:pStyle w:val="BodyText"/>
            </w:pPr>
            <w:r>
              <w:t>If applicable, mandatory.</w:t>
            </w:r>
          </w:p>
        </w:tc>
        <w:tc>
          <w:tcPr>
            <w:tcW w:w="878" w:type="pct"/>
          </w:tcPr>
          <w:p w14:paraId="2DB2C957" w14:textId="77777777" w:rsidR="00247AD2" w:rsidRDefault="00247AD2" w:rsidP="00682FFF">
            <w:pPr>
              <w:pStyle w:val="BodyText"/>
              <w:jc w:val="right"/>
            </w:pPr>
            <w:r>
              <w:t>Not applicable</w:t>
            </w:r>
          </w:p>
        </w:tc>
      </w:tr>
      <w:tr w:rsidR="00247AD2" w14:paraId="614EDF15" w14:textId="77777777" w:rsidTr="006A0585">
        <w:trPr>
          <w:trHeight w:val="396"/>
        </w:trPr>
        <w:tc>
          <w:tcPr>
            <w:tcW w:w="954" w:type="pct"/>
          </w:tcPr>
          <w:p w14:paraId="200245D9" w14:textId="77777777" w:rsidR="00247AD2" w:rsidRDefault="00247AD2" w:rsidP="00682FFF">
            <w:pPr>
              <w:pStyle w:val="BodyText"/>
            </w:pPr>
            <w:r>
              <w:rPr>
                <w:rStyle w:val="Bold"/>
              </w:rPr>
              <w:t>17AD(d)</w:t>
            </w:r>
          </w:p>
        </w:tc>
        <w:tc>
          <w:tcPr>
            <w:tcW w:w="2252" w:type="pct"/>
          </w:tcPr>
          <w:p w14:paraId="123E6BA1" w14:textId="77777777" w:rsidR="00247AD2" w:rsidRDefault="00247AD2" w:rsidP="00682FFF">
            <w:pPr>
              <w:pStyle w:val="BodyText"/>
            </w:pPr>
            <w:r>
              <w:rPr>
                <w:rStyle w:val="Bold"/>
              </w:rPr>
              <w:t>Management and Accountability</w:t>
            </w:r>
          </w:p>
        </w:tc>
        <w:tc>
          <w:tcPr>
            <w:tcW w:w="916" w:type="pct"/>
          </w:tcPr>
          <w:p w14:paraId="7FB3B223"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878" w:type="pct"/>
          </w:tcPr>
          <w:p w14:paraId="2BC5E0D4"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6121E96B" w14:textId="77777777" w:rsidTr="006A0585">
        <w:trPr>
          <w:trHeight w:val="396"/>
        </w:trPr>
        <w:tc>
          <w:tcPr>
            <w:tcW w:w="954" w:type="pct"/>
          </w:tcPr>
          <w:p w14:paraId="29D12011" w14:textId="77777777" w:rsidR="00247AD2" w:rsidRDefault="00247AD2" w:rsidP="00682FFF">
            <w:pPr>
              <w:pStyle w:val="BodyText"/>
            </w:pPr>
            <w:r>
              <w:rPr>
                <w:rStyle w:val="Bold"/>
              </w:rPr>
              <w:t xml:space="preserve"> </w:t>
            </w:r>
          </w:p>
        </w:tc>
        <w:tc>
          <w:tcPr>
            <w:tcW w:w="2252" w:type="pct"/>
          </w:tcPr>
          <w:p w14:paraId="56C7F42E" w14:textId="77777777" w:rsidR="00247AD2" w:rsidRDefault="00247AD2" w:rsidP="00682FFF">
            <w:pPr>
              <w:pStyle w:val="BodyText"/>
            </w:pPr>
            <w:r>
              <w:rPr>
                <w:rStyle w:val="Bold"/>
              </w:rPr>
              <w:t>Corporate Governance</w:t>
            </w:r>
          </w:p>
        </w:tc>
        <w:tc>
          <w:tcPr>
            <w:tcW w:w="916" w:type="pct"/>
          </w:tcPr>
          <w:p w14:paraId="4FEF77E7"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878" w:type="pct"/>
          </w:tcPr>
          <w:p w14:paraId="30D7C80A"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33F0490F" w14:textId="77777777" w:rsidTr="006A0585">
        <w:trPr>
          <w:trHeight w:val="396"/>
        </w:trPr>
        <w:tc>
          <w:tcPr>
            <w:tcW w:w="954" w:type="pct"/>
          </w:tcPr>
          <w:p w14:paraId="6D049A24" w14:textId="77777777" w:rsidR="00247AD2" w:rsidRDefault="00247AD2" w:rsidP="00682FFF">
            <w:pPr>
              <w:pStyle w:val="BodyText"/>
            </w:pPr>
            <w:r>
              <w:t>17AG(2)(a)</w:t>
            </w:r>
          </w:p>
        </w:tc>
        <w:tc>
          <w:tcPr>
            <w:tcW w:w="2252" w:type="pct"/>
          </w:tcPr>
          <w:p w14:paraId="649A42F9" w14:textId="77777777" w:rsidR="00247AD2" w:rsidRDefault="00247AD2" w:rsidP="00682FFF">
            <w:pPr>
              <w:pStyle w:val="BodyText"/>
            </w:pPr>
            <w:r>
              <w:t>Information on compliance with section 10 (fraud and corruption systems).</w:t>
            </w:r>
          </w:p>
        </w:tc>
        <w:tc>
          <w:tcPr>
            <w:tcW w:w="916" w:type="pct"/>
          </w:tcPr>
          <w:p w14:paraId="0D0839E1" w14:textId="77777777" w:rsidR="00247AD2" w:rsidRDefault="00247AD2" w:rsidP="00682FFF">
            <w:pPr>
              <w:pStyle w:val="BodyText"/>
            </w:pPr>
            <w:r>
              <w:t>Mandatory</w:t>
            </w:r>
          </w:p>
        </w:tc>
        <w:tc>
          <w:tcPr>
            <w:tcW w:w="878" w:type="pct"/>
          </w:tcPr>
          <w:p w14:paraId="0FA1240A" w14:textId="77777777" w:rsidR="00247AD2" w:rsidRDefault="00247AD2" w:rsidP="00682FFF">
            <w:pPr>
              <w:pStyle w:val="BodyText"/>
              <w:jc w:val="right"/>
            </w:pPr>
            <w:r>
              <w:t>114–122</w:t>
            </w:r>
          </w:p>
        </w:tc>
      </w:tr>
      <w:tr w:rsidR="00247AD2" w14:paraId="3271257F" w14:textId="77777777" w:rsidTr="006A0585">
        <w:trPr>
          <w:trHeight w:val="396"/>
        </w:trPr>
        <w:tc>
          <w:tcPr>
            <w:tcW w:w="954" w:type="pct"/>
          </w:tcPr>
          <w:p w14:paraId="242F8B7C" w14:textId="77777777" w:rsidR="00247AD2" w:rsidRDefault="00247AD2" w:rsidP="00682FFF">
            <w:pPr>
              <w:pStyle w:val="BodyText"/>
            </w:pPr>
            <w:r>
              <w:t>17AG(2)(b)(i)</w:t>
            </w:r>
          </w:p>
        </w:tc>
        <w:tc>
          <w:tcPr>
            <w:tcW w:w="2252" w:type="pct"/>
          </w:tcPr>
          <w:p w14:paraId="4F06CF04" w14:textId="77777777" w:rsidR="00247AD2" w:rsidRDefault="00247AD2" w:rsidP="00682FFF">
            <w:pPr>
              <w:pStyle w:val="BodyText"/>
            </w:pPr>
            <w:r>
              <w:t>A certification by accountable authority that fraud and corruption risk assessments and fraud and corruption control plans have been prepared.</w:t>
            </w:r>
          </w:p>
        </w:tc>
        <w:tc>
          <w:tcPr>
            <w:tcW w:w="916" w:type="pct"/>
          </w:tcPr>
          <w:p w14:paraId="5340A46B" w14:textId="77777777" w:rsidR="00247AD2" w:rsidRDefault="00247AD2" w:rsidP="00682FFF">
            <w:pPr>
              <w:pStyle w:val="BodyText"/>
            </w:pPr>
            <w:r>
              <w:t>Mandatory</w:t>
            </w:r>
          </w:p>
        </w:tc>
        <w:tc>
          <w:tcPr>
            <w:tcW w:w="878" w:type="pct"/>
          </w:tcPr>
          <w:p w14:paraId="71F08026" w14:textId="77777777" w:rsidR="00247AD2" w:rsidRDefault="00247AD2" w:rsidP="00682FFF">
            <w:pPr>
              <w:pStyle w:val="BodyText"/>
              <w:jc w:val="right"/>
            </w:pPr>
            <w:r>
              <w:t>vi</w:t>
            </w:r>
          </w:p>
        </w:tc>
      </w:tr>
      <w:tr w:rsidR="00247AD2" w14:paraId="7589F359" w14:textId="77777777" w:rsidTr="006A0585">
        <w:trPr>
          <w:trHeight w:val="396"/>
        </w:trPr>
        <w:tc>
          <w:tcPr>
            <w:tcW w:w="954" w:type="pct"/>
          </w:tcPr>
          <w:p w14:paraId="39B83DFF" w14:textId="77777777" w:rsidR="00247AD2" w:rsidRDefault="00247AD2" w:rsidP="00682FFF">
            <w:pPr>
              <w:pStyle w:val="BodyText"/>
            </w:pPr>
            <w:r>
              <w:t>17AG(2)(b)(ii)</w:t>
            </w:r>
          </w:p>
        </w:tc>
        <w:tc>
          <w:tcPr>
            <w:tcW w:w="2252" w:type="pct"/>
          </w:tcPr>
          <w:p w14:paraId="6C2F36B3" w14:textId="77777777" w:rsidR="00247AD2" w:rsidRDefault="00247AD2" w:rsidP="00682FFF">
            <w:pPr>
              <w:pStyle w:val="BodyText"/>
            </w:pPr>
            <w:r>
              <w:t>A certification by accountable authority that appropriate mechanisms for preventing, detecting incidents of, investigating or otherwise dealing with, and recording or reporting fraud and corruption that meet the specific needs of the entity are in place.</w:t>
            </w:r>
          </w:p>
        </w:tc>
        <w:tc>
          <w:tcPr>
            <w:tcW w:w="916" w:type="pct"/>
          </w:tcPr>
          <w:p w14:paraId="6A5273C6" w14:textId="77777777" w:rsidR="00247AD2" w:rsidRDefault="00247AD2" w:rsidP="00682FFF">
            <w:pPr>
              <w:pStyle w:val="BodyText"/>
            </w:pPr>
            <w:r>
              <w:t>Mandatory</w:t>
            </w:r>
          </w:p>
        </w:tc>
        <w:tc>
          <w:tcPr>
            <w:tcW w:w="878" w:type="pct"/>
          </w:tcPr>
          <w:p w14:paraId="783071C8" w14:textId="77777777" w:rsidR="00247AD2" w:rsidRDefault="00247AD2" w:rsidP="00682FFF">
            <w:pPr>
              <w:pStyle w:val="BodyText"/>
              <w:jc w:val="right"/>
            </w:pPr>
            <w:r>
              <w:t>vi</w:t>
            </w:r>
          </w:p>
        </w:tc>
      </w:tr>
      <w:tr w:rsidR="00247AD2" w14:paraId="0A9AB411" w14:textId="77777777" w:rsidTr="006A0585">
        <w:trPr>
          <w:trHeight w:val="396"/>
        </w:trPr>
        <w:tc>
          <w:tcPr>
            <w:tcW w:w="954" w:type="pct"/>
          </w:tcPr>
          <w:p w14:paraId="48499A89" w14:textId="77777777" w:rsidR="00247AD2" w:rsidRDefault="00247AD2" w:rsidP="00682FFF">
            <w:pPr>
              <w:pStyle w:val="BodyText"/>
            </w:pPr>
            <w:r>
              <w:rPr>
                <w:spacing w:val="-2"/>
              </w:rPr>
              <w:t>17AG(2)(b)(iii)</w:t>
            </w:r>
          </w:p>
        </w:tc>
        <w:tc>
          <w:tcPr>
            <w:tcW w:w="2252" w:type="pct"/>
          </w:tcPr>
          <w:p w14:paraId="4ABA67B0" w14:textId="77777777" w:rsidR="00247AD2" w:rsidRDefault="00247AD2" w:rsidP="00682FFF">
            <w:pPr>
              <w:pStyle w:val="BodyText"/>
            </w:pPr>
            <w:r>
              <w:t>A certification by accountable authority that all reasonable measures have been taken to deal appropriately with fraud and corruption relating to the entity.</w:t>
            </w:r>
          </w:p>
        </w:tc>
        <w:tc>
          <w:tcPr>
            <w:tcW w:w="916" w:type="pct"/>
          </w:tcPr>
          <w:p w14:paraId="6C28B6AF" w14:textId="77777777" w:rsidR="00247AD2" w:rsidRDefault="00247AD2" w:rsidP="00682FFF">
            <w:pPr>
              <w:pStyle w:val="BodyText"/>
            </w:pPr>
            <w:r>
              <w:t>Mandatory</w:t>
            </w:r>
          </w:p>
        </w:tc>
        <w:tc>
          <w:tcPr>
            <w:tcW w:w="878" w:type="pct"/>
          </w:tcPr>
          <w:p w14:paraId="70F5390E" w14:textId="77777777" w:rsidR="00247AD2" w:rsidRDefault="00247AD2" w:rsidP="00682FFF">
            <w:pPr>
              <w:pStyle w:val="BodyText"/>
              <w:jc w:val="right"/>
            </w:pPr>
            <w:r>
              <w:t>vi</w:t>
            </w:r>
          </w:p>
        </w:tc>
      </w:tr>
      <w:tr w:rsidR="00247AD2" w14:paraId="6948A5A0" w14:textId="77777777" w:rsidTr="006A0585">
        <w:trPr>
          <w:trHeight w:val="396"/>
        </w:trPr>
        <w:tc>
          <w:tcPr>
            <w:tcW w:w="954" w:type="pct"/>
          </w:tcPr>
          <w:p w14:paraId="6BFAABE4" w14:textId="77777777" w:rsidR="00247AD2" w:rsidRDefault="00247AD2" w:rsidP="00682FFF">
            <w:pPr>
              <w:pStyle w:val="BodyText"/>
            </w:pPr>
            <w:r>
              <w:lastRenderedPageBreak/>
              <w:t>17AG(2)(c)</w:t>
            </w:r>
          </w:p>
        </w:tc>
        <w:tc>
          <w:tcPr>
            <w:tcW w:w="2252" w:type="pct"/>
          </w:tcPr>
          <w:p w14:paraId="0AA1411E" w14:textId="77777777" w:rsidR="00247AD2" w:rsidRDefault="00247AD2" w:rsidP="00682FFF">
            <w:pPr>
              <w:pStyle w:val="BodyText"/>
            </w:pPr>
            <w:r>
              <w:t>An outline of structures and processes in place for the entity to implement principles and objectives of corporate governance.</w:t>
            </w:r>
          </w:p>
        </w:tc>
        <w:tc>
          <w:tcPr>
            <w:tcW w:w="916" w:type="pct"/>
          </w:tcPr>
          <w:p w14:paraId="674BD5F7" w14:textId="77777777" w:rsidR="00247AD2" w:rsidRDefault="00247AD2" w:rsidP="00682FFF">
            <w:pPr>
              <w:pStyle w:val="BodyText"/>
            </w:pPr>
            <w:r>
              <w:t>Mandatory</w:t>
            </w:r>
          </w:p>
        </w:tc>
        <w:tc>
          <w:tcPr>
            <w:tcW w:w="878" w:type="pct"/>
          </w:tcPr>
          <w:p w14:paraId="635C5C2A" w14:textId="77777777" w:rsidR="00247AD2" w:rsidRDefault="00247AD2" w:rsidP="00682FFF">
            <w:pPr>
              <w:pStyle w:val="BodyText"/>
              <w:jc w:val="right"/>
            </w:pPr>
            <w:r>
              <w:t>3–10</w:t>
            </w:r>
          </w:p>
        </w:tc>
      </w:tr>
      <w:tr w:rsidR="00247AD2" w14:paraId="158A4184" w14:textId="77777777" w:rsidTr="006A0585">
        <w:trPr>
          <w:trHeight w:val="396"/>
        </w:trPr>
        <w:tc>
          <w:tcPr>
            <w:tcW w:w="954" w:type="pct"/>
          </w:tcPr>
          <w:p w14:paraId="2306DA52" w14:textId="77777777" w:rsidR="00247AD2" w:rsidRDefault="00247AD2" w:rsidP="00682FFF">
            <w:pPr>
              <w:pStyle w:val="BodyText"/>
            </w:pPr>
            <w:r>
              <w:rPr>
                <w:spacing w:val="-13"/>
              </w:rPr>
              <w:t>17AG(2)(d) – (e)</w:t>
            </w:r>
          </w:p>
        </w:tc>
        <w:tc>
          <w:tcPr>
            <w:tcW w:w="2252" w:type="pct"/>
          </w:tcPr>
          <w:p w14:paraId="58F2448B" w14:textId="77777777" w:rsidR="00247AD2" w:rsidRDefault="00247AD2" w:rsidP="00682FFF">
            <w:pPr>
              <w:pStyle w:val="BodyText"/>
            </w:pPr>
            <w:r>
              <w:t>A statement of significant issues reported to Minister under paragraph 19(1)(e) of the Act that relates to non compliance with Finance law and action taken to remedy non compliance.</w:t>
            </w:r>
          </w:p>
        </w:tc>
        <w:tc>
          <w:tcPr>
            <w:tcW w:w="916" w:type="pct"/>
          </w:tcPr>
          <w:p w14:paraId="613C70A5" w14:textId="77777777" w:rsidR="00247AD2" w:rsidRDefault="00247AD2" w:rsidP="00682FFF">
            <w:pPr>
              <w:pStyle w:val="BodyText"/>
            </w:pPr>
            <w:r>
              <w:t>If applicable, mandatory</w:t>
            </w:r>
          </w:p>
        </w:tc>
        <w:tc>
          <w:tcPr>
            <w:tcW w:w="878" w:type="pct"/>
          </w:tcPr>
          <w:p w14:paraId="66BA5636" w14:textId="77777777" w:rsidR="00247AD2" w:rsidRDefault="00247AD2" w:rsidP="00682FFF">
            <w:pPr>
              <w:pStyle w:val="BodyText"/>
              <w:jc w:val="right"/>
            </w:pPr>
            <w:r>
              <w:t>159</w:t>
            </w:r>
          </w:p>
        </w:tc>
      </w:tr>
      <w:tr w:rsidR="00247AD2" w14:paraId="447BA0B4" w14:textId="77777777" w:rsidTr="006A0585">
        <w:trPr>
          <w:trHeight w:val="396"/>
        </w:trPr>
        <w:tc>
          <w:tcPr>
            <w:tcW w:w="954" w:type="pct"/>
          </w:tcPr>
          <w:p w14:paraId="74002E01"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2252" w:type="pct"/>
          </w:tcPr>
          <w:p w14:paraId="45F1E063" w14:textId="77777777" w:rsidR="00247AD2" w:rsidRDefault="00247AD2" w:rsidP="00682FFF">
            <w:pPr>
              <w:pStyle w:val="BodyText"/>
            </w:pPr>
            <w:r>
              <w:rPr>
                <w:rStyle w:val="Bold"/>
              </w:rPr>
              <w:t>Audit Committee</w:t>
            </w:r>
          </w:p>
        </w:tc>
        <w:tc>
          <w:tcPr>
            <w:tcW w:w="916" w:type="pct"/>
          </w:tcPr>
          <w:p w14:paraId="6B3A11E6"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878" w:type="pct"/>
          </w:tcPr>
          <w:p w14:paraId="2DCD9FE3"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3C177AF7" w14:textId="77777777" w:rsidTr="006A0585">
        <w:trPr>
          <w:trHeight w:val="396"/>
        </w:trPr>
        <w:tc>
          <w:tcPr>
            <w:tcW w:w="954" w:type="pct"/>
          </w:tcPr>
          <w:p w14:paraId="55D1000B" w14:textId="77777777" w:rsidR="00247AD2" w:rsidRDefault="00247AD2" w:rsidP="00682FFF">
            <w:pPr>
              <w:pStyle w:val="BodyText"/>
            </w:pPr>
            <w:r>
              <w:t>17AG(2A)(a)</w:t>
            </w:r>
          </w:p>
        </w:tc>
        <w:tc>
          <w:tcPr>
            <w:tcW w:w="2252" w:type="pct"/>
          </w:tcPr>
          <w:p w14:paraId="4DFB79FD" w14:textId="77777777" w:rsidR="00247AD2" w:rsidRDefault="00247AD2" w:rsidP="00682FFF">
            <w:pPr>
              <w:pStyle w:val="BodyText"/>
            </w:pPr>
            <w:r>
              <w:t>A direct electronic address of the charter determining the functions of the entity’s audit committee.</w:t>
            </w:r>
          </w:p>
        </w:tc>
        <w:tc>
          <w:tcPr>
            <w:tcW w:w="916" w:type="pct"/>
          </w:tcPr>
          <w:p w14:paraId="4383D080" w14:textId="77777777" w:rsidR="00247AD2" w:rsidRDefault="00247AD2" w:rsidP="00682FFF">
            <w:pPr>
              <w:pStyle w:val="BodyText"/>
            </w:pPr>
            <w:r>
              <w:t>Mandatory</w:t>
            </w:r>
          </w:p>
        </w:tc>
        <w:tc>
          <w:tcPr>
            <w:tcW w:w="878" w:type="pct"/>
          </w:tcPr>
          <w:p w14:paraId="32E2A66D" w14:textId="77777777" w:rsidR="00247AD2" w:rsidRDefault="00247AD2" w:rsidP="00682FFF">
            <w:pPr>
              <w:pStyle w:val="BodyText"/>
              <w:jc w:val="right"/>
            </w:pPr>
            <w:r>
              <w:t>7</w:t>
            </w:r>
          </w:p>
        </w:tc>
      </w:tr>
      <w:tr w:rsidR="00247AD2" w14:paraId="1C2D95A7" w14:textId="77777777" w:rsidTr="006A0585">
        <w:trPr>
          <w:trHeight w:val="396"/>
        </w:trPr>
        <w:tc>
          <w:tcPr>
            <w:tcW w:w="954" w:type="pct"/>
          </w:tcPr>
          <w:p w14:paraId="6BD527A0" w14:textId="77777777" w:rsidR="00247AD2" w:rsidRDefault="00247AD2" w:rsidP="00682FFF">
            <w:pPr>
              <w:pStyle w:val="BodyText"/>
            </w:pPr>
            <w:r>
              <w:t>17AG(2A)(b)</w:t>
            </w:r>
          </w:p>
        </w:tc>
        <w:tc>
          <w:tcPr>
            <w:tcW w:w="2252" w:type="pct"/>
          </w:tcPr>
          <w:p w14:paraId="6B5E136B" w14:textId="77777777" w:rsidR="00247AD2" w:rsidRDefault="00247AD2" w:rsidP="00682FFF">
            <w:pPr>
              <w:pStyle w:val="BodyText"/>
            </w:pPr>
            <w:r>
              <w:t>The name of each member of the entity’s audit committee.</w:t>
            </w:r>
          </w:p>
        </w:tc>
        <w:tc>
          <w:tcPr>
            <w:tcW w:w="916" w:type="pct"/>
          </w:tcPr>
          <w:p w14:paraId="131BD819" w14:textId="77777777" w:rsidR="00247AD2" w:rsidRDefault="00247AD2" w:rsidP="00682FFF">
            <w:pPr>
              <w:pStyle w:val="BodyText"/>
            </w:pPr>
            <w:r>
              <w:t>Mandatory</w:t>
            </w:r>
          </w:p>
        </w:tc>
        <w:tc>
          <w:tcPr>
            <w:tcW w:w="878" w:type="pct"/>
          </w:tcPr>
          <w:p w14:paraId="2E3E0409" w14:textId="77777777" w:rsidR="00247AD2" w:rsidRDefault="00247AD2" w:rsidP="00682FFF">
            <w:pPr>
              <w:pStyle w:val="BodyText"/>
              <w:jc w:val="right"/>
            </w:pPr>
            <w:r>
              <w:t>8–10</w:t>
            </w:r>
          </w:p>
        </w:tc>
      </w:tr>
      <w:tr w:rsidR="00247AD2" w14:paraId="464D54BA" w14:textId="77777777" w:rsidTr="006A0585">
        <w:trPr>
          <w:trHeight w:val="396"/>
        </w:trPr>
        <w:tc>
          <w:tcPr>
            <w:tcW w:w="954" w:type="pct"/>
          </w:tcPr>
          <w:p w14:paraId="1BD2ECFB" w14:textId="77777777" w:rsidR="00247AD2" w:rsidRDefault="00247AD2" w:rsidP="00682FFF">
            <w:pPr>
              <w:pStyle w:val="BodyText"/>
            </w:pPr>
            <w:r>
              <w:t>17AG(2A)(c)</w:t>
            </w:r>
          </w:p>
        </w:tc>
        <w:tc>
          <w:tcPr>
            <w:tcW w:w="2252" w:type="pct"/>
          </w:tcPr>
          <w:p w14:paraId="05DA0D56" w14:textId="77777777" w:rsidR="00247AD2" w:rsidRDefault="00247AD2" w:rsidP="00682FFF">
            <w:pPr>
              <w:pStyle w:val="BodyText"/>
            </w:pPr>
            <w:r>
              <w:t>The qualifications, knowledge, skills or experience of each member of the entity’s audit committee.</w:t>
            </w:r>
          </w:p>
        </w:tc>
        <w:tc>
          <w:tcPr>
            <w:tcW w:w="916" w:type="pct"/>
          </w:tcPr>
          <w:p w14:paraId="193E5FE8" w14:textId="77777777" w:rsidR="00247AD2" w:rsidRDefault="00247AD2" w:rsidP="00682FFF">
            <w:pPr>
              <w:pStyle w:val="BodyText"/>
            </w:pPr>
            <w:r>
              <w:t>Mandatory</w:t>
            </w:r>
          </w:p>
        </w:tc>
        <w:tc>
          <w:tcPr>
            <w:tcW w:w="878" w:type="pct"/>
          </w:tcPr>
          <w:p w14:paraId="08F1FB96" w14:textId="77777777" w:rsidR="00247AD2" w:rsidRDefault="00247AD2" w:rsidP="00682FFF">
            <w:pPr>
              <w:pStyle w:val="BodyText"/>
              <w:jc w:val="right"/>
            </w:pPr>
            <w:r>
              <w:t>8–10</w:t>
            </w:r>
          </w:p>
        </w:tc>
      </w:tr>
      <w:tr w:rsidR="00247AD2" w14:paraId="4FE626B5" w14:textId="77777777" w:rsidTr="006A0585">
        <w:trPr>
          <w:trHeight w:val="396"/>
        </w:trPr>
        <w:tc>
          <w:tcPr>
            <w:tcW w:w="954" w:type="pct"/>
          </w:tcPr>
          <w:p w14:paraId="1FB835FE" w14:textId="77777777" w:rsidR="00247AD2" w:rsidRDefault="00247AD2" w:rsidP="00682FFF">
            <w:pPr>
              <w:pStyle w:val="BodyText"/>
            </w:pPr>
            <w:r>
              <w:t>17AG(2A)(d)</w:t>
            </w:r>
          </w:p>
        </w:tc>
        <w:tc>
          <w:tcPr>
            <w:tcW w:w="2252" w:type="pct"/>
          </w:tcPr>
          <w:p w14:paraId="78FC239E" w14:textId="77777777" w:rsidR="00247AD2" w:rsidRDefault="00247AD2" w:rsidP="00682FFF">
            <w:pPr>
              <w:pStyle w:val="BodyText"/>
            </w:pPr>
            <w:r>
              <w:t>Information about the attendance of each member of the entity’s audit committee at committee meetings.</w:t>
            </w:r>
          </w:p>
        </w:tc>
        <w:tc>
          <w:tcPr>
            <w:tcW w:w="916" w:type="pct"/>
          </w:tcPr>
          <w:p w14:paraId="7BEF5623" w14:textId="77777777" w:rsidR="00247AD2" w:rsidRDefault="00247AD2" w:rsidP="00682FFF">
            <w:pPr>
              <w:pStyle w:val="BodyText"/>
            </w:pPr>
            <w:r>
              <w:t>Mandatory</w:t>
            </w:r>
          </w:p>
        </w:tc>
        <w:tc>
          <w:tcPr>
            <w:tcW w:w="878" w:type="pct"/>
          </w:tcPr>
          <w:p w14:paraId="27C872BB" w14:textId="77777777" w:rsidR="00247AD2" w:rsidRDefault="00247AD2" w:rsidP="00682FFF">
            <w:pPr>
              <w:pStyle w:val="BodyText"/>
              <w:jc w:val="right"/>
            </w:pPr>
            <w:r>
              <w:t>8–10</w:t>
            </w:r>
          </w:p>
        </w:tc>
      </w:tr>
      <w:tr w:rsidR="00247AD2" w14:paraId="035D5919" w14:textId="77777777" w:rsidTr="006A0585">
        <w:trPr>
          <w:trHeight w:val="396"/>
        </w:trPr>
        <w:tc>
          <w:tcPr>
            <w:tcW w:w="954" w:type="pct"/>
          </w:tcPr>
          <w:p w14:paraId="4B67BF20" w14:textId="77777777" w:rsidR="00247AD2" w:rsidRDefault="00247AD2" w:rsidP="00682FFF">
            <w:pPr>
              <w:pStyle w:val="BodyText"/>
            </w:pPr>
            <w:r>
              <w:t>17AG(2A)(e)</w:t>
            </w:r>
          </w:p>
        </w:tc>
        <w:tc>
          <w:tcPr>
            <w:tcW w:w="2252" w:type="pct"/>
          </w:tcPr>
          <w:p w14:paraId="661C1281" w14:textId="77777777" w:rsidR="00247AD2" w:rsidRDefault="00247AD2" w:rsidP="00682FFF">
            <w:pPr>
              <w:pStyle w:val="BodyText"/>
            </w:pPr>
            <w:r>
              <w:t>The remuneration of each member of the entity’s audit committee.</w:t>
            </w:r>
          </w:p>
        </w:tc>
        <w:tc>
          <w:tcPr>
            <w:tcW w:w="916" w:type="pct"/>
          </w:tcPr>
          <w:p w14:paraId="5DFEBD92" w14:textId="77777777" w:rsidR="00247AD2" w:rsidRDefault="00247AD2" w:rsidP="00682FFF">
            <w:pPr>
              <w:pStyle w:val="BodyText"/>
            </w:pPr>
            <w:r>
              <w:t>Mandatory</w:t>
            </w:r>
          </w:p>
        </w:tc>
        <w:tc>
          <w:tcPr>
            <w:tcW w:w="878" w:type="pct"/>
          </w:tcPr>
          <w:p w14:paraId="10BB7AA9" w14:textId="77777777" w:rsidR="00247AD2" w:rsidRDefault="00247AD2" w:rsidP="00682FFF">
            <w:pPr>
              <w:pStyle w:val="BodyText"/>
              <w:jc w:val="right"/>
            </w:pPr>
            <w:r>
              <w:t>8–10</w:t>
            </w:r>
          </w:p>
        </w:tc>
      </w:tr>
      <w:tr w:rsidR="00247AD2" w14:paraId="67CFC82C" w14:textId="77777777" w:rsidTr="006A0585">
        <w:trPr>
          <w:trHeight w:val="396"/>
        </w:trPr>
        <w:tc>
          <w:tcPr>
            <w:tcW w:w="954" w:type="pct"/>
          </w:tcPr>
          <w:p w14:paraId="2F2FD44C" w14:textId="77777777" w:rsidR="00247AD2" w:rsidRDefault="00247AD2" w:rsidP="00682FFF">
            <w:pPr>
              <w:pStyle w:val="BodyText"/>
            </w:pPr>
            <w:r>
              <w:rPr>
                <w:rStyle w:val="Bold"/>
              </w:rPr>
              <w:t xml:space="preserve"> </w:t>
            </w:r>
          </w:p>
        </w:tc>
        <w:tc>
          <w:tcPr>
            <w:tcW w:w="2252" w:type="pct"/>
          </w:tcPr>
          <w:p w14:paraId="58F034A2" w14:textId="77777777" w:rsidR="00247AD2" w:rsidRDefault="00247AD2" w:rsidP="00682FFF">
            <w:pPr>
              <w:pStyle w:val="BodyText"/>
            </w:pPr>
            <w:r>
              <w:rPr>
                <w:rStyle w:val="Bold"/>
              </w:rPr>
              <w:t>External Scrutiny</w:t>
            </w:r>
          </w:p>
        </w:tc>
        <w:tc>
          <w:tcPr>
            <w:tcW w:w="916" w:type="pct"/>
          </w:tcPr>
          <w:p w14:paraId="12202091"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878" w:type="pct"/>
          </w:tcPr>
          <w:p w14:paraId="758E1BDC"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02EE2DA3" w14:textId="77777777" w:rsidTr="006A0585">
        <w:trPr>
          <w:trHeight w:val="396"/>
        </w:trPr>
        <w:tc>
          <w:tcPr>
            <w:tcW w:w="954" w:type="pct"/>
          </w:tcPr>
          <w:p w14:paraId="293F2690" w14:textId="77777777" w:rsidR="00247AD2" w:rsidRDefault="00247AD2" w:rsidP="00682FFF">
            <w:pPr>
              <w:pStyle w:val="BodyText"/>
            </w:pPr>
            <w:r>
              <w:t>17AG(3)</w:t>
            </w:r>
          </w:p>
        </w:tc>
        <w:tc>
          <w:tcPr>
            <w:tcW w:w="2252" w:type="pct"/>
          </w:tcPr>
          <w:p w14:paraId="76B72F56" w14:textId="77777777" w:rsidR="00247AD2" w:rsidRDefault="00247AD2" w:rsidP="00682FFF">
            <w:pPr>
              <w:pStyle w:val="BodyText"/>
            </w:pPr>
            <w:r>
              <w:t>Information on the most significant developments in external scrutiny and the entity’s response to the scrutiny.</w:t>
            </w:r>
          </w:p>
        </w:tc>
        <w:tc>
          <w:tcPr>
            <w:tcW w:w="916" w:type="pct"/>
          </w:tcPr>
          <w:p w14:paraId="6C9FEBF4" w14:textId="77777777" w:rsidR="00247AD2" w:rsidRDefault="00247AD2" w:rsidP="00682FFF">
            <w:pPr>
              <w:pStyle w:val="BodyText"/>
            </w:pPr>
            <w:r>
              <w:t>Mandatory</w:t>
            </w:r>
          </w:p>
        </w:tc>
        <w:tc>
          <w:tcPr>
            <w:tcW w:w="878" w:type="pct"/>
          </w:tcPr>
          <w:p w14:paraId="4E2BD744" w14:textId="77777777" w:rsidR="00247AD2" w:rsidRDefault="00247AD2" w:rsidP="00682FFF">
            <w:pPr>
              <w:pStyle w:val="BodyText"/>
              <w:jc w:val="right"/>
            </w:pPr>
            <w:r>
              <w:t>126–136</w:t>
            </w:r>
          </w:p>
        </w:tc>
      </w:tr>
      <w:tr w:rsidR="00247AD2" w14:paraId="02AD8FCE" w14:textId="77777777" w:rsidTr="006A0585">
        <w:trPr>
          <w:trHeight w:val="396"/>
        </w:trPr>
        <w:tc>
          <w:tcPr>
            <w:tcW w:w="954" w:type="pct"/>
          </w:tcPr>
          <w:p w14:paraId="06598934" w14:textId="77777777" w:rsidR="00247AD2" w:rsidRDefault="00247AD2" w:rsidP="00682FFF">
            <w:pPr>
              <w:pStyle w:val="BodyText"/>
            </w:pPr>
            <w:r>
              <w:t>17AG(3)(a)</w:t>
            </w:r>
          </w:p>
        </w:tc>
        <w:tc>
          <w:tcPr>
            <w:tcW w:w="2252" w:type="pct"/>
          </w:tcPr>
          <w:p w14:paraId="33F15235" w14:textId="77777777" w:rsidR="00247AD2" w:rsidRDefault="00247AD2" w:rsidP="00682FFF">
            <w:pPr>
              <w:pStyle w:val="BodyText"/>
            </w:pPr>
            <w:r>
              <w:t>Information on judicial decisions and decisions of administrative tribunals and by the Australian Information Commissioner that may have a significant effect on the operations of the entity.</w:t>
            </w:r>
          </w:p>
        </w:tc>
        <w:tc>
          <w:tcPr>
            <w:tcW w:w="916" w:type="pct"/>
          </w:tcPr>
          <w:p w14:paraId="4BEB7C35" w14:textId="77777777" w:rsidR="00247AD2" w:rsidRDefault="00247AD2" w:rsidP="00682FFF">
            <w:pPr>
              <w:pStyle w:val="BodyText"/>
            </w:pPr>
            <w:r>
              <w:t>If applicable, mandatory</w:t>
            </w:r>
          </w:p>
        </w:tc>
        <w:tc>
          <w:tcPr>
            <w:tcW w:w="878" w:type="pct"/>
          </w:tcPr>
          <w:p w14:paraId="2408DA5B" w14:textId="77777777" w:rsidR="00247AD2" w:rsidRDefault="00247AD2" w:rsidP="00682FFF">
            <w:pPr>
              <w:pStyle w:val="BodyText"/>
              <w:jc w:val="right"/>
            </w:pPr>
            <w:r>
              <w:t>128–129</w:t>
            </w:r>
          </w:p>
        </w:tc>
      </w:tr>
      <w:tr w:rsidR="00247AD2" w14:paraId="0B964E33" w14:textId="77777777" w:rsidTr="006A0585">
        <w:trPr>
          <w:trHeight w:val="396"/>
        </w:trPr>
        <w:tc>
          <w:tcPr>
            <w:tcW w:w="954" w:type="pct"/>
          </w:tcPr>
          <w:p w14:paraId="577294E5" w14:textId="77777777" w:rsidR="00247AD2" w:rsidRDefault="00247AD2" w:rsidP="00682FFF">
            <w:pPr>
              <w:pStyle w:val="BodyText"/>
            </w:pPr>
            <w:r>
              <w:t>17AG(3)(b)</w:t>
            </w:r>
          </w:p>
        </w:tc>
        <w:tc>
          <w:tcPr>
            <w:tcW w:w="2252" w:type="pct"/>
          </w:tcPr>
          <w:p w14:paraId="61C704D6" w14:textId="77777777" w:rsidR="00247AD2" w:rsidRDefault="00247AD2" w:rsidP="00682FFF">
            <w:pPr>
              <w:pStyle w:val="BodyText"/>
            </w:pPr>
            <w:r>
              <w:t xml:space="preserve">Information on any reports on operations of the entity by the Auditor General (other than report under section 43 of the Act), a </w:t>
            </w:r>
            <w:r>
              <w:lastRenderedPageBreak/>
              <w:t>Parliamentary Committee, or the Commonwealth Ombudsman.</w:t>
            </w:r>
          </w:p>
        </w:tc>
        <w:tc>
          <w:tcPr>
            <w:tcW w:w="916" w:type="pct"/>
          </w:tcPr>
          <w:p w14:paraId="2B1168F3" w14:textId="77777777" w:rsidR="00247AD2" w:rsidRDefault="00247AD2" w:rsidP="00682FFF">
            <w:pPr>
              <w:pStyle w:val="BodyText"/>
            </w:pPr>
            <w:r>
              <w:lastRenderedPageBreak/>
              <w:t>If applicable, mandatory</w:t>
            </w:r>
          </w:p>
        </w:tc>
        <w:tc>
          <w:tcPr>
            <w:tcW w:w="878" w:type="pct"/>
          </w:tcPr>
          <w:p w14:paraId="55F3F8A2" w14:textId="77777777" w:rsidR="00247AD2" w:rsidRDefault="00247AD2" w:rsidP="00682FFF">
            <w:pPr>
              <w:pStyle w:val="BodyText"/>
              <w:jc w:val="right"/>
            </w:pPr>
            <w:r>
              <w:t>131</w:t>
            </w:r>
          </w:p>
        </w:tc>
      </w:tr>
      <w:tr w:rsidR="00247AD2" w14:paraId="0D036F05" w14:textId="77777777" w:rsidTr="006A0585">
        <w:trPr>
          <w:trHeight w:val="396"/>
        </w:trPr>
        <w:tc>
          <w:tcPr>
            <w:tcW w:w="954" w:type="pct"/>
          </w:tcPr>
          <w:p w14:paraId="2042AADC" w14:textId="77777777" w:rsidR="00247AD2" w:rsidRDefault="00247AD2" w:rsidP="00682FFF">
            <w:pPr>
              <w:pStyle w:val="BodyText"/>
            </w:pPr>
            <w:r>
              <w:t>17AG(3)(c)</w:t>
            </w:r>
          </w:p>
        </w:tc>
        <w:tc>
          <w:tcPr>
            <w:tcW w:w="2252" w:type="pct"/>
          </w:tcPr>
          <w:p w14:paraId="38A17378" w14:textId="77777777" w:rsidR="00247AD2" w:rsidRDefault="00247AD2" w:rsidP="00682FFF">
            <w:pPr>
              <w:pStyle w:val="BodyText"/>
            </w:pPr>
            <w:r>
              <w:t>Information on any capability reviews on the entity that were released during the period.</w:t>
            </w:r>
          </w:p>
        </w:tc>
        <w:tc>
          <w:tcPr>
            <w:tcW w:w="916" w:type="pct"/>
          </w:tcPr>
          <w:p w14:paraId="24D78941" w14:textId="77777777" w:rsidR="00247AD2" w:rsidRDefault="00247AD2" w:rsidP="00682FFF">
            <w:pPr>
              <w:pStyle w:val="BodyText"/>
            </w:pPr>
            <w:r>
              <w:t>If applicable, mandatory</w:t>
            </w:r>
          </w:p>
        </w:tc>
        <w:tc>
          <w:tcPr>
            <w:tcW w:w="878" w:type="pct"/>
          </w:tcPr>
          <w:p w14:paraId="7BB9411A" w14:textId="77777777" w:rsidR="00247AD2" w:rsidRDefault="00247AD2" w:rsidP="00682FFF">
            <w:pPr>
              <w:pStyle w:val="BodyText"/>
              <w:jc w:val="right"/>
            </w:pPr>
            <w:r>
              <w:t>133</w:t>
            </w:r>
          </w:p>
        </w:tc>
      </w:tr>
      <w:tr w:rsidR="00247AD2" w14:paraId="5E5A3A07" w14:textId="77777777" w:rsidTr="006A0585">
        <w:trPr>
          <w:trHeight w:val="396"/>
        </w:trPr>
        <w:tc>
          <w:tcPr>
            <w:tcW w:w="954" w:type="pct"/>
          </w:tcPr>
          <w:p w14:paraId="57C6CDEF" w14:textId="77777777" w:rsidR="00247AD2" w:rsidRDefault="00247AD2" w:rsidP="00682FFF">
            <w:pPr>
              <w:pStyle w:val="BodyText"/>
            </w:pPr>
            <w:r>
              <w:rPr>
                <w:rStyle w:val="Bold"/>
              </w:rPr>
              <w:t xml:space="preserve"> </w:t>
            </w:r>
          </w:p>
        </w:tc>
        <w:tc>
          <w:tcPr>
            <w:tcW w:w="2252" w:type="pct"/>
          </w:tcPr>
          <w:p w14:paraId="00D72FBB" w14:textId="77777777" w:rsidR="00247AD2" w:rsidRDefault="00247AD2" w:rsidP="00682FFF">
            <w:pPr>
              <w:pStyle w:val="BodyText"/>
            </w:pPr>
            <w:r>
              <w:rPr>
                <w:rStyle w:val="Bold"/>
              </w:rPr>
              <w:t>Management of Human Resources</w:t>
            </w:r>
          </w:p>
        </w:tc>
        <w:tc>
          <w:tcPr>
            <w:tcW w:w="916" w:type="pct"/>
          </w:tcPr>
          <w:p w14:paraId="5A4ECD9B"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878" w:type="pct"/>
          </w:tcPr>
          <w:p w14:paraId="1C32A7C0"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0F17046C" w14:textId="77777777" w:rsidTr="006A0585">
        <w:trPr>
          <w:trHeight w:val="396"/>
        </w:trPr>
        <w:tc>
          <w:tcPr>
            <w:tcW w:w="954" w:type="pct"/>
          </w:tcPr>
          <w:p w14:paraId="4671111C" w14:textId="77777777" w:rsidR="00247AD2" w:rsidRDefault="00247AD2" w:rsidP="00682FFF">
            <w:pPr>
              <w:pStyle w:val="BodyText"/>
            </w:pPr>
            <w:r>
              <w:t>17AG(4)(a)</w:t>
            </w:r>
          </w:p>
        </w:tc>
        <w:tc>
          <w:tcPr>
            <w:tcW w:w="2252" w:type="pct"/>
          </w:tcPr>
          <w:p w14:paraId="7AAA2E98" w14:textId="77777777" w:rsidR="00247AD2" w:rsidRDefault="00247AD2" w:rsidP="00682FFF">
            <w:pPr>
              <w:pStyle w:val="BodyText"/>
            </w:pPr>
            <w:r>
              <w:t>An assessment of the entity’s effectiveness in managing and developing employees to achieve entity objectives.</w:t>
            </w:r>
          </w:p>
        </w:tc>
        <w:tc>
          <w:tcPr>
            <w:tcW w:w="916" w:type="pct"/>
          </w:tcPr>
          <w:p w14:paraId="6DCA6BBC" w14:textId="77777777" w:rsidR="00247AD2" w:rsidRDefault="00247AD2" w:rsidP="00682FFF">
            <w:pPr>
              <w:pStyle w:val="BodyText"/>
            </w:pPr>
            <w:r>
              <w:t>Mandatory</w:t>
            </w:r>
          </w:p>
        </w:tc>
        <w:tc>
          <w:tcPr>
            <w:tcW w:w="878" w:type="pct"/>
          </w:tcPr>
          <w:p w14:paraId="09940881" w14:textId="77777777" w:rsidR="00247AD2" w:rsidRDefault="00247AD2" w:rsidP="00682FFF">
            <w:pPr>
              <w:pStyle w:val="BodyText"/>
              <w:jc w:val="right"/>
            </w:pPr>
            <w:r>
              <w:t>140–155</w:t>
            </w:r>
          </w:p>
        </w:tc>
      </w:tr>
      <w:tr w:rsidR="00247AD2" w14:paraId="425CF691" w14:textId="77777777" w:rsidTr="006A0585">
        <w:trPr>
          <w:trHeight w:val="396"/>
        </w:trPr>
        <w:tc>
          <w:tcPr>
            <w:tcW w:w="954" w:type="pct"/>
          </w:tcPr>
          <w:p w14:paraId="0111689F" w14:textId="77777777" w:rsidR="00247AD2" w:rsidRDefault="00247AD2" w:rsidP="00682FFF">
            <w:pPr>
              <w:pStyle w:val="BodyText"/>
            </w:pPr>
            <w:r>
              <w:t>17AG(4)(aa)</w:t>
            </w:r>
          </w:p>
        </w:tc>
        <w:tc>
          <w:tcPr>
            <w:tcW w:w="2252" w:type="pct"/>
          </w:tcPr>
          <w:p w14:paraId="13E756E2" w14:textId="77777777" w:rsidR="00247AD2" w:rsidRDefault="00247AD2" w:rsidP="00682FFF">
            <w:pPr>
              <w:pStyle w:val="BodyText"/>
              <w:spacing w:after="57"/>
            </w:pPr>
            <w:r>
              <w:t>Statistics on the entity’s employees on an ongoing and non ongoing basis, including the following:</w:t>
            </w:r>
          </w:p>
          <w:p w14:paraId="2CFCDBA5" w14:textId="77777777" w:rsidR="00247AD2" w:rsidRDefault="00247AD2" w:rsidP="00682FFF">
            <w:pPr>
              <w:pStyle w:val="BodyText"/>
              <w:spacing w:after="57"/>
              <w:ind w:left="283" w:hanging="283"/>
            </w:pPr>
            <w:r>
              <w:t>(a) statistics on full time employees</w:t>
            </w:r>
          </w:p>
          <w:p w14:paraId="7B83091D" w14:textId="77777777" w:rsidR="00247AD2" w:rsidRDefault="00247AD2" w:rsidP="00682FFF">
            <w:pPr>
              <w:pStyle w:val="BodyText"/>
              <w:spacing w:after="57"/>
              <w:ind w:left="283" w:hanging="283"/>
            </w:pPr>
            <w:r>
              <w:t>(b) statistics on part time employees</w:t>
            </w:r>
          </w:p>
          <w:p w14:paraId="6D01A09F" w14:textId="77777777" w:rsidR="00247AD2" w:rsidRDefault="00247AD2" w:rsidP="00682FFF">
            <w:pPr>
              <w:pStyle w:val="BodyText"/>
              <w:spacing w:after="57"/>
              <w:ind w:left="283" w:hanging="283"/>
            </w:pPr>
            <w:r>
              <w:t>(c) statistics on gender</w:t>
            </w:r>
          </w:p>
          <w:p w14:paraId="727BD863" w14:textId="77777777" w:rsidR="00247AD2" w:rsidRDefault="00247AD2" w:rsidP="00682FFF">
            <w:pPr>
              <w:pStyle w:val="BodyText"/>
              <w:spacing w:after="57"/>
              <w:ind w:left="283" w:hanging="283"/>
            </w:pPr>
            <w:r>
              <w:t>(d) statistics on staff location.</w:t>
            </w:r>
          </w:p>
        </w:tc>
        <w:tc>
          <w:tcPr>
            <w:tcW w:w="916" w:type="pct"/>
          </w:tcPr>
          <w:p w14:paraId="14294C12" w14:textId="77777777" w:rsidR="00247AD2" w:rsidRDefault="00247AD2" w:rsidP="00682FFF">
            <w:pPr>
              <w:pStyle w:val="BodyText"/>
            </w:pPr>
            <w:r>
              <w:t>Mandatory</w:t>
            </w:r>
          </w:p>
        </w:tc>
        <w:tc>
          <w:tcPr>
            <w:tcW w:w="878" w:type="pct"/>
          </w:tcPr>
          <w:p w14:paraId="0F581CFE" w14:textId="77777777" w:rsidR="00247AD2" w:rsidRDefault="00247AD2" w:rsidP="00682FFF">
            <w:pPr>
              <w:pStyle w:val="BodyText"/>
              <w:jc w:val="right"/>
            </w:pPr>
            <w:r>
              <w:t>224–227</w:t>
            </w:r>
          </w:p>
        </w:tc>
      </w:tr>
      <w:tr w:rsidR="00247AD2" w14:paraId="6747B22C" w14:textId="77777777" w:rsidTr="006A0585">
        <w:trPr>
          <w:trHeight w:val="396"/>
        </w:trPr>
        <w:tc>
          <w:tcPr>
            <w:tcW w:w="954" w:type="pct"/>
          </w:tcPr>
          <w:p w14:paraId="036BFEA8" w14:textId="77777777" w:rsidR="00247AD2" w:rsidRDefault="00247AD2" w:rsidP="00682FFF">
            <w:pPr>
              <w:pStyle w:val="BodyText"/>
            </w:pPr>
            <w:r>
              <w:t>17AG(4)(b)</w:t>
            </w:r>
          </w:p>
        </w:tc>
        <w:tc>
          <w:tcPr>
            <w:tcW w:w="2252" w:type="pct"/>
          </w:tcPr>
          <w:p w14:paraId="61152EAC" w14:textId="77777777" w:rsidR="00247AD2" w:rsidRDefault="00247AD2" w:rsidP="00682FFF">
            <w:pPr>
              <w:pStyle w:val="BodyText"/>
              <w:spacing w:after="57"/>
            </w:pPr>
            <w:r>
              <w:t>Statistics on the entity’s APS employees on an ongoing and non ongoing basis; including the following:</w:t>
            </w:r>
          </w:p>
          <w:p w14:paraId="04AC6CCE" w14:textId="77777777" w:rsidR="00247AD2" w:rsidRDefault="00247AD2" w:rsidP="00C5543A">
            <w:pPr>
              <w:pStyle w:val="ListBullet"/>
            </w:pPr>
            <w:r>
              <w:t>Statistics on staffing classification level</w:t>
            </w:r>
          </w:p>
          <w:p w14:paraId="65D6D906" w14:textId="77777777" w:rsidR="00247AD2" w:rsidRDefault="00247AD2" w:rsidP="00C5543A">
            <w:pPr>
              <w:pStyle w:val="ListBullet"/>
            </w:pPr>
            <w:r>
              <w:t>Statistics on full time employees</w:t>
            </w:r>
          </w:p>
          <w:p w14:paraId="7E50B23D" w14:textId="77777777" w:rsidR="00247AD2" w:rsidRDefault="00247AD2" w:rsidP="00C5543A">
            <w:pPr>
              <w:pStyle w:val="ListBullet"/>
              <w:rPr>
                <w:spacing w:val="-2"/>
              </w:rPr>
            </w:pPr>
            <w:r>
              <w:rPr>
                <w:spacing w:val="-2"/>
              </w:rPr>
              <w:t>Statistics on part time employees</w:t>
            </w:r>
          </w:p>
          <w:p w14:paraId="78D2C00C" w14:textId="77777777" w:rsidR="00247AD2" w:rsidRDefault="00247AD2" w:rsidP="00C5543A">
            <w:pPr>
              <w:pStyle w:val="ListBullet"/>
            </w:pPr>
            <w:r>
              <w:t>Statistics on gender</w:t>
            </w:r>
          </w:p>
          <w:p w14:paraId="481E9028" w14:textId="77777777" w:rsidR="00247AD2" w:rsidRDefault="00247AD2" w:rsidP="00C5543A">
            <w:pPr>
              <w:pStyle w:val="ListBullet"/>
            </w:pPr>
            <w:r>
              <w:t>Statistics on staff location</w:t>
            </w:r>
          </w:p>
          <w:p w14:paraId="578D3BDA" w14:textId="77777777" w:rsidR="00247AD2" w:rsidRDefault="00247AD2" w:rsidP="00C5543A">
            <w:pPr>
              <w:pStyle w:val="ListBullet"/>
            </w:pPr>
            <w:r>
              <w:t>Statistics on employees who identify as Indigenous.</w:t>
            </w:r>
          </w:p>
        </w:tc>
        <w:tc>
          <w:tcPr>
            <w:tcW w:w="916" w:type="pct"/>
          </w:tcPr>
          <w:p w14:paraId="603DF48F" w14:textId="77777777" w:rsidR="00247AD2" w:rsidRDefault="00247AD2" w:rsidP="00682FFF">
            <w:pPr>
              <w:pStyle w:val="BodyText"/>
            </w:pPr>
            <w:r>
              <w:t>Mandatory</w:t>
            </w:r>
          </w:p>
        </w:tc>
        <w:tc>
          <w:tcPr>
            <w:tcW w:w="878" w:type="pct"/>
          </w:tcPr>
          <w:p w14:paraId="43DBEE09" w14:textId="77777777" w:rsidR="00247AD2" w:rsidRDefault="00247AD2" w:rsidP="00682FFF">
            <w:pPr>
              <w:pStyle w:val="BodyText"/>
              <w:jc w:val="right"/>
            </w:pPr>
            <w:r>
              <w:t>228–235</w:t>
            </w:r>
          </w:p>
        </w:tc>
      </w:tr>
      <w:tr w:rsidR="00247AD2" w14:paraId="6041B39B" w14:textId="77777777" w:rsidTr="006A0585">
        <w:trPr>
          <w:trHeight w:val="396"/>
        </w:trPr>
        <w:tc>
          <w:tcPr>
            <w:tcW w:w="954" w:type="pct"/>
          </w:tcPr>
          <w:p w14:paraId="448B3932" w14:textId="77777777" w:rsidR="00247AD2" w:rsidRDefault="00247AD2" w:rsidP="00682FFF">
            <w:pPr>
              <w:pStyle w:val="BodyText"/>
            </w:pPr>
            <w:r>
              <w:t>17AG(4)(c)</w:t>
            </w:r>
          </w:p>
        </w:tc>
        <w:tc>
          <w:tcPr>
            <w:tcW w:w="2252" w:type="pct"/>
          </w:tcPr>
          <w:p w14:paraId="2C1E0CA1" w14:textId="77777777" w:rsidR="00247AD2" w:rsidRDefault="00247AD2" w:rsidP="00682FFF">
            <w:pPr>
              <w:pStyle w:val="BodyText"/>
            </w:pPr>
            <w:r>
              <w:t xml:space="preserve">Information on any enterprise agreements, individual flexibility arrangements, Australian workplace agreements, common law contracts and determinations under subsection 24(1) of the </w:t>
            </w:r>
            <w:r>
              <w:rPr>
                <w:rStyle w:val="Italic"/>
              </w:rPr>
              <w:t>Public Service Act 1999</w:t>
            </w:r>
            <w:r>
              <w:t>.</w:t>
            </w:r>
          </w:p>
        </w:tc>
        <w:tc>
          <w:tcPr>
            <w:tcW w:w="916" w:type="pct"/>
          </w:tcPr>
          <w:p w14:paraId="17D751AF" w14:textId="77777777" w:rsidR="00247AD2" w:rsidRDefault="00247AD2" w:rsidP="00682FFF">
            <w:pPr>
              <w:pStyle w:val="BodyText"/>
            </w:pPr>
            <w:r>
              <w:t>Mandatory</w:t>
            </w:r>
          </w:p>
        </w:tc>
        <w:tc>
          <w:tcPr>
            <w:tcW w:w="878" w:type="pct"/>
          </w:tcPr>
          <w:p w14:paraId="3A656E35" w14:textId="77777777" w:rsidR="00247AD2" w:rsidRDefault="00247AD2" w:rsidP="00682FFF">
            <w:pPr>
              <w:pStyle w:val="BodyText"/>
              <w:jc w:val="right"/>
            </w:pPr>
            <w:r>
              <w:t>155</w:t>
            </w:r>
          </w:p>
        </w:tc>
      </w:tr>
      <w:tr w:rsidR="00247AD2" w14:paraId="32724D11" w14:textId="77777777" w:rsidTr="006A0585">
        <w:trPr>
          <w:trHeight w:val="396"/>
        </w:trPr>
        <w:tc>
          <w:tcPr>
            <w:tcW w:w="954" w:type="pct"/>
          </w:tcPr>
          <w:p w14:paraId="53941EAB" w14:textId="77777777" w:rsidR="00247AD2" w:rsidRDefault="00247AD2" w:rsidP="00682FFF">
            <w:pPr>
              <w:pStyle w:val="BodyText"/>
            </w:pPr>
            <w:r>
              <w:t>17AG(4)(c)(i)</w:t>
            </w:r>
          </w:p>
        </w:tc>
        <w:tc>
          <w:tcPr>
            <w:tcW w:w="2252" w:type="pct"/>
          </w:tcPr>
          <w:p w14:paraId="74696C65" w14:textId="77777777" w:rsidR="00247AD2" w:rsidRDefault="00247AD2" w:rsidP="00682FFF">
            <w:pPr>
              <w:pStyle w:val="BodyText"/>
            </w:pPr>
            <w:r>
              <w:t>Information on the number of SES and non SES employees covered by agreements identified in paragraph 17AG(4)(c).</w:t>
            </w:r>
          </w:p>
        </w:tc>
        <w:tc>
          <w:tcPr>
            <w:tcW w:w="916" w:type="pct"/>
          </w:tcPr>
          <w:p w14:paraId="0B705C93" w14:textId="77777777" w:rsidR="00247AD2" w:rsidRDefault="00247AD2" w:rsidP="00682FFF">
            <w:pPr>
              <w:pStyle w:val="BodyText"/>
            </w:pPr>
            <w:r>
              <w:t>Mandatory</w:t>
            </w:r>
          </w:p>
        </w:tc>
        <w:tc>
          <w:tcPr>
            <w:tcW w:w="878" w:type="pct"/>
          </w:tcPr>
          <w:p w14:paraId="709C2CDF" w14:textId="77777777" w:rsidR="00247AD2" w:rsidRDefault="00247AD2" w:rsidP="00682FFF">
            <w:pPr>
              <w:pStyle w:val="BodyText"/>
              <w:jc w:val="right"/>
            </w:pPr>
            <w:r>
              <w:t>235–236</w:t>
            </w:r>
          </w:p>
        </w:tc>
      </w:tr>
      <w:tr w:rsidR="00247AD2" w14:paraId="0D4C5F51" w14:textId="77777777" w:rsidTr="006A0585">
        <w:trPr>
          <w:trHeight w:val="396"/>
        </w:trPr>
        <w:tc>
          <w:tcPr>
            <w:tcW w:w="954" w:type="pct"/>
          </w:tcPr>
          <w:p w14:paraId="660347EF" w14:textId="77777777" w:rsidR="00247AD2" w:rsidRDefault="00247AD2" w:rsidP="00682FFF">
            <w:pPr>
              <w:pStyle w:val="BodyText"/>
            </w:pPr>
            <w:r>
              <w:lastRenderedPageBreak/>
              <w:t>17AG(4)(c)(ii)</w:t>
            </w:r>
          </w:p>
        </w:tc>
        <w:tc>
          <w:tcPr>
            <w:tcW w:w="2252" w:type="pct"/>
          </w:tcPr>
          <w:p w14:paraId="26EB95F6" w14:textId="77777777" w:rsidR="00247AD2" w:rsidRDefault="00247AD2" w:rsidP="00682FFF">
            <w:pPr>
              <w:pStyle w:val="BodyText"/>
            </w:pPr>
            <w:r>
              <w:t>The salary ranges available for APS employees by classification level.</w:t>
            </w:r>
          </w:p>
        </w:tc>
        <w:tc>
          <w:tcPr>
            <w:tcW w:w="916" w:type="pct"/>
          </w:tcPr>
          <w:p w14:paraId="36E4B4B1" w14:textId="77777777" w:rsidR="00247AD2" w:rsidRDefault="00247AD2" w:rsidP="00682FFF">
            <w:pPr>
              <w:pStyle w:val="BodyText"/>
            </w:pPr>
            <w:r>
              <w:t>Mandatory</w:t>
            </w:r>
          </w:p>
        </w:tc>
        <w:tc>
          <w:tcPr>
            <w:tcW w:w="878" w:type="pct"/>
          </w:tcPr>
          <w:p w14:paraId="7EF4B839" w14:textId="77777777" w:rsidR="00247AD2" w:rsidRDefault="00247AD2" w:rsidP="00682FFF">
            <w:pPr>
              <w:pStyle w:val="BodyText"/>
              <w:jc w:val="right"/>
            </w:pPr>
            <w:r>
              <w:t>237</w:t>
            </w:r>
          </w:p>
        </w:tc>
      </w:tr>
      <w:tr w:rsidR="00247AD2" w14:paraId="1C88EE93" w14:textId="77777777" w:rsidTr="006A0585">
        <w:trPr>
          <w:trHeight w:val="396"/>
        </w:trPr>
        <w:tc>
          <w:tcPr>
            <w:tcW w:w="954" w:type="pct"/>
          </w:tcPr>
          <w:p w14:paraId="45F15C99" w14:textId="77777777" w:rsidR="00247AD2" w:rsidRDefault="00247AD2" w:rsidP="00682FFF">
            <w:pPr>
              <w:pStyle w:val="BodyText"/>
            </w:pPr>
            <w:r>
              <w:t>17AG(4)(c)(iii)</w:t>
            </w:r>
          </w:p>
        </w:tc>
        <w:tc>
          <w:tcPr>
            <w:tcW w:w="2252" w:type="pct"/>
          </w:tcPr>
          <w:p w14:paraId="577A3FEF" w14:textId="77777777" w:rsidR="00247AD2" w:rsidRDefault="00247AD2" w:rsidP="00682FFF">
            <w:pPr>
              <w:pStyle w:val="BodyText"/>
            </w:pPr>
            <w:r>
              <w:t>A description of non-salary benefits provided to employees.</w:t>
            </w:r>
          </w:p>
        </w:tc>
        <w:tc>
          <w:tcPr>
            <w:tcW w:w="916" w:type="pct"/>
          </w:tcPr>
          <w:p w14:paraId="07F39250" w14:textId="77777777" w:rsidR="00247AD2" w:rsidRDefault="00247AD2" w:rsidP="00682FFF">
            <w:pPr>
              <w:pStyle w:val="BodyText"/>
            </w:pPr>
            <w:r>
              <w:t>Mandatory</w:t>
            </w:r>
          </w:p>
        </w:tc>
        <w:tc>
          <w:tcPr>
            <w:tcW w:w="878" w:type="pct"/>
          </w:tcPr>
          <w:p w14:paraId="2640BC6A" w14:textId="77777777" w:rsidR="00247AD2" w:rsidRDefault="00247AD2" w:rsidP="00682FFF">
            <w:pPr>
              <w:pStyle w:val="BodyText"/>
              <w:jc w:val="right"/>
            </w:pPr>
            <w:r>
              <w:t>218–222</w:t>
            </w:r>
          </w:p>
        </w:tc>
      </w:tr>
      <w:tr w:rsidR="00247AD2" w14:paraId="666E2395" w14:textId="77777777" w:rsidTr="006A0585">
        <w:trPr>
          <w:trHeight w:val="396"/>
        </w:trPr>
        <w:tc>
          <w:tcPr>
            <w:tcW w:w="954" w:type="pct"/>
          </w:tcPr>
          <w:p w14:paraId="4C353C7E" w14:textId="77777777" w:rsidR="00247AD2" w:rsidRDefault="00247AD2" w:rsidP="00682FFF">
            <w:pPr>
              <w:pStyle w:val="BodyText"/>
            </w:pPr>
            <w:r>
              <w:t>17AG(4)(d)(i)</w:t>
            </w:r>
          </w:p>
        </w:tc>
        <w:tc>
          <w:tcPr>
            <w:tcW w:w="2252" w:type="pct"/>
          </w:tcPr>
          <w:p w14:paraId="315E855E" w14:textId="77777777" w:rsidR="00247AD2" w:rsidRDefault="00247AD2" w:rsidP="00682FFF">
            <w:pPr>
              <w:pStyle w:val="BodyText"/>
            </w:pPr>
            <w:r>
              <w:t>Information on the number of employees at each classification level who received performance pay.</w:t>
            </w:r>
          </w:p>
        </w:tc>
        <w:tc>
          <w:tcPr>
            <w:tcW w:w="916" w:type="pct"/>
          </w:tcPr>
          <w:p w14:paraId="122F2797" w14:textId="77777777" w:rsidR="00247AD2" w:rsidRDefault="00247AD2" w:rsidP="00682FFF">
            <w:pPr>
              <w:pStyle w:val="BodyText"/>
            </w:pPr>
            <w:r>
              <w:t>If applicable, mandatory</w:t>
            </w:r>
          </w:p>
        </w:tc>
        <w:tc>
          <w:tcPr>
            <w:tcW w:w="878" w:type="pct"/>
          </w:tcPr>
          <w:p w14:paraId="360E876D" w14:textId="77777777" w:rsidR="00247AD2" w:rsidRDefault="00247AD2" w:rsidP="00682FFF">
            <w:pPr>
              <w:pStyle w:val="BodyText"/>
              <w:jc w:val="right"/>
            </w:pPr>
            <w:r>
              <w:t>155</w:t>
            </w:r>
          </w:p>
        </w:tc>
      </w:tr>
      <w:tr w:rsidR="00247AD2" w14:paraId="0A9C9862" w14:textId="77777777" w:rsidTr="006A0585">
        <w:trPr>
          <w:trHeight w:val="396"/>
        </w:trPr>
        <w:tc>
          <w:tcPr>
            <w:tcW w:w="954" w:type="pct"/>
          </w:tcPr>
          <w:p w14:paraId="2A57F3CE" w14:textId="77777777" w:rsidR="00247AD2" w:rsidRDefault="00247AD2" w:rsidP="00682FFF">
            <w:pPr>
              <w:pStyle w:val="BodyText"/>
            </w:pPr>
            <w:r>
              <w:t>17AG(4)(d)(ii)</w:t>
            </w:r>
          </w:p>
        </w:tc>
        <w:tc>
          <w:tcPr>
            <w:tcW w:w="2252" w:type="pct"/>
          </w:tcPr>
          <w:p w14:paraId="0B30F62A" w14:textId="77777777" w:rsidR="00247AD2" w:rsidRDefault="00247AD2" w:rsidP="00682FFF">
            <w:pPr>
              <w:pStyle w:val="BodyText"/>
            </w:pPr>
            <w:r>
              <w:t>Information on aggregate amounts of performance pay at each classification level.</w:t>
            </w:r>
          </w:p>
        </w:tc>
        <w:tc>
          <w:tcPr>
            <w:tcW w:w="916" w:type="pct"/>
          </w:tcPr>
          <w:p w14:paraId="706051F1" w14:textId="77777777" w:rsidR="00247AD2" w:rsidRDefault="00247AD2" w:rsidP="00682FFF">
            <w:pPr>
              <w:pStyle w:val="BodyText"/>
            </w:pPr>
            <w:r>
              <w:t>If applicable, mandatory</w:t>
            </w:r>
          </w:p>
        </w:tc>
        <w:tc>
          <w:tcPr>
            <w:tcW w:w="878" w:type="pct"/>
          </w:tcPr>
          <w:p w14:paraId="3A347C98" w14:textId="77777777" w:rsidR="00247AD2" w:rsidRDefault="00247AD2" w:rsidP="00682FFF">
            <w:pPr>
              <w:pStyle w:val="BodyText"/>
              <w:jc w:val="right"/>
            </w:pPr>
            <w:r>
              <w:t>155</w:t>
            </w:r>
          </w:p>
        </w:tc>
      </w:tr>
      <w:tr w:rsidR="00247AD2" w14:paraId="20710DB7" w14:textId="77777777" w:rsidTr="006A0585">
        <w:trPr>
          <w:trHeight w:val="396"/>
        </w:trPr>
        <w:tc>
          <w:tcPr>
            <w:tcW w:w="954" w:type="pct"/>
          </w:tcPr>
          <w:p w14:paraId="348E8DD1" w14:textId="77777777" w:rsidR="00247AD2" w:rsidRDefault="00247AD2" w:rsidP="00682FFF">
            <w:pPr>
              <w:pStyle w:val="BodyText"/>
            </w:pPr>
            <w:r>
              <w:rPr>
                <w:spacing w:val="-2"/>
              </w:rPr>
              <w:t>17AG(4)(d)(iii)</w:t>
            </w:r>
          </w:p>
        </w:tc>
        <w:tc>
          <w:tcPr>
            <w:tcW w:w="2252" w:type="pct"/>
          </w:tcPr>
          <w:p w14:paraId="5BE356D4" w14:textId="77777777" w:rsidR="00247AD2" w:rsidRDefault="00247AD2" w:rsidP="00682FFF">
            <w:pPr>
              <w:pStyle w:val="BodyText"/>
            </w:pPr>
            <w:r>
              <w:t>Information on the average amount of performance payment, and range of such payments, at each classification level.</w:t>
            </w:r>
          </w:p>
        </w:tc>
        <w:tc>
          <w:tcPr>
            <w:tcW w:w="916" w:type="pct"/>
          </w:tcPr>
          <w:p w14:paraId="3B86DCEE" w14:textId="77777777" w:rsidR="00247AD2" w:rsidRDefault="00247AD2" w:rsidP="00682FFF">
            <w:pPr>
              <w:pStyle w:val="BodyText"/>
            </w:pPr>
            <w:r>
              <w:t>If applicable, mandatory</w:t>
            </w:r>
          </w:p>
        </w:tc>
        <w:tc>
          <w:tcPr>
            <w:tcW w:w="878" w:type="pct"/>
          </w:tcPr>
          <w:p w14:paraId="3FD66F1A" w14:textId="77777777" w:rsidR="00247AD2" w:rsidRDefault="00247AD2" w:rsidP="00682FFF">
            <w:pPr>
              <w:pStyle w:val="BodyText"/>
              <w:jc w:val="right"/>
            </w:pPr>
            <w:r>
              <w:t>155</w:t>
            </w:r>
          </w:p>
        </w:tc>
      </w:tr>
      <w:tr w:rsidR="00247AD2" w14:paraId="25B78D4C" w14:textId="77777777" w:rsidTr="006A0585">
        <w:trPr>
          <w:trHeight w:val="396"/>
        </w:trPr>
        <w:tc>
          <w:tcPr>
            <w:tcW w:w="954" w:type="pct"/>
          </w:tcPr>
          <w:p w14:paraId="2C27F415" w14:textId="77777777" w:rsidR="00247AD2" w:rsidRDefault="00247AD2" w:rsidP="00682FFF">
            <w:pPr>
              <w:pStyle w:val="BodyText"/>
            </w:pPr>
            <w:r>
              <w:rPr>
                <w:spacing w:val="-2"/>
              </w:rPr>
              <w:t>17AG(4)(d)(iv)</w:t>
            </w:r>
          </w:p>
        </w:tc>
        <w:tc>
          <w:tcPr>
            <w:tcW w:w="2252" w:type="pct"/>
          </w:tcPr>
          <w:p w14:paraId="13CB91DD" w14:textId="77777777" w:rsidR="00247AD2" w:rsidRDefault="00247AD2" w:rsidP="00682FFF">
            <w:pPr>
              <w:pStyle w:val="BodyText"/>
            </w:pPr>
            <w:r>
              <w:t>Information on aggregate amount of performance payments.</w:t>
            </w:r>
          </w:p>
        </w:tc>
        <w:tc>
          <w:tcPr>
            <w:tcW w:w="916" w:type="pct"/>
          </w:tcPr>
          <w:p w14:paraId="03A782A9" w14:textId="77777777" w:rsidR="00247AD2" w:rsidRDefault="00247AD2" w:rsidP="00682FFF">
            <w:pPr>
              <w:pStyle w:val="BodyText"/>
            </w:pPr>
            <w:r>
              <w:t>If applicable, mandatory</w:t>
            </w:r>
          </w:p>
        </w:tc>
        <w:tc>
          <w:tcPr>
            <w:tcW w:w="878" w:type="pct"/>
          </w:tcPr>
          <w:p w14:paraId="4C4C49C9" w14:textId="77777777" w:rsidR="00247AD2" w:rsidRDefault="00247AD2" w:rsidP="00682FFF">
            <w:pPr>
              <w:pStyle w:val="BodyText"/>
              <w:jc w:val="right"/>
            </w:pPr>
            <w:r>
              <w:t>155</w:t>
            </w:r>
          </w:p>
        </w:tc>
      </w:tr>
      <w:tr w:rsidR="00247AD2" w14:paraId="327AE068" w14:textId="77777777" w:rsidTr="006A0585">
        <w:trPr>
          <w:trHeight w:val="396"/>
        </w:trPr>
        <w:tc>
          <w:tcPr>
            <w:tcW w:w="954" w:type="pct"/>
          </w:tcPr>
          <w:p w14:paraId="0DB457F5" w14:textId="77777777" w:rsidR="00247AD2" w:rsidRDefault="00247AD2" w:rsidP="00682FFF">
            <w:pPr>
              <w:pStyle w:val="BodyText"/>
            </w:pPr>
            <w:r>
              <w:rPr>
                <w:rStyle w:val="Bold"/>
              </w:rPr>
              <w:t xml:space="preserve"> </w:t>
            </w:r>
          </w:p>
        </w:tc>
        <w:tc>
          <w:tcPr>
            <w:tcW w:w="2252" w:type="pct"/>
          </w:tcPr>
          <w:p w14:paraId="5A9F0015" w14:textId="77777777" w:rsidR="00247AD2" w:rsidRDefault="00247AD2" w:rsidP="00682FFF">
            <w:pPr>
              <w:pStyle w:val="BodyText"/>
            </w:pPr>
            <w:r>
              <w:rPr>
                <w:rStyle w:val="Bold"/>
              </w:rPr>
              <w:t>Assets Management</w:t>
            </w:r>
          </w:p>
        </w:tc>
        <w:tc>
          <w:tcPr>
            <w:tcW w:w="916" w:type="pct"/>
          </w:tcPr>
          <w:p w14:paraId="20D31AAB" w14:textId="77777777" w:rsidR="00247AD2" w:rsidRDefault="00247AD2" w:rsidP="00682FFF">
            <w:pPr>
              <w:pStyle w:val="BodyText"/>
            </w:pPr>
            <w:r>
              <w:rPr>
                <w:rStyle w:val="Bold"/>
              </w:rPr>
              <w:t xml:space="preserve"> </w:t>
            </w:r>
          </w:p>
        </w:tc>
        <w:tc>
          <w:tcPr>
            <w:tcW w:w="878" w:type="pct"/>
          </w:tcPr>
          <w:p w14:paraId="5DB2E152"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0B4F5D57" w14:textId="77777777" w:rsidTr="006A0585">
        <w:trPr>
          <w:trHeight w:val="396"/>
        </w:trPr>
        <w:tc>
          <w:tcPr>
            <w:tcW w:w="954" w:type="pct"/>
          </w:tcPr>
          <w:p w14:paraId="2EFFB28D" w14:textId="77777777" w:rsidR="00247AD2" w:rsidRDefault="00247AD2" w:rsidP="00682FFF">
            <w:pPr>
              <w:pStyle w:val="BodyText"/>
            </w:pPr>
            <w:r>
              <w:t>17AG(5)</w:t>
            </w:r>
          </w:p>
        </w:tc>
        <w:tc>
          <w:tcPr>
            <w:tcW w:w="2252" w:type="pct"/>
          </w:tcPr>
          <w:p w14:paraId="22718A9D" w14:textId="77777777" w:rsidR="00247AD2" w:rsidRDefault="00247AD2" w:rsidP="00682FFF">
            <w:pPr>
              <w:pStyle w:val="BodyText"/>
            </w:pPr>
            <w:r>
              <w:t>An assessment of effectiveness of assets management where asset management is a significant part of the entity’s activities.</w:t>
            </w:r>
          </w:p>
        </w:tc>
        <w:tc>
          <w:tcPr>
            <w:tcW w:w="916" w:type="pct"/>
          </w:tcPr>
          <w:p w14:paraId="78DF7622" w14:textId="77777777" w:rsidR="00247AD2" w:rsidRDefault="00247AD2" w:rsidP="00682FFF">
            <w:pPr>
              <w:pStyle w:val="BodyText"/>
            </w:pPr>
            <w:r>
              <w:t>If applicable, mandatory</w:t>
            </w:r>
          </w:p>
        </w:tc>
        <w:tc>
          <w:tcPr>
            <w:tcW w:w="878" w:type="pct"/>
          </w:tcPr>
          <w:p w14:paraId="2FC3F309" w14:textId="77777777" w:rsidR="00247AD2" w:rsidRDefault="00247AD2" w:rsidP="00682FFF">
            <w:pPr>
              <w:pStyle w:val="BodyText"/>
              <w:jc w:val="right"/>
            </w:pPr>
            <w:r>
              <w:t>159</w:t>
            </w:r>
          </w:p>
        </w:tc>
      </w:tr>
      <w:tr w:rsidR="00247AD2" w14:paraId="23869EBF" w14:textId="77777777" w:rsidTr="006A0585">
        <w:trPr>
          <w:trHeight w:val="396"/>
        </w:trPr>
        <w:tc>
          <w:tcPr>
            <w:tcW w:w="954" w:type="pct"/>
          </w:tcPr>
          <w:p w14:paraId="7EBC8780" w14:textId="77777777" w:rsidR="00247AD2" w:rsidRDefault="00247AD2" w:rsidP="00682FFF">
            <w:pPr>
              <w:pStyle w:val="BodyText"/>
            </w:pPr>
            <w:r>
              <w:rPr>
                <w:rStyle w:val="Bold"/>
              </w:rPr>
              <w:t xml:space="preserve"> </w:t>
            </w:r>
          </w:p>
        </w:tc>
        <w:tc>
          <w:tcPr>
            <w:tcW w:w="2252" w:type="pct"/>
          </w:tcPr>
          <w:p w14:paraId="21A742D9" w14:textId="77777777" w:rsidR="00247AD2" w:rsidRDefault="00247AD2" w:rsidP="00682FFF">
            <w:pPr>
              <w:pStyle w:val="BodyText"/>
            </w:pPr>
            <w:r>
              <w:rPr>
                <w:rStyle w:val="Bold"/>
              </w:rPr>
              <w:t>Purchasing</w:t>
            </w:r>
          </w:p>
        </w:tc>
        <w:tc>
          <w:tcPr>
            <w:tcW w:w="916" w:type="pct"/>
          </w:tcPr>
          <w:p w14:paraId="28BC305D" w14:textId="77777777" w:rsidR="00247AD2" w:rsidRDefault="00247AD2" w:rsidP="00682FFF">
            <w:pPr>
              <w:pStyle w:val="BodyText"/>
            </w:pPr>
            <w:r>
              <w:rPr>
                <w:rStyle w:val="Bold"/>
              </w:rPr>
              <w:t xml:space="preserve"> </w:t>
            </w:r>
          </w:p>
        </w:tc>
        <w:tc>
          <w:tcPr>
            <w:tcW w:w="878" w:type="pct"/>
          </w:tcPr>
          <w:p w14:paraId="569815BC"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621588C6" w14:textId="77777777" w:rsidTr="006A0585">
        <w:trPr>
          <w:trHeight w:val="396"/>
        </w:trPr>
        <w:tc>
          <w:tcPr>
            <w:tcW w:w="954" w:type="pct"/>
          </w:tcPr>
          <w:p w14:paraId="7E84C9DE" w14:textId="77777777" w:rsidR="00247AD2" w:rsidRDefault="00247AD2" w:rsidP="00682FFF">
            <w:pPr>
              <w:pStyle w:val="BodyText"/>
            </w:pPr>
            <w:r>
              <w:t>17AG(6)</w:t>
            </w:r>
          </w:p>
        </w:tc>
        <w:tc>
          <w:tcPr>
            <w:tcW w:w="2252" w:type="pct"/>
          </w:tcPr>
          <w:p w14:paraId="47414A9A" w14:textId="77777777" w:rsidR="00247AD2" w:rsidRDefault="00247AD2" w:rsidP="00682FFF">
            <w:pPr>
              <w:pStyle w:val="BodyText"/>
            </w:pPr>
            <w:r>
              <w:t>An assessment of entity performance against the Commonwealth Procurement Rules.</w:t>
            </w:r>
          </w:p>
        </w:tc>
        <w:tc>
          <w:tcPr>
            <w:tcW w:w="916" w:type="pct"/>
          </w:tcPr>
          <w:p w14:paraId="2ED7C0A6" w14:textId="77777777" w:rsidR="00247AD2" w:rsidRDefault="00247AD2" w:rsidP="00682FFF">
            <w:pPr>
              <w:pStyle w:val="BodyText"/>
            </w:pPr>
            <w:r>
              <w:t>Mandatory</w:t>
            </w:r>
          </w:p>
        </w:tc>
        <w:tc>
          <w:tcPr>
            <w:tcW w:w="878" w:type="pct"/>
          </w:tcPr>
          <w:p w14:paraId="26067DD1" w14:textId="77777777" w:rsidR="00247AD2" w:rsidRDefault="00247AD2" w:rsidP="00682FFF">
            <w:pPr>
              <w:pStyle w:val="BodyText"/>
              <w:jc w:val="right"/>
            </w:pPr>
            <w:r>
              <w:t>212–214</w:t>
            </w:r>
          </w:p>
        </w:tc>
      </w:tr>
      <w:tr w:rsidR="00247AD2" w14:paraId="142B3752" w14:textId="77777777" w:rsidTr="006A0585">
        <w:trPr>
          <w:trHeight w:val="396"/>
        </w:trPr>
        <w:tc>
          <w:tcPr>
            <w:tcW w:w="954" w:type="pct"/>
          </w:tcPr>
          <w:p w14:paraId="6F2D0991"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2252" w:type="pct"/>
          </w:tcPr>
          <w:p w14:paraId="2DD4E043" w14:textId="77777777" w:rsidR="00247AD2" w:rsidRDefault="00247AD2" w:rsidP="00682FFF">
            <w:pPr>
              <w:pStyle w:val="BodyText"/>
            </w:pPr>
            <w:r>
              <w:rPr>
                <w:rStyle w:val="Bold"/>
              </w:rPr>
              <w:t>Reportable consultancy contracts</w:t>
            </w:r>
          </w:p>
        </w:tc>
        <w:tc>
          <w:tcPr>
            <w:tcW w:w="916" w:type="pct"/>
          </w:tcPr>
          <w:p w14:paraId="5AAC230F"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878" w:type="pct"/>
          </w:tcPr>
          <w:p w14:paraId="18C9E38C"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4F0B672B" w14:textId="77777777" w:rsidTr="006A0585">
        <w:trPr>
          <w:trHeight w:val="396"/>
        </w:trPr>
        <w:tc>
          <w:tcPr>
            <w:tcW w:w="954" w:type="pct"/>
          </w:tcPr>
          <w:p w14:paraId="58F606E0" w14:textId="77777777" w:rsidR="00247AD2" w:rsidRDefault="00247AD2" w:rsidP="00682FFF">
            <w:pPr>
              <w:pStyle w:val="BodyText"/>
            </w:pPr>
            <w:r>
              <w:t>17AG(7)(a)</w:t>
            </w:r>
          </w:p>
        </w:tc>
        <w:tc>
          <w:tcPr>
            <w:tcW w:w="2252" w:type="pct"/>
          </w:tcPr>
          <w:p w14:paraId="7172A127" w14:textId="77777777" w:rsidR="00247AD2" w:rsidRDefault="00247AD2" w:rsidP="00682FFF">
            <w:pPr>
              <w:pStyle w:val="BodyText"/>
            </w:pPr>
            <w:r>
              <w:rPr>
                <w:spacing w:val="-2"/>
              </w:rPr>
              <w:t xml:space="preserve">A summary statement detailing the number of new reportable consultancy contracts entered into during the period, the total actual expenditure on all such contracts (inclusive of GST), the number of ongoing reportable consultancy contracts that were entered into during a previous reporting period, and the total actual expenditure in the reporting period on those ongoing contracts (inclusive of GST). </w:t>
            </w:r>
          </w:p>
        </w:tc>
        <w:tc>
          <w:tcPr>
            <w:tcW w:w="916" w:type="pct"/>
          </w:tcPr>
          <w:p w14:paraId="559D56F1" w14:textId="77777777" w:rsidR="00247AD2" w:rsidRDefault="00247AD2" w:rsidP="00682FFF">
            <w:pPr>
              <w:pStyle w:val="BodyText"/>
            </w:pPr>
            <w:r>
              <w:t>Mandatory</w:t>
            </w:r>
          </w:p>
        </w:tc>
        <w:tc>
          <w:tcPr>
            <w:tcW w:w="878" w:type="pct"/>
          </w:tcPr>
          <w:p w14:paraId="101D4C79" w14:textId="77777777" w:rsidR="00247AD2" w:rsidRDefault="00247AD2" w:rsidP="00682FFF">
            <w:pPr>
              <w:pStyle w:val="BodyText"/>
              <w:jc w:val="right"/>
            </w:pPr>
            <w:r>
              <w:t>212</w:t>
            </w:r>
          </w:p>
        </w:tc>
      </w:tr>
      <w:tr w:rsidR="00247AD2" w14:paraId="7BF9AE95" w14:textId="77777777" w:rsidTr="006A0585">
        <w:trPr>
          <w:trHeight w:val="396"/>
        </w:trPr>
        <w:tc>
          <w:tcPr>
            <w:tcW w:w="954" w:type="pct"/>
          </w:tcPr>
          <w:p w14:paraId="0381B2B8" w14:textId="77777777" w:rsidR="00247AD2" w:rsidRDefault="00247AD2" w:rsidP="00682FFF">
            <w:pPr>
              <w:pStyle w:val="BodyText"/>
            </w:pPr>
            <w:r>
              <w:lastRenderedPageBreak/>
              <w:t>17AG(7)(b)</w:t>
            </w:r>
          </w:p>
        </w:tc>
        <w:tc>
          <w:tcPr>
            <w:tcW w:w="2252" w:type="pct"/>
          </w:tcPr>
          <w:p w14:paraId="21B1E502" w14:textId="77777777" w:rsidR="00247AD2" w:rsidRDefault="00247AD2" w:rsidP="00682FFF">
            <w:pPr>
              <w:pStyle w:val="BodyText"/>
            </w:pPr>
            <w:r>
              <w:t>A statement that ‘</w:t>
            </w:r>
            <w:r>
              <w:rPr>
                <w:rStyle w:val="Italic"/>
              </w:rPr>
              <w:t>During [reporting period], [specified number] new reportable consultancy contracts were entered into involving total actual expenditure of $[specified million]. In addition, [specified number] ongoing reportable consultancy contracts were active during the period, involving total actual expenditure of $[specified million]</w:t>
            </w:r>
            <w:r>
              <w:t>’</w:t>
            </w:r>
            <w:r>
              <w:rPr>
                <w:rStyle w:val="Italic"/>
              </w:rPr>
              <w:t>.</w:t>
            </w:r>
          </w:p>
        </w:tc>
        <w:tc>
          <w:tcPr>
            <w:tcW w:w="916" w:type="pct"/>
          </w:tcPr>
          <w:p w14:paraId="40AB3EFD" w14:textId="77777777" w:rsidR="00247AD2" w:rsidRDefault="00247AD2" w:rsidP="00682FFF">
            <w:pPr>
              <w:pStyle w:val="BodyText"/>
            </w:pPr>
            <w:r>
              <w:t>Mandatory</w:t>
            </w:r>
          </w:p>
        </w:tc>
        <w:tc>
          <w:tcPr>
            <w:tcW w:w="878" w:type="pct"/>
          </w:tcPr>
          <w:p w14:paraId="049C51C5" w14:textId="77777777" w:rsidR="00247AD2" w:rsidRDefault="00247AD2" w:rsidP="00682FFF">
            <w:pPr>
              <w:pStyle w:val="BodyText"/>
              <w:jc w:val="right"/>
            </w:pPr>
            <w:r>
              <w:t>212</w:t>
            </w:r>
          </w:p>
        </w:tc>
      </w:tr>
      <w:tr w:rsidR="00247AD2" w14:paraId="5D6E8C85" w14:textId="77777777" w:rsidTr="006A0585">
        <w:trPr>
          <w:trHeight w:val="396"/>
        </w:trPr>
        <w:tc>
          <w:tcPr>
            <w:tcW w:w="954" w:type="pct"/>
          </w:tcPr>
          <w:p w14:paraId="34AB76ED" w14:textId="77777777" w:rsidR="00247AD2" w:rsidRDefault="00247AD2" w:rsidP="00682FFF">
            <w:pPr>
              <w:pStyle w:val="BodyText"/>
            </w:pPr>
            <w:r>
              <w:t>17AG(7)(c)</w:t>
            </w:r>
          </w:p>
        </w:tc>
        <w:tc>
          <w:tcPr>
            <w:tcW w:w="2252" w:type="pct"/>
          </w:tcPr>
          <w:p w14:paraId="30FE320C" w14:textId="77777777" w:rsidR="00247AD2" w:rsidRDefault="00247AD2" w:rsidP="00682FFF">
            <w:pPr>
              <w:pStyle w:val="BodyText"/>
            </w:pPr>
            <w:r>
              <w:t>A summary of the policies and procedures for selecting and engaging consultants and the main categories of purposes for which consultants were selected and engaged.</w:t>
            </w:r>
          </w:p>
        </w:tc>
        <w:tc>
          <w:tcPr>
            <w:tcW w:w="916" w:type="pct"/>
          </w:tcPr>
          <w:p w14:paraId="22D2C8EF" w14:textId="77777777" w:rsidR="00247AD2" w:rsidRDefault="00247AD2" w:rsidP="00682FFF">
            <w:pPr>
              <w:pStyle w:val="BodyText"/>
            </w:pPr>
            <w:r>
              <w:t>Mandatory</w:t>
            </w:r>
          </w:p>
        </w:tc>
        <w:tc>
          <w:tcPr>
            <w:tcW w:w="878" w:type="pct"/>
          </w:tcPr>
          <w:p w14:paraId="0B7332BF" w14:textId="77777777" w:rsidR="00247AD2" w:rsidRDefault="00247AD2" w:rsidP="00682FFF">
            <w:pPr>
              <w:pStyle w:val="BodyText"/>
              <w:jc w:val="right"/>
            </w:pPr>
            <w:r>
              <w:t>212</w:t>
            </w:r>
          </w:p>
        </w:tc>
      </w:tr>
      <w:tr w:rsidR="00247AD2" w14:paraId="73974CFA" w14:textId="77777777" w:rsidTr="006A0585">
        <w:trPr>
          <w:trHeight w:val="396"/>
        </w:trPr>
        <w:tc>
          <w:tcPr>
            <w:tcW w:w="954" w:type="pct"/>
          </w:tcPr>
          <w:p w14:paraId="7511C0ED" w14:textId="77777777" w:rsidR="00247AD2" w:rsidRDefault="00247AD2" w:rsidP="00682FFF">
            <w:pPr>
              <w:pStyle w:val="BodyText"/>
            </w:pPr>
            <w:r>
              <w:t>17AG(7)(d)</w:t>
            </w:r>
          </w:p>
        </w:tc>
        <w:tc>
          <w:tcPr>
            <w:tcW w:w="2252" w:type="pct"/>
          </w:tcPr>
          <w:p w14:paraId="4523328B" w14:textId="77777777" w:rsidR="00247AD2" w:rsidRDefault="00247AD2" w:rsidP="00682FFF">
            <w:pPr>
              <w:pStyle w:val="BodyText"/>
            </w:pPr>
            <w:r>
              <w:t xml:space="preserve">A statement that </w:t>
            </w:r>
            <w:r>
              <w:rPr>
                <w:rStyle w:val="Italic"/>
              </w:rPr>
              <w:t>‘Annual reports contain information about actual expenditure on reportable consultancy contracts. Information on the value of reportable consultancy contracts is available on the AusTender website.’</w:t>
            </w:r>
          </w:p>
        </w:tc>
        <w:tc>
          <w:tcPr>
            <w:tcW w:w="916" w:type="pct"/>
          </w:tcPr>
          <w:p w14:paraId="7256CE71" w14:textId="77777777" w:rsidR="00247AD2" w:rsidRDefault="00247AD2" w:rsidP="00682FFF">
            <w:pPr>
              <w:pStyle w:val="BodyText"/>
            </w:pPr>
            <w:r>
              <w:t>Mandatory</w:t>
            </w:r>
          </w:p>
        </w:tc>
        <w:tc>
          <w:tcPr>
            <w:tcW w:w="878" w:type="pct"/>
          </w:tcPr>
          <w:p w14:paraId="073ABDFD" w14:textId="77777777" w:rsidR="00247AD2" w:rsidRDefault="00247AD2" w:rsidP="00682FFF">
            <w:pPr>
              <w:pStyle w:val="BodyText"/>
              <w:jc w:val="right"/>
            </w:pPr>
            <w:r>
              <w:t>213</w:t>
            </w:r>
          </w:p>
        </w:tc>
      </w:tr>
      <w:tr w:rsidR="00247AD2" w14:paraId="5C2272D4" w14:textId="77777777" w:rsidTr="006A0585">
        <w:trPr>
          <w:trHeight w:val="396"/>
        </w:trPr>
        <w:tc>
          <w:tcPr>
            <w:tcW w:w="954" w:type="pct"/>
          </w:tcPr>
          <w:p w14:paraId="0E710A42"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2252" w:type="pct"/>
          </w:tcPr>
          <w:p w14:paraId="21A34E22" w14:textId="77777777" w:rsidR="00247AD2" w:rsidRDefault="00247AD2" w:rsidP="00682FFF">
            <w:pPr>
              <w:pStyle w:val="BodyText"/>
            </w:pPr>
            <w:r>
              <w:rPr>
                <w:rStyle w:val="Bold"/>
              </w:rPr>
              <w:t>Reportable non-consultancy contracts</w:t>
            </w:r>
          </w:p>
        </w:tc>
        <w:tc>
          <w:tcPr>
            <w:tcW w:w="916" w:type="pct"/>
          </w:tcPr>
          <w:p w14:paraId="10F9451F"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878" w:type="pct"/>
          </w:tcPr>
          <w:p w14:paraId="45DD76C6"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17AA6674" w14:textId="77777777" w:rsidTr="006A0585">
        <w:trPr>
          <w:trHeight w:val="396"/>
        </w:trPr>
        <w:tc>
          <w:tcPr>
            <w:tcW w:w="954" w:type="pct"/>
          </w:tcPr>
          <w:p w14:paraId="309C143F" w14:textId="77777777" w:rsidR="00247AD2" w:rsidRDefault="00247AD2" w:rsidP="00682FFF">
            <w:pPr>
              <w:pStyle w:val="BodyText"/>
            </w:pPr>
            <w:r>
              <w:t>17AG(7A)(a)</w:t>
            </w:r>
          </w:p>
        </w:tc>
        <w:tc>
          <w:tcPr>
            <w:tcW w:w="2252" w:type="pct"/>
          </w:tcPr>
          <w:p w14:paraId="6EC17792" w14:textId="77777777" w:rsidR="00247AD2" w:rsidRDefault="00247AD2" w:rsidP="00682FFF">
            <w:pPr>
              <w:pStyle w:val="BodyText"/>
            </w:pPr>
            <w:r>
              <w:rPr>
                <w:spacing w:val="-2"/>
              </w:rPr>
              <w:t xml:space="preserve">A summary statement detailing the number of new reportable non-consultancy contracts entered into during the period, the total actual expenditure on such contracts (inclusive of GST), the number of ongoing reportable non-consultancy contracts that were entered into during a previous reporting period, and the total actual expenditure in the reporting period on those ongoing contracts (inclusive of GST). </w:t>
            </w:r>
          </w:p>
        </w:tc>
        <w:tc>
          <w:tcPr>
            <w:tcW w:w="916" w:type="pct"/>
          </w:tcPr>
          <w:p w14:paraId="0F150F35" w14:textId="77777777" w:rsidR="00247AD2" w:rsidRDefault="00247AD2" w:rsidP="00682FFF">
            <w:pPr>
              <w:pStyle w:val="BodyText"/>
            </w:pPr>
            <w:r>
              <w:t>Mandatory</w:t>
            </w:r>
          </w:p>
        </w:tc>
        <w:tc>
          <w:tcPr>
            <w:tcW w:w="878" w:type="pct"/>
          </w:tcPr>
          <w:p w14:paraId="35F51EC6" w14:textId="77777777" w:rsidR="00247AD2" w:rsidRDefault="00247AD2" w:rsidP="00682FFF">
            <w:pPr>
              <w:pStyle w:val="BodyText"/>
              <w:jc w:val="right"/>
            </w:pPr>
            <w:r>
              <w:t>213–214</w:t>
            </w:r>
          </w:p>
        </w:tc>
      </w:tr>
      <w:tr w:rsidR="00247AD2" w14:paraId="7A5CABCE" w14:textId="77777777" w:rsidTr="006A0585">
        <w:trPr>
          <w:trHeight w:val="396"/>
        </w:trPr>
        <w:tc>
          <w:tcPr>
            <w:tcW w:w="954" w:type="pct"/>
          </w:tcPr>
          <w:p w14:paraId="7F291F6B" w14:textId="77777777" w:rsidR="00247AD2" w:rsidRDefault="00247AD2" w:rsidP="00682FFF">
            <w:pPr>
              <w:pStyle w:val="BodyText"/>
            </w:pPr>
            <w:r>
              <w:t xml:space="preserve">17AG(7A)(b) </w:t>
            </w:r>
          </w:p>
        </w:tc>
        <w:tc>
          <w:tcPr>
            <w:tcW w:w="2252" w:type="pct"/>
          </w:tcPr>
          <w:p w14:paraId="67A73D4F" w14:textId="77777777" w:rsidR="00247AD2" w:rsidRDefault="00247AD2" w:rsidP="00682FFF">
            <w:pPr>
              <w:pStyle w:val="BodyText"/>
            </w:pPr>
            <w:r>
              <w:t xml:space="preserve">A statement that </w:t>
            </w:r>
            <w:r>
              <w:rPr>
                <w:rStyle w:val="Italic"/>
              </w:rPr>
              <w:t>‘Annual reports contain information about actual expenditure on reportable non-consultancy contracts. Information on the value of reportable non-consultancy contracts is available on the AusTender website.</w:t>
            </w:r>
            <w:r>
              <w:t xml:space="preserve">’ </w:t>
            </w:r>
          </w:p>
        </w:tc>
        <w:tc>
          <w:tcPr>
            <w:tcW w:w="916" w:type="pct"/>
          </w:tcPr>
          <w:p w14:paraId="15E80034" w14:textId="77777777" w:rsidR="00247AD2" w:rsidRDefault="00247AD2" w:rsidP="00682FFF">
            <w:pPr>
              <w:pStyle w:val="BodyText"/>
            </w:pPr>
            <w:r>
              <w:t>Mandatory</w:t>
            </w:r>
          </w:p>
        </w:tc>
        <w:tc>
          <w:tcPr>
            <w:tcW w:w="878" w:type="pct"/>
          </w:tcPr>
          <w:p w14:paraId="005C9214" w14:textId="77777777" w:rsidR="00247AD2" w:rsidRDefault="00247AD2" w:rsidP="00682FFF">
            <w:pPr>
              <w:pStyle w:val="BodyText"/>
              <w:jc w:val="right"/>
            </w:pPr>
            <w:r>
              <w:t>214</w:t>
            </w:r>
          </w:p>
        </w:tc>
      </w:tr>
      <w:tr w:rsidR="00247AD2" w14:paraId="55EB4EFA" w14:textId="77777777" w:rsidTr="006A0585">
        <w:trPr>
          <w:trHeight w:val="396"/>
        </w:trPr>
        <w:tc>
          <w:tcPr>
            <w:tcW w:w="954" w:type="pct"/>
          </w:tcPr>
          <w:p w14:paraId="5037F3EC" w14:textId="77777777" w:rsidR="00247AD2" w:rsidRDefault="00247AD2" w:rsidP="00682FFF">
            <w:pPr>
              <w:pStyle w:val="BodyText"/>
            </w:pPr>
            <w:r>
              <w:rPr>
                <w:rStyle w:val="Bold"/>
              </w:rPr>
              <w:t>17AD(daa)</w:t>
            </w:r>
          </w:p>
        </w:tc>
        <w:tc>
          <w:tcPr>
            <w:tcW w:w="2252" w:type="pct"/>
          </w:tcPr>
          <w:p w14:paraId="0D959727" w14:textId="77777777" w:rsidR="00247AD2" w:rsidRDefault="00247AD2" w:rsidP="00682FFF">
            <w:pPr>
              <w:pStyle w:val="BodyText"/>
            </w:pPr>
            <w:r>
              <w:rPr>
                <w:rStyle w:val="Bold"/>
              </w:rPr>
              <w:t xml:space="preserve">Additional information about organisations receiving amounts under reportable consultancy contracts or reportable non-consultancy contracts </w:t>
            </w:r>
          </w:p>
        </w:tc>
        <w:tc>
          <w:tcPr>
            <w:tcW w:w="916" w:type="pct"/>
          </w:tcPr>
          <w:p w14:paraId="3ED474A8"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878" w:type="pct"/>
          </w:tcPr>
          <w:p w14:paraId="778C216D"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20FCD490" w14:textId="77777777" w:rsidTr="006A0585">
        <w:trPr>
          <w:trHeight w:val="396"/>
        </w:trPr>
        <w:tc>
          <w:tcPr>
            <w:tcW w:w="954" w:type="pct"/>
          </w:tcPr>
          <w:p w14:paraId="3F41BABE" w14:textId="77777777" w:rsidR="00247AD2" w:rsidRDefault="00247AD2" w:rsidP="00682FFF">
            <w:pPr>
              <w:pStyle w:val="BodyText"/>
            </w:pPr>
            <w:r>
              <w:lastRenderedPageBreak/>
              <w:t>17AGA</w:t>
            </w:r>
          </w:p>
        </w:tc>
        <w:tc>
          <w:tcPr>
            <w:tcW w:w="2252" w:type="pct"/>
          </w:tcPr>
          <w:p w14:paraId="57A5D068" w14:textId="77777777" w:rsidR="00247AD2" w:rsidRDefault="00247AD2" w:rsidP="00682FFF">
            <w:pPr>
              <w:pStyle w:val="BodyText"/>
            </w:pPr>
            <w:r>
              <w:t xml:space="preserve">Additional information, in accordance with section 17AGA, about organisations receiving amounts under reportable consultancy contracts or reportable non-consultancy contracts. </w:t>
            </w:r>
          </w:p>
        </w:tc>
        <w:tc>
          <w:tcPr>
            <w:tcW w:w="916" w:type="pct"/>
          </w:tcPr>
          <w:p w14:paraId="0F390744" w14:textId="77777777" w:rsidR="00247AD2" w:rsidRDefault="00247AD2" w:rsidP="00682FFF">
            <w:pPr>
              <w:pStyle w:val="BodyText"/>
            </w:pPr>
            <w:r>
              <w:t>Mandatory</w:t>
            </w:r>
          </w:p>
        </w:tc>
        <w:tc>
          <w:tcPr>
            <w:tcW w:w="878" w:type="pct"/>
          </w:tcPr>
          <w:p w14:paraId="19D87B3F" w14:textId="77777777" w:rsidR="00247AD2" w:rsidRDefault="00247AD2" w:rsidP="00682FFF">
            <w:pPr>
              <w:pStyle w:val="BodyText"/>
              <w:jc w:val="right"/>
            </w:pPr>
            <w:r>
              <w:t>212–214</w:t>
            </w:r>
          </w:p>
        </w:tc>
      </w:tr>
      <w:tr w:rsidR="00247AD2" w14:paraId="5F3E1C9B" w14:textId="77777777" w:rsidTr="006A0585">
        <w:trPr>
          <w:trHeight w:val="396"/>
        </w:trPr>
        <w:tc>
          <w:tcPr>
            <w:tcW w:w="954" w:type="pct"/>
          </w:tcPr>
          <w:p w14:paraId="1E736664" w14:textId="77777777" w:rsidR="00247AD2" w:rsidRDefault="00247AD2" w:rsidP="00682FFF">
            <w:pPr>
              <w:pStyle w:val="BodyText"/>
            </w:pPr>
            <w:r>
              <w:rPr>
                <w:rStyle w:val="Bold"/>
              </w:rPr>
              <w:t xml:space="preserve"> </w:t>
            </w:r>
          </w:p>
        </w:tc>
        <w:tc>
          <w:tcPr>
            <w:tcW w:w="2252" w:type="pct"/>
          </w:tcPr>
          <w:p w14:paraId="4C2BC825" w14:textId="77777777" w:rsidR="00247AD2" w:rsidRDefault="00247AD2" w:rsidP="00682FFF">
            <w:pPr>
              <w:pStyle w:val="BodyText"/>
            </w:pPr>
            <w:r>
              <w:rPr>
                <w:rStyle w:val="Bold"/>
              </w:rPr>
              <w:t>Australian National Audit Office access clauses</w:t>
            </w:r>
          </w:p>
        </w:tc>
        <w:tc>
          <w:tcPr>
            <w:tcW w:w="916" w:type="pct"/>
          </w:tcPr>
          <w:p w14:paraId="46AA07A9" w14:textId="77777777" w:rsidR="00247AD2" w:rsidRDefault="00247AD2" w:rsidP="00682FFF">
            <w:pPr>
              <w:pStyle w:val="BodyText"/>
            </w:pPr>
            <w:r>
              <w:rPr>
                <w:rStyle w:val="Bold"/>
              </w:rPr>
              <w:t xml:space="preserve"> </w:t>
            </w:r>
          </w:p>
        </w:tc>
        <w:tc>
          <w:tcPr>
            <w:tcW w:w="878" w:type="pct"/>
          </w:tcPr>
          <w:p w14:paraId="03F4BE88"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4E64D314" w14:textId="77777777" w:rsidTr="006A0585">
        <w:trPr>
          <w:trHeight w:val="396"/>
        </w:trPr>
        <w:tc>
          <w:tcPr>
            <w:tcW w:w="954" w:type="pct"/>
          </w:tcPr>
          <w:p w14:paraId="6CDC3ECC" w14:textId="77777777" w:rsidR="00247AD2" w:rsidRDefault="00247AD2" w:rsidP="00682FFF">
            <w:pPr>
              <w:pStyle w:val="BodyText"/>
            </w:pPr>
            <w:r>
              <w:t>17AG(8)</w:t>
            </w:r>
          </w:p>
        </w:tc>
        <w:tc>
          <w:tcPr>
            <w:tcW w:w="2252" w:type="pct"/>
          </w:tcPr>
          <w:p w14:paraId="586205CE" w14:textId="77777777" w:rsidR="00247AD2" w:rsidRDefault="00247AD2" w:rsidP="00682FFF">
            <w:pPr>
              <w:pStyle w:val="BodyText"/>
            </w:pPr>
            <w:r>
              <w:rPr>
                <w:spacing w:val="-2"/>
              </w:rPr>
              <w:t>If an entity entered into a contract with a value of more than $100,000 (inclusive of GST) and the contract did not provide the Auditor-General with access to the contractor’s premises, the report must include the name of the contractor, purpose and value of the contract, and the reason why a clause allowing access was not included in the contract.</w:t>
            </w:r>
          </w:p>
        </w:tc>
        <w:tc>
          <w:tcPr>
            <w:tcW w:w="916" w:type="pct"/>
          </w:tcPr>
          <w:p w14:paraId="438586AE" w14:textId="77777777" w:rsidR="00247AD2" w:rsidRDefault="00247AD2" w:rsidP="00682FFF">
            <w:pPr>
              <w:pStyle w:val="BodyText"/>
            </w:pPr>
            <w:r>
              <w:t>If applicable, mandatory</w:t>
            </w:r>
          </w:p>
        </w:tc>
        <w:tc>
          <w:tcPr>
            <w:tcW w:w="878" w:type="pct"/>
          </w:tcPr>
          <w:p w14:paraId="748C88B1" w14:textId="77777777" w:rsidR="00247AD2" w:rsidRDefault="00247AD2" w:rsidP="00682FFF">
            <w:pPr>
              <w:pStyle w:val="BodyText"/>
              <w:jc w:val="right"/>
            </w:pPr>
            <w:r>
              <w:t>216</w:t>
            </w:r>
          </w:p>
        </w:tc>
      </w:tr>
      <w:tr w:rsidR="00247AD2" w14:paraId="710EAE0A" w14:textId="77777777" w:rsidTr="006A0585">
        <w:trPr>
          <w:trHeight w:val="396"/>
        </w:trPr>
        <w:tc>
          <w:tcPr>
            <w:tcW w:w="954" w:type="pct"/>
          </w:tcPr>
          <w:p w14:paraId="0D028BF2" w14:textId="77777777" w:rsidR="00247AD2" w:rsidRDefault="00247AD2" w:rsidP="00682FFF">
            <w:pPr>
              <w:pStyle w:val="BodyText"/>
            </w:pPr>
            <w:r>
              <w:rPr>
                <w:rStyle w:val="Bold"/>
              </w:rPr>
              <w:t xml:space="preserve"> </w:t>
            </w:r>
          </w:p>
        </w:tc>
        <w:tc>
          <w:tcPr>
            <w:tcW w:w="2252" w:type="pct"/>
          </w:tcPr>
          <w:p w14:paraId="35BF890C" w14:textId="77777777" w:rsidR="00247AD2" w:rsidRDefault="00247AD2" w:rsidP="00682FFF">
            <w:pPr>
              <w:pStyle w:val="BodyText"/>
            </w:pPr>
            <w:r>
              <w:rPr>
                <w:rStyle w:val="Bold"/>
              </w:rPr>
              <w:t>Exempt contracts</w:t>
            </w:r>
          </w:p>
        </w:tc>
        <w:tc>
          <w:tcPr>
            <w:tcW w:w="916" w:type="pct"/>
          </w:tcPr>
          <w:p w14:paraId="0FF96BCD" w14:textId="77777777" w:rsidR="00247AD2" w:rsidRDefault="00247AD2" w:rsidP="00682FFF">
            <w:pPr>
              <w:pStyle w:val="BodyText"/>
            </w:pPr>
            <w:r>
              <w:rPr>
                <w:rStyle w:val="Bold"/>
              </w:rPr>
              <w:t xml:space="preserve"> </w:t>
            </w:r>
          </w:p>
        </w:tc>
        <w:tc>
          <w:tcPr>
            <w:tcW w:w="878" w:type="pct"/>
          </w:tcPr>
          <w:p w14:paraId="6EA95429"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48655B8C" w14:textId="77777777" w:rsidTr="006A0585">
        <w:trPr>
          <w:trHeight w:val="396"/>
        </w:trPr>
        <w:tc>
          <w:tcPr>
            <w:tcW w:w="954" w:type="pct"/>
          </w:tcPr>
          <w:p w14:paraId="5B37AD4B" w14:textId="77777777" w:rsidR="00247AD2" w:rsidRDefault="00247AD2" w:rsidP="00682FFF">
            <w:pPr>
              <w:pStyle w:val="BodyText"/>
            </w:pPr>
            <w:r>
              <w:t>17AG(9)</w:t>
            </w:r>
          </w:p>
        </w:tc>
        <w:tc>
          <w:tcPr>
            <w:tcW w:w="2252" w:type="pct"/>
          </w:tcPr>
          <w:p w14:paraId="01FFF33C" w14:textId="77777777" w:rsidR="00247AD2" w:rsidRDefault="00247AD2" w:rsidP="00682FFF">
            <w:pPr>
              <w:pStyle w:val="BodyText"/>
            </w:pPr>
            <w:r>
              <w:rPr>
                <w:spacing w:val="-2"/>
              </w:rPr>
              <w:t>If an entity entered into a contract or there is a standing offer with a value greater than $10,000 (inclusive of GST), which has been exempted from being published in AusTender because it would disclose exempt matters under the FOI Act, the annual report must include a statement that the contract or standing offer has been exempted, and the value of the contract or standing offer, to the extent that doing so does not disclose the exempt matters.</w:t>
            </w:r>
          </w:p>
        </w:tc>
        <w:tc>
          <w:tcPr>
            <w:tcW w:w="916" w:type="pct"/>
          </w:tcPr>
          <w:p w14:paraId="5323083B" w14:textId="77777777" w:rsidR="00247AD2" w:rsidRDefault="00247AD2" w:rsidP="00682FFF">
            <w:pPr>
              <w:pStyle w:val="BodyText"/>
            </w:pPr>
            <w:r>
              <w:t>If applicable, mandatory</w:t>
            </w:r>
          </w:p>
        </w:tc>
        <w:tc>
          <w:tcPr>
            <w:tcW w:w="878" w:type="pct"/>
          </w:tcPr>
          <w:p w14:paraId="01FFAB90" w14:textId="77777777" w:rsidR="00247AD2" w:rsidRDefault="00247AD2" w:rsidP="00682FFF">
            <w:pPr>
              <w:pStyle w:val="BodyText"/>
              <w:jc w:val="right"/>
            </w:pPr>
            <w:r>
              <w:t>215</w:t>
            </w:r>
          </w:p>
        </w:tc>
      </w:tr>
      <w:tr w:rsidR="00247AD2" w14:paraId="672A4413" w14:textId="77777777" w:rsidTr="006A0585">
        <w:trPr>
          <w:trHeight w:val="396"/>
        </w:trPr>
        <w:tc>
          <w:tcPr>
            <w:tcW w:w="954" w:type="pct"/>
          </w:tcPr>
          <w:p w14:paraId="7375F874" w14:textId="77777777" w:rsidR="00247AD2" w:rsidRDefault="00247AD2" w:rsidP="00682FFF">
            <w:pPr>
              <w:pStyle w:val="BodyText"/>
            </w:pPr>
            <w:r>
              <w:rPr>
                <w:rStyle w:val="Bold"/>
              </w:rPr>
              <w:t xml:space="preserve"> </w:t>
            </w:r>
          </w:p>
        </w:tc>
        <w:tc>
          <w:tcPr>
            <w:tcW w:w="2252" w:type="pct"/>
          </w:tcPr>
          <w:p w14:paraId="0FC96EE2" w14:textId="77777777" w:rsidR="00247AD2" w:rsidRDefault="00247AD2" w:rsidP="00682FFF">
            <w:pPr>
              <w:pStyle w:val="BodyText"/>
            </w:pPr>
            <w:r>
              <w:rPr>
                <w:rStyle w:val="Bold"/>
              </w:rPr>
              <w:t>Small business</w:t>
            </w:r>
          </w:p>
        </w:tc>
        <w:tc>
          <w:tcPr>
            <w:tcW w:w="916" w:type="pct"/>
          </w:tcPr>
          <w:p w14:paraId="3DAF8794" w14:textId="77777777" w:rsidR="00247AD2" w:rsidRDefault="00247AD2" w:rsidP="00682FFF">
            <w:pPr>
              <w:pStyle w:val="BodyText"/>
            </w:pPr>
            <w:r>
              <w:rPr>
                <w:rStyle w:val="Bold"/>
              </w:rPr>
              <w:t xml:space="preserve"> </w:t>
            </w:r>
          </w:p>
        </w:tc>
        <w:tc>
          <w:tcPr>
            <w:tcW w:w="878" w:type="pct"/>
          </w:tcPr>
          <w:p w14:paraId="11F10A71"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122CF88D" w14:textId="77777777" w:rsidTr="006A0585">
        <w:trPr>
          <w:trHeight w:val="396"/>
        </w:trPr>
        <w:tc>
          <w:tcPr>
            <w:tcW w:w="954" w:type="pct"/>
          </w:tcPr>
          <w:p w14:paraId="5B82817D" w14:textId="77777777" w:rsidR="00247AD2" w:rsidRDefault="00247AD2" w:rsidP="00682FFF">
            <w:pPr>
              <w:pStyle w:val="BodyText"/>
            </w:pPr>
            <w:r>
              <w:t>17AG(10)(a)</w:t>
            </w:r>
          </w:p>
        </w:tc>
        <w:tc>
          <w:tcPr>
            <w:tcW w:w="2252" w:type="pct"/>
          </w:tcPr>
          <w:p w14:paraId="38AE8A87" w14:textId="77777777" w:rsidR="00247AD2" w:rsidRDefault="00247AD2" w:rsidP="00682FFF">
            <w:pPr>
              <w:pStyle w:val="BodyText"/>
            </w:pPr>
            <w:r>
              <w:t xml:space="preserve">A statement that </w:t>
            </w:r>
            <w:r>
              <w:rPr>
                <w:rStyle w:val="Italic"/>
              </w:rPr>
              <w:t>‘[Name of entity] supports small business participation in the Commonwealth Government procurement market. Small and Medium Enterprises (SME) and Small Enterprise participation statistics are available on the Department of Finance’s website.’</w:t>
            </w:r>
          </w:p>
        </w:tc>
        <w:tc>
          <w:tcPr>
            <w:tcW w:w="916" w:type="pct"/>
          </w:tcPr>
          <w:p w14:paraId="1B052906" w14:textId="77777777" w:rsidR="00247AD2" w:rsidRDefault="00247AD2" w:rsidP="00682FFF">
            <w:pPr>
              <w:pStyle w:val="BodyText"/>
            </w:pPr>
            <w:r>
              <w:t>Mandatory</w:t>
            </w:r>
          </w:p>
        </w:tc>
        <w:tc>
          <w:tcPr>
            <w:tcW w:w="878" w:type="pct"/>
          </w:tcPr>
          <w:p w14:paraId="300385B3" w14:textId="77777777" w:rsidR="00247AD2" w:rsidRDefault="00247AD2" w:rsidP="00682FFF">
            <w:pPr>
              <w:pStyle w:val="BodyText"/>
              <w:jc w:val="right"/>
            </w:pPr>
            <w:r>
              <w:t>214</w:t>
            </w:r>
          </w:p>
        </w:tc>
      </w:tr>
      <w:tr w:rsidR="00247AD2" w14:paraId="11FC550B" w14:textId="77777777" w:rsidTr="006A0585">
        <w:trPr>
          <w:trHeight w:val="396"/>
        </w:trPr>
        <w:tc>
          <w:tcPr>
            <w:tcW w:w="954" w:type="pct"/>
          </w:tcPr>
          <w:p w14:paraId="6247E880" w14:textId="77777777" w:rsidR="00247AD2" w:rsidRDefault="00247AD2" w:rsidP="00682FFF">
            <w:pPr>
              <w:pStyle w:val="BodyText"/>
            </w:pPr>
            <w:r>
              <w:t>17AG(10)(b)</w:t>
            </w:r>
          </w:p>
        </w:tc>
        <w:tc>
          <w:tcPr>
            <w:tcW w:w="2252" w:type="pct"/>
          </w:tcPr>
          <w:p w14:paraId="7BAF67F0" w14:textId="77777777" w:rsidR="00247AD2" w:rsidRDefault="00247AD2" w:rsidP="00682FFF">
            <w:pPr>
              <w:pStyle w:val="BodyText"/>
            </w:pPr>
            <w:r>
              <w:t>An outline of the ways in which the procurement practices of the entity support small and medium enterprises.</w:t>
            </w:r>
          </w:p>
        </w:tc>
        <w:tc>
          <w:tcPr>
            <w:tcW w:w="916" w:type="pct"/>
          </w:tcPr>
          <w:p w14:paraId="1333628B" w14:textId="77777777" w:rsidR="00247AD2" w:rsidRDefault="00247AD2" w:rsidP="00682FFF">
            <w:pPr>
              <w:pStyle w:val="BodyText"/>
            </w:pPr>
            <w:r>
              <w:t>Mandatory</w:t>
            </w:r>
          </w:p>
        </w:tc>
        <w:tc>
          <w:tcPr>
            <w:tcW w:w="878" w:type="pct"/>
          </w:tcPr>
          <w:p w14:paraId="355827D1" w14:textId="77777777" w:rsidR="00247AD2" w:rsidRDefault="00247AD2" w:rsidP="00682FFF">
            <w:pPr>
              <w:pStyle w:val="BodyText"/>
              <w:jc w:val="right"/>
            </w:pPr>
            <w:r>
              <w:t>214</w:t>
            </w:r>
          </w:p>
        </w:tc>
      </w:tr>
      <w:tr w:rsidR="00247AD2" w14:paraId="0FB8359D" w14:textId="77777777" w:rsidTr="006A0585">
        <w:trPr>
          <w:trHeight w:val="396"/>
        </w:trPr>
        <w:tc>
          <w:tcPr>
            <w:tcW w:w="954" w:type="pct"/>
          </w:tcPr>
          <w:p w14:paraId="185751DA" w14:textId="77777777" w:rsidR="00247AD2" w:rsidRDefault="00247AD2" w:rsidP="00682FFF">
            <w:pPr>
              <w:pStyle w:val="BodyText"/>
            </w:pPr>
            <w:r>
              <w:lastRenderedPageBreak/>
              <w:t>17AG(10)(c)</w:t>
            </w:r>
          </w:p>
        </w:tc>
        <w:tc>
          <w:tcPr>
            <w:tcW w:w="2252" w:type="pct"/>
          </w:tcPr>
          <w:p w14:paraId="68EBDD47" w14:textId="77777777" w:rsidR="00247AD2" w:rsidRDefault="00247AD2" w:rsidP="00682FFF">
            <w:pPr>
              <w:pStyle w:val="BodyText"/>
            </w:pPr>
            <w:r>
              <w:t xml:space="preserve">If the entity is considered by the department administered by the Finance Minister as material in nature—a statement that </w:t>
            </w:r>
            <w:r>
              <w:rPr>
                <w:rStyle w:val="Italic"/>
              </w:rPr>
              <w:t>‘[Name of entity] recognises the importance of ensuring that small businesses are paid on time. The results of the Survey of Australian Government Payments to Small Business are available on the Treasury’s website.’</w:t>
            </w:r>
          </w:p>
        </w:tc>
        <w:tc>
          <w:tcPr>
            <w:tcW w:w="916" w:type="pct"/>
          </w:tcPr>
          <w:p w14:paraId="3B94D8C4" w14:textId="77777777" w:rsidR="00247AD2" w:rsidRDefault="00247AD2" w:rsidP="00682FFF">
            <w:pPr>
              <w:pStyle w:val="BodyText"/>
            </w:pPr>
            <w:r>
              <w:t>If applicable, mandatory</w:t>
            </w:r>
          </w:p>
        </w:tc>
        <w:tc>
          <w:tcPr>
            <w:tcW w:w="878" w:type="pct"/>
          </w:tcPr>
          <w:p w14:paraId="584CA73A" w14:textId="77777777" w:rsidR="00247AD2" w:rsidRDefault="00247AD2" w:rsidP="00682FFF">
            <w:pPr>
              <w:pStyle w:val="BodyText"/>
              <w:jc w:val="right"/>
            </w:pPr>
            <w:r>
              <w:t>214</w:t>
            </w:r>
          </w:p>
        </w:tc>
      </w:tr>
      <w:tr w:rsidR="00247AD2" w14:paraId="5E41EE16" w14:textId="77777777" w:rsidTr="006A0585">
        <w:trPr>
          <w:trHeight w:val="396"/>
        </w:trPr>
        <w:tc>
          <w:tcPr>
            <w:tcW w:w="954" w:type="pct"/>
          </w:tcPr>
          <w:p w14:paraId="28ED7DD6" w14:textId="77777777" w:rsidR="00247AD2" w:rsidRDefault="00247AD2" w:rsidP="00682FFF">
            <w:pPr>
              <w:pStyle w:val="BodyText"/>
            </w:pPr>
            <w:r>
              <w:rPr>
                <w:rStyle w:val="Bold"/>
              </w:rPr>
              <w:t xml:space="preserve"> </w:t>
            </w:r>
          </w:p>
        </w:tc>
        <w:tc>
          <w:tcPr>
            <w:tcW w:w="2252" w:type="pct"/>
          </w:tcPr>
          <w:p w14:paraId="3A013E41" w14:textId="77777777" w:rsidR="00247AD2" w:rsidRDefault="00247AD2" w:rsidP="00682FFF">
            <w:pPr>
              <w:pStyle w:val="BodyText"/>
            </w:pPr>
            <w:r>
              <w:rPr>
                <w:rStyle w:val="Bold"/>
              </w:rPr>
              <w:t>Financial Statements</w:t>
            </w:r>
          </w:p>
        </w:tc>
        <w:tc>
          <w:tcPr>
            <w:tcW w:w="916" w:type="pct"/>
          </w:tcPr>
          <w:p w14:paraId="5CBE1057" w14:textId="77777777" w:rsidR="00247AD2" w:rsidRDefault="00247AD2" w:rsidP="00682FFF">
            <w:pPr>
              <w:pStyle w:val="BodyText"/>
            </w:pPr>
            <w:r>
              <w:rPr>
                <w:rStyle w:val="Bold"/>
              </w:rPr>
              <w:t xml:space="preserve"> </w:t>
            </w:r>
          </w:p>
        </w:tc>
        <w:tc>
          <w:tcPr>
            <w:tcW w:w="878" w:type="pct"/>
          </w:tcPr>
          <w:p w14:paraId="0285B373"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136C5CA1" w14:textId="77777777" w:rsidTr="006A0585">
        <w:trPr>
          <w:trHeight w:val="396"/>
        </w:trPr>
        <w:tc>
          <w:tcPr>
            <w:tcW w:w="954" w:type="pct"/>
          </w:tcPr>
          <w:p w14:paraId="22579B63" w14:textId="77777777" w:rsidR="00247AD2" w:rsidRDefault="00247AD2" w:rsidP="00682FFF">
            <w:pPr>
              <w:pStyle w:val="BodyText"/>
            </w:pPr>
            <w:r>
              <w:t>17AD(e)</w:t>
            </w:r>
          </w:p>
        </w:tc>
        <w:tc>
          <w:tcPr>
            <w:tcW w:w="2252" w:type="pct"/>
          </w:tcPr>
          <w:p w14:paraId="15F0E3D5" w14:textId="77777777" w:rsidR="00247AD2" w:rsidRDefault="00247AD2" w:rsidP="00682FFF">
            <w:pPr>
              <w:pStyle w:val="BodyText"/>
            </w:pPr>
            <w:r>
              <w:t>Inclusion of the annual financial statements in accordance with subsection 43(4) of the Act.</w:t>
            </w:r>
          </w:p>
        </w:tc>
        <w:tc>
          <w:tcPr>
            <w:tcW w:w="916" w:type="pct"/>
          </w:tcPr>
          <w:p w14:paraId="55612510" w14:textId="77777777" w:rsidR="00247AD2" w:rsidRDefault="00247AD2" w:rsidP="00682FFF">
            <w:pPr>
              <w:pStyle w:val="BodyText"/>
            </w:pPr>
            <w:r>
              <w:t>Mandatory</w:t>
            </w:r>
          </w:p>
        </w:tc>
        <w:tc>
          <w:tcPr>
            <w:tcW w:w="878" w:type="pct"/>
          </w:tcPr>
          <w:p w14:paraId="0AD7C9FB" w14:textId="77777777" w:rsidR="00247AD2" w:rsidRDefault="00247AD2" w:rsidP="00682FFF">
            <w:pPr>
              <w:pStyle w:val="BodyText"/>
              <w:jc w:val="right"/>
            </w:pPr>
            <w:r>
              <w:t>164–207</w:t>
            </w:r>
          </w:p>
        </w:tc>
      </w:tr>
      <w:tr w:rsidR="00247AD2" w14:paraId="5693ACC2" w14:textId="77777777" w:rsidTr="006A0585">
        <w:trPr>
          <w:trHeight w:val="396"/>
        </w:trPr>
        <w:tc>
          <w:tcPr>
            <w:tcW w:w="954" w:type="pct"/>
          </w:tcPr>
          <w:p w14:paraId="3F2A5A0A"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2252" w:type="pct"/>
          </w:tcPr>
          <w:p w14:paraId="56CD0B65" w14:textId="77777777" w:rsidR="00247AD2" w:rsidRDefault="00247AD2" w:rsidP="00682FFF">
            <w:pPr>
              <w:pStyle w:val="BodyText"/>
            </w:pPr>
            <w:r>
              <w:rPr>
                <w:rStyle w:val="Bold"/>
              </w:rPr>
              <w:t>Executive Remuneration</w:t>
            </w:r>
          </w:p>
        </w:tc>
        <w:tc>
          <w:tcPr>
            <w:tcW w:w="916" w:type="pct"/>
          </w:tcPr>
          <w:p w14:paraId="133B12C3"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878" w:type="pct"/>
          </w:tcPr>
          <w:p w14:paraId="5C4B79FC"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00A7979E" w14:textId="77777777" w:rsidTr="006A0585">
        <w:trPr>
          <w:trHeight w:val="396"/>
        </w:trPr>
        <w:tc>
          <w:tcPr>
            <w:tcW w:w="954" w:type="pct"/>
          </w:tcPr>
          <w:p w14:paraId="7A57841C" w14:textId="77777777" w:rsidR="00247AD2" w:rsidRDefault="00247AD2" w:rsidP="00682FFF">
            <w:pPr>
              <w:pStyle w:val="BodyText"/>
            </w:pPr>
            <w:r>
              <w:t>17AD(da)</w:t>
            </w:r>
          </w:p>
        </w:tc>
        <w:tc>
          <w:tcPr>
            <w:tcW w:w="2252" w:type="pct"/>
          </w:tcPr>
          <w:p w14:paraId="0A742D1F" w14:textId="77777777" w:rsidR="00247AD2" w:rsidRDefault="00247AD2" w:rsidP="00682FFF">
            <w:pPr>
              <w:pStyle w:val="BodyText"/>
            </w:pPr>
            <w:r>
              <w:t>Information about executive remuneration in accordance with Subdivision C of Division 3A of Part 2 3 of the Rule.</w:t>
            </w:r>
          </w:p>
        </w:tc>
        <w:tc>
          <w:tcPr>
            <w:tcW w:w="916" w:type="pct"/>
          </w:tcPr>
          <w:p w14:paraId="25F3B6FC" w14:textId="77777777" w:rsidR="00247AD2" w:rsidRDefault="00247AD2" w:rsidP="00682FFF">
            <w:pPr>
              <w:pStyle w:val="BodyText"/>
            </w:pPr>
            <w:r>
              <w:t>Mandatory</w:t>
            </w:r>
          </w:p>
        </w:tc>
        <w:tc>
          <w:tcPr>
            <w:tcW w:w="878" w:type="pct"/>
          </w:tcPr>
          <w:p w14:paraId="11BFA848" w14:textId="77777777" w:rsidR="00247AD2" w:rsidRDefault="00247AD2" w:rsidP="00682FFF">
            <w:pPr>
              <w:pStyle w:val="BodyText"/>
              <w:jc w:val="right"/>
            </w:pPr>
            <w:r>
              <w:t>218–221</w:t>
            </w:r>
          </w:p>
        </w:tc>
      </w:tr>
      <w:tr w:rsidR="00247AD2" w14:paraId="3CA5A6CD" w14:textId="77777777" w:rsidTr="006A0585">
        <w:trPr>
          <w:trHeight w:val="396"/>
        </w:trPr>
        <w:tc>
          <w:tcPr>
            <w:tcW w:w="954" w:type="pct"/>
          </w:tcPr>
          <w:p w14:paraId="38704A7C" w14:textId="77777777" w:rsidR="00247AD2" w:rsidRDefault="00247AD2" w:rsidP="00682FFF">
            <w:pPr>
              <w:pStyle w:val="BodyText"/>
            </w:pPr>
            <w:r>
              <w:rPr>
                <w:rStyle w:val="Bold"/>
              </w:rPr>
              <w:t>17AD(f)</w:t>
            </w:r>
          </w:p>
        </w:tc>
        <w:tc>
          <w:tcPr>
            <w:tcW w:w="2252" w:type="pct"/>
          </w:tcPr>
          <w:p w14:paraId="46E658D4" w14:textId="77777777" w:rsidR="00247AD2" w:rsidRDefault="00247AD2" w:rsidP="00682FFF">
            <w:pPr>
              <w:pStyle w:val="BodyText"/>
            </w:pPr>
            <w:r>
              <w:rPr>
                <w:rStyle w:val="Bold"/>
              </w:rPr>
              <w:t>Other Mandatory Information</w:t>
            </w:r>
          </w:p>
        </w:tc>
        <w:tc>
          <w:tcPr>
            <w:tcW w:w="916" w:type="pct"/>
          </w:tcPr>
          <w:p w14:paraId="0DEAA3E5"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c>
          <w:tcPr>
            <w:tcW w:w="878" w:type="pct"/>
          </w:tcPr>
          <w:p w14:paraId="7D9E4AB9" w14:textId="77777777" w:rsidR="00247AD2" w:rsidRDefault="00247AD2" w:rsidP="00682FFF">
            <w:pPr>
              <w:pStyle w:val="NoParagraphStyle"/>
              <w:spacing w:line="240" w:lineRule="auto"/>
              <w:textAlignment w:val="auto"/>
              <w:rPr>
                <w:rFonts w:ascii="Roboto-Medium" w:hAnsi="Roboto-Medium" w:cstheme="minorBidi"/>
                <w:color w:val="auto"/>
                <w:lang w:val="en-AU"/>
              </w:rPr>
            </w:pPr>
          </w:p>
        </w:tc>
      </w:tr>
      <w:tr w:rsidR="00247AD2" w14:paraId="6E84825B" w14:textId="77777777" w:rsidTr="006A0585">
        <w:trPr>
          <w:trHeight w:val="396"/>
        </w:trPr>
        <w:tc>
          <w:tcPr>
            <w:tcW w:w="954" w:type="pct"/>
          </w:tcPr>
          <w:p w14:paraId="39FCC93C" w14:textId="77777777" w:rsidR="00247AD2" w:rsidRDefault="00247AD2" w:rsidP="00682FFF">
            <w:pPr>
              <w:pStyle w:val="BodyText"/>
            </w:pPr>
            <w:r>
              <w:t>17AH(1)(a)(i)</w:t>
            </w:r>
          </w:p>
        </w:tc>
        <w:tc>
          <w:tcPr>
            <w:tcW w:w="2252" w:type="pct"/>
          </w:tcPr>
          <w:p w14:paraId="31C0D691" w14:textId="77777777" w:rsidR="00247AD2" w:rsidRDefault="00247AD2" w:rsidP="00682FFF">
            <w:pPr>
              <w:pStyle w:val="BodyText"/>
            </w:pPr>
            <w:r>
              <w:t xml:space="preserve">If the entity conducted advertising campaigns, a statement that </w:t>
            </w:r>
            <w:r>
              <w:rPr>
                <w:rStyle w:val="Italic"/>
              </w:rPr>
              <w:t>‘During [reporting period], the [name of entity] conducted the following advertising campaigns: [name of advertising campaigns undertaken]. Further information on those advertising campaigns is available at [address of entity’s website] and in the reports on Australian Government advertising prepared by the Department of Finance. Those reports are available on the Department of Finance’s website.’</w:t>
            </w:r>
          </w:p>
        </w:tc>
        <w:tc>
          <w:tcPr>
            <w:tcW w:w="916" w:type="pct"/>
          </w:tcPr>
          <w:p w14:paraId="4DF4555D" w14:textId="77777777" w:rsidR="00247AD2" w:rsidRDefault="00247AD2" w:rsidP="00682FFF">
            <w:pPr>
              <w:pStyle w:val="BodyText"/>
            </w:pPr>
            <w:r>
              <w:t>If applicable, mandatory</w:t>
            </w:r>
          </w:p>
        </w:tc>
        <w:tc>
          <w:tcPr>
            <w:tcW w:w="878" w:type="pct"/>
          </w:tcPr>
          <w:p w14:paraId="317B9EB6" w14:textId="77777777" w:rsidR="00247AD2" w:rsidRDefault="00247AD2" w:rsidP="00682FFF">
            <w:pPr>
              <w:pStyle w:val="BodyText"/>
              <w:jc w:val="right"/>
            </w:pPr>
            <w:r>
              <w:t>Not applicable</w:t>
            </w:r>
          </w:p>
        </w:tc>
      </w:tr>
      <w:tr w:rsidR="00247AD2" w14:paraId="23A471FF" w14:textId="77777777" w:rsidTr="006A0585">
        <w:trPr>
          <w:trHeight w:val="396"/>
        </w:trPr>
        <w:tc>
          <w:tcPr>
            <w:tcW w:w="954" w:type="pct"/>
          </w:tcPr>
          <w:p w14:paraId="6C89DFE2" w14:textId="77777777" w:rsidR="00247AD2" w:rsidRDefault="00247AD2" w:rsidP="00682FFF">
            <w:pPr>
              <w:pStyle w:val="BodyText"/>
            </w:pPr>
            <w:r>
              <w:t>17AH(1)(a)(ii)</w:t>
            </w:r>
          </w:p>
        </w:tc>
        <w:tc>
          <w:tcPr>
            <w:tcW w:w="2252" w:type="pct"/>
          </w:tcPr>
          <w:p w14:paraId="005EC0A4" w14:textId="77777777" w:rsidR="00247AD2" w:rsidRDefault="00247AD2" w:rsidP="00682FFF">
            <w:pPr>
              <w:pStyle w:val="BodyText"/>
            </w:pPr>
            <w:r>
              <w:t>If the entity did not conduct advertising campaigns, a statement to that effect.</w:t>
            </w:r>
          </w:p>
        </w:tc>
        <w:tc>
          <w:tcPr>
            <w:tcW w:w="916" w:type="pct"/>
          </w:tcPr>
          <w:p w14:paraId="4E10F778" w14:textId="77777777" w:rsidR="00247AD2" w:rsidRDefault="00247AD2" w:rsidP="00682FFF">
            <w:pPr>
              <w:pStyle w:val="BodyText"/>
            </w:pPr>
            <w:r>
              <w:t>If applicable, mandatory</w:t>
            </w:r>
          </w:p>
        </w:tc>
        <w:tc>
          <w:tcPr>
            <w:tcW w:w="878" w:type="pct"/>
          </w:tcPr>
          <w:p w14:paraId="7BF290A8" w14:textId="77777777" w:rsidR="00247AD2" w:rsidRDefault="00247AD2" w:rsidP="00682FFF">
            <w:pPr>
              <w:pStyle w:val="BodyText"/>
              <w:jc w:val="right"/>
            </w:pPr>
            <w:r>
              <w:t>215</w:t>
            </w:r>
          </w:p>
        </w:tc>
      </w:tr>
      <w:tr w:rsidR="00247AD2" w14:paraId="1E1998F5" w14:textId="77777777" w:rsidTr="006A0585">
        <w:trPr>
          <w:trHeight w:val="396"/>
        </w:trPr>
        <w:tc>
          <w:tcPr>
            <w:tcW w:w="954" w:type="pct"/>
          </w:tcPr>
          <w:p w14:paraId="76B60BF1" w14:textId="77777777" w:rsidR="00247AD2" w:rsidRDefault="00247AD2" w:rsidP="00682FFF">
            <w:pPr>
              <w:pStyle w:val="BodyText"/>
            </w:pPr>
            <w:r>
              <w:t>17AH(1)(b)</w:t>
            </w:r>
          </w:p>
        </w:tc>
        <w:tc>
          <w:tcPr>
            <w:tcW w:w="2252" w:type="pct"/>
          </w:tcPr>
          <w:p w14:paraId="40F50141" w14:textId="77777777" w:rsidR="00247AD2" w:rsidRDefault="00247AD2" w:rsidP="00682FFF">
            <w:pPr>
              <w:pStyle w:val="BodyText"/>
            </w:pPr>
            <w:r>
              <w:t xml:space="preserve">A statement that </w:t>
            </w:r>
            <w:r>
              <w:rPr>
                <w:rStyle w:val="Italic"/>
              </w:rPr>
              <w:t>‘Information on grants awarded by [name of entity] during [reporting period] is available at [address of entity’s website].;</w:t>
            </w:r>
          </w:p>
        </w:tc>
        <w:tc>
          <w:tcPr>
            <w:tcW w:w="916" w:type="pct"/>
          </w:tcPr>
          <w:p w14:paraId="123DF940" w14:textId="77777777" w:rsidR="00247AD2" w:rsidRDefault="00247AD2" w:rsidP="00682FFF">
            <w:pPr>
              <w:pStyle w:val="BodyText"/>
            </w:pPr>
            <w:r>
              <w:t>If applicable, mandatory</w:t>
            </w:r>
          </w:p>
        </w:tc>
        <w:tc>
          <w:tcPr>
            <w:tcW w:w="878" w:type="pct"/>
          </w:tcPr>
          <w:p w14:paraId="6E8FCF88" w14:textId="77777777" w:rsidR="00247AD2" w:rsidRDefault="00247AD2" w:rsidP="00682FFF">
            <w:pPr>
              <w:pStyle w:val="BodyText"/>
              <w:jc w:val="right"/>
            </w:pPr>
            <w:r>
              <w:t>Not applicable</w:t>
            </w:r>
          </w:p>
        </w:tc>
      </w:tr>
      <w:tr w:rsidR="00247AD2" w14:paraId="1001195F" w14:textId="77777777" w:rsidTr="006A0585">
        <w:trPr>
          <w:trHeight w:val="396"/>
        </w:trPr>
        <w:tc>
          <w:tcPr>
            <w:tcW w:w="954" w:type="pct"/>
          </w:tcPr>
          <w:p w14:paraId="570DAEEB" w14:textId="77777777" w:rsidR="00247AD2" w:rsidRDefault="00247AD2" w:rsidP="00682FFF">
            <w:pPr>
              <w:pStyle w:val="BodyText"/>
            </w:pPr>
            <w:r>
              <w:lastRenderedPageBreak/>
              <w:t>17AH(1)(c)</w:t>
            </w:r>
          </w:p>
        </w:tc>
        <w:tc>
          <w:tcPr>
            <w:tcW w:w="2252" w:type="pct"/>
          </w:tcPr>
          <w:p w14:paraId="42FC44E3" w14:textId="77777777" w:rsidR="00247AD2" w:rsidRDefault="00247AD2" w:rsidP="00682FFF">
            <w:pPr>
              <w:pStyle w:val="BodyText"/>
            </w:pPr>
            <w:r>
              <w:t>Outline of mechanisms of disability reporting, including reference to website for further information.</w:t>
            </w:r>
          </w:p>
        </w:tc>
        <w:tc>
          <w:tcPr>
            <w:tcW w:w="916" w:type="pct"/>
          </w:tcPr>
          <w:p w14:paraId="62EB984C" w14:textId="77777777" w:rsidR="00247AD2" w:rsidRDefault="00247AD2" w:rsidP="00682FFF">
            <w:pPr>
              <w:pStyle w:val="BodyText"/>
            </w:pPr>
            <w:r>
              <w:t>Mandatory</w:t>
            </w:r>
          </w:p>
        </w:tc>
        <w:tc>
          <w:tcPr>
            <w:tcW w:w="878" w:type="pct"/>
          </w:tcPr>
          <w:p w14:paraId="033E81AA" w14:textId="77777777" w:rsidR="00247AD2" w:rsidRDefault="00247AD2" w:rsidP="00682FFF">
            <w:pPr>
              <w:pStyle w:val="BodyText"/>
              <w:jc w:val="right"/>
            </w:pPr>
            <w:r>
              <w:t>147</w:t>
            </w:r>
          </w:p>
        </w:tc>
      </w:tr>
      <w:tr w:rsidR="00247AD2" w14:paraId="37D657C6" w14:textId="77777777" w:rsidTr="006A0585">
        <w:trPr>
          <w:trHeight w:val="396"/>
        </w:trPr>
        <w:tc>
          <w:tcPr>
            <w:tcW w:w="954" w:type="pct"/>
          </w:tcPr>
          <w:p w14:paraId="1537175A" w14:textId="77777777" w:rsidR="00247AD2" w:rsidRDefault="00247AD2" w:rsidP="00682FFF">
            <w:pPr>
              <w:pStyle w:val="BodyText"/>
            </w:pPr>
            <w:r>
              <w:t>17AH(1)(d)</w:t>
            </w:r>
          </w:p>
        </w:tc>
        <w:tc>
          <w:tcPr>
            <w:tcW w:w="2252" w:type="pct"/>
          </w:tcPr>
          <w:p w14:paraId="7D8786E6" w14:textId="77777777" w:rsidR="00247AD2" w:rsidRDefault="00247AD2" w:rsidP="00682FFF">
            <w:pPr>
              <w:pStyle w:val="BodyText"/>
            </w:pPr>
            <w:r>
              <w:t>Website reference to where the entity’s Information Publication Scheme statement pursuant to Part II of FOI Act can be found.</w:t>
            </w:r>
          </w:p>
        </w:tc>
        <w:tc>
          <w:tcPr>
            <w:tcW w:w="916" w:type="pct"/>
          </w:tcPr>
          <w:p w14:paraId="534F1007" w14:textId="77777777" w:rsidR="00247AD2" w:rsidRDefault="00247AD2" w:rsidP="00682FFF">
            <w:pPr>
              <w:pStyle w:val="BodyText"/>
            </w:pPr>
            <w:r>
              <w:t>Mandatory</w:t>
            </w:r>
          </w:p>
        </w:tc>
        <w:tc>
          <w:tcPr>
            <w:tcW w:w="878" w:type="pct"/>
          </w:tcPr>
          <w:p w14:paraId="1B26BABB" w14:textId="77777777" w:rsidR="00247AD2" w:rsidRDefault="00247AD2" w:rsidP="00682FFF">
            <w:pPr>
              <w:pStyle w:val="BodyText"/>
              <w:jc w:val="right"/>
            </w:pPr>
            <w:r>
              <w:t>130</w:t>
            </w:r>
          </w:p>
        </w:tc>
      </w:tr>
      <w:tr w:rsidR="00247AD2" w14:paraId="026800C7" w14:textId="77777777" w:rsidTr="006A0585">
        <w:trPr>
          <w:trHeight w:val="396"/>
        </w:trPr>
        <w:tc>
          <w:tcPr>
            <w:tcW w:w="954" w:type="pct"/>
          </w:tcPr>
          <w:p w14:paraId="34F2177B" w14:textId="77777777" w:rsidR="00247AD2" w:rsidRDefault="00247AD2" w:rsidP="00682FFF">
            <w:pPr>
              <w:pStyle w:val="BodyText"/>
            </w:pPr>
            <w:r>
              <w:t>17AH(1)(e)</w:t>
            </w:r>
          </w:p>
        </w:tc>
        <w:tc>
          <w:tcPr>
            <w:tcW w:w="2252" w:type="pct"/>
          </w:tcPr>
          <w:p w14:paraId="467B8746" w14:textId="77777777" w:rsidR="00247AD2" w:rsidRDefault="00247AD2" w:rsidP="00682FFF">
            <w:pPr>
              <w:pStyle w:val="BodyText"/>
            </w:pPr>
            <w:r>
              <w:t>Correction of material errors in previous annual report.</w:t>
            </w:r>
          </w:p>
        </w:tc>
        <w:tc>
          <w:tcPr>
            <w:tcW w:w="916" w:type="pct"/>
          </w:tcPr>
          <w:p w14:paraId="0C016E1C" w14:textId="77777777" w:rsidR="00247AD2" w:rsidRDefault="00247AD2" w:rsidP="00682FFF">
            <w:pPr>
              <w:pStyle w:val="BodyText"/>
            </w:pPr>
            <w:r>
              <w:t>If applicable, mandatory</w:t>
            </w:r>
          </w:p>
        </w:tc>
        <w:tc>
          <w:tcPr>
            <w:tcW w:w="878" w:type="pct"/>
          </w:tcPr>
          <w:p w14:paraId="2DE9EE4E" w14:textId="77777777" w:rsidR="00247AD2" w:rsidRDefault="00247AD2" w:rsidP="00682FFF">
            <w:pPr>
              <w:pStyle w:val="BodyText"/>
              <w:jc w:val="right"/>
            </w:pPr>
            <w:r>
              <w:t>277</w:t>
            </w:r>
          </w:p>
        </w:tc>
      </w:tr>
      <w:tr w:rsidR="00247AD2" w14:paraId="05011E4D" w14:textId="77777777" w:rsidTr="006A0585">
        <w:trPr>
          <w:trHeight w:val="396"/>
        </w:trPr>
        <w:tc>
          <w:tcPr>
            <w:tcW w:w="954" w:type="pct"/>
          </w:tcPr>
          <w:p w14:paraId="6AF28EFC" w14:textId="77777777" w:rsidR="00247AD2" w:rsidRDefault="00247AD2" w:rsidP="00682FFF">
            <w:pPr>
              <w:pStyle w:val="BodyText"/>
            </w:pPr>
            <w:r>
              <w:t>17AH(2)</w:t>
            </w:r>
          </w:p>
        </w:tc>
        <w:tc>
          <w:tcPr>
            <w:tcW w:w="2252" w:type="pct"/>
          </w:tcPr>
          <w:p w14:paraId="76643855" w14:textId="77777777" w:rsidR="00247AD2" w:rsidRDefault="00247AD2" w:rsidP="00682FFF">
            <w:pPr>
              <w:pStyle w:val="BodyText"/>
            </w:pPr>
            <w:r>
              <w:t>Information required by other legislation.</w:t>
            </w:r>
          </w:p>
        </w:tc>
        <w:tc>
          <w:tcPr>
            <w:tcW w:w="916" w:type="pct"/>
          </w:tcPr>
          <w:p w14:paraId="7DD1FD1A" w14:textId="77777777" w:rsidR="00247AD2" w:rsidRDefault="00247AD2" w:rsidP="00682FFF">
            <w:pPr>
              <w:pStyle w:val="BodyText"/>
            </w:pPr>
            <w:r>
              <w:t>Mandatory</w:t>
            </w:r>
          </w:p>
        </w:tc>
        <w:tc>
          <w:tcPr>
            <w:tcW w:w="878" w:type="pct"/>
          </w:tcPr>
          <w:p w14:paraId="7BE7C1C2" w14:textId="77777777" w:rsidR="00247AD2" w:rsidRDefault="00247AD2" w:rsidP="00682FFF">
            <w:pPr>
              <w:pStyle w:val="BodyText"/>
              <w:jc w:val="right"/>
            </w:pPr>
            <w:r>
              <w:t>241–252</w:t>
            </w:r>
          </w:p>
        </w:tc>
      </w:tr>
    </w:tbl>
    <w:p w14:paraId="41FAD4D9" w14:textId="77777777" w:rsidR="00247AD2" w:rsidRDefault="00247AD2" w:rsidP="00247AD2">
      <w:pPr>
        <w:pStyle w:val="Heading1"/>
      </w:pPr>
      <w:bookmarkStart w:id="68" w:name="_Toc210815447"/>
      <w:r>
        <w:t>Appendix E — Glossary of abbreviations and acronyms</w:t>
      </w:r>
      <w:bookmarkEnd w:id="68"/>
      <w:r>
        <w:t xml:space="preserve"> </w:t>
      </w:r>
    </w:p>
    <w:p w14:paraId="4EC46059" w14:textId="77777777" w:rsidR="00247AD2" w:rsidRDefault="00247AD2" w:rsidP="00247AD2">
      <w:pPr>
        <w:pStyle w:val="BodyText"/>
        <w:spacing w:after="62"/>
      </w:pPr>
      <w:r>
        <w:t>AASB</w:t>
      </w:r>
      <w:r>
        <w:tab/>
      </w:r>
      <w:r>
        <w:tab/>
        <w:t xml:space="preserve">Australian Accounting Standards Board </w:t>
      </w:r>
    </w:p>
    <w:p w14:paraId="5EB1162A" w14:textId="77777777" w:rsidR="00247AD2" w:rsidRDefault="00247AD2" w:rsidP="00247AD2">
      <w:pPr>
        <w:pStyle w:val="BodyText"/>
        <w:spacing w:after="62"/>
      </w:pPr>
      <w:r>
        <w:t>AAT</w:t>
      </w:r>
      <w:r>
        <w:tab/>
      </w:r>
      <w:r>
        <w:tab/>
        <w:t>Administrative Appeals Tribunal</w:t>
      </w:r>
    </w:p>
    <w:p w14:paraId="4AAC2F4F" w14:textId="77777777" w:rsidR="00247AD2" w:rsidRDefault="00247AD2" w:rsidP="00247AD2">
      <w:pPr>
        <w:pStyle w:val="BodyText"/>
        <w:spacing w:after="62"/>
      </w:pPr>
      <w:r>
        <w:t xml:space="preserve">ACT </w:t>
      </w:r>
      <w:r>
        <w:tab/>
      </w:r>
      <w:r>
        <w:tab/>
        <w:t>Australian Capital Territory</w:t>
      </w:r>
    </w:p>
    <w:p w14:paraId="4A9FD2AC" w14:textId="77777777" w:rsidR="00247AD2" w:rsidRDefault="00247AD2" w:rsidP="00247AD2">
      <w:pPr>
        <w:pStyle w:val="BodyText"/>
        <w:spacing w:after="62"/>
      </w:pPr>
      <w:r>
        <w:t>ADHA</w:t>
      </w:r>
      <w:r>
        <w:tab/>
      </w:r>
      <w:r>
        <w:tab/>
        <w:t xml:space="preserve">Australia Digital Health Agency </w:t>
      </w:r>
    </w:p>
    <w:p w14:paraId="7061FCAE" w14:textId="77777777" w:rsidR="00247AD2" w:rsidRDefault="00247AD2" w:rsidP="00247AD2">
      <w:pPr>
        <w:pStyle w:val="BodyText"/>
        <w:spacing w:after="62"/>
      </w:pPr>
      <w:r>
        <w:t>ADHD</w:t>
      </w:r>
      <w:r>
        <w:tab/>
      </w:r>
      <w:r>
        <w:tab/>
        <w:t xml:space="preserve">attention deficit/hyperactivity disorder </w:t>
      </w:r>
    </w:p>
    <w:p w14:paraId="7A278423" w14:textId="77777777" w:rsidR="00247AD2" w:rsidRDefault="00247AD2" w:rsidP="00247AD2">
      <w:pPr>
        <w:pStyle w:val="BodyText"/>
        <w:spacing w:after="62"/>
      </w:pPr>
      <w:r>
        <w:t>AEC</w:t>
      </w:r>
      <w:r>
        <w:tab/>
      </w:r>
      <w:r>
        <w:tab/>
        <w:t>Australian Electoral Commission</w:t>
      </w:r>
    </w:p>
    <w:p w14:paraId="59052654" w14:textId="77777777" w:rsidR="00247AD2" w:rsidRDefault="00247AD2" w:rsidP="00247AD2">
      <w:pPr>
        <w:pStyle w:val="BodyText"/>
        <w:spacing w:after="62"/>
      </w:pPr>
      <w:r>
        <w:t>AGDIS</w:t>
      </w:r>
      <w:r>
        <w:tab/>
      </w:r>
      <w:r>
        <w:tab/>
        <w:t xml:space="preserve">Australian Government Digital Identity System </w:t>
      </w:r>
    </w:p>
    <w:p w14:paraId="359C48D8" w14:textId="77777777" w:rsidR="00247AD2" w:rsidRDefault="00247AD2" w:rsidP="00247AD2">
      <w:pPr>
        <w:pStyle w:val="BodyText"/>
        <w:spacing w:after="62"/>
      </w:pPr>
      <w:r>
        <w:t>AGDRP</w:t>
      </w:r>
      <w:r>
        <w:tab/>
      </w:r>
      <w:r>
        <w:tab/>
        <w:t xml:space="preserve">Australian Government Disaster Recovery Payment </w:t>
      </w:r>
    </w:p>
    <w:p w14:paraId="47A368A0" w14:textId="77777777" w:rsidR="00247AD2" w:rsidRDefault="00247AD2" w:rsidP="00247AD2">
      <w:pPr>
        <w:pStyle w:val="BodyText"/>
        <w:spacing w:after="62"/>
      </w:pPr>
      <w:r>
        <w:t>AHRI</w:t>
      </w:r>
      <w:r>
        <w:tab/>
      </w:r>
      <w:r>
        <w:tab/>
        <w:t xml:space="preserve">Australian HR Institute </w:t>
      </w:r>
    </w:p>
    <w:p w14:paraId="62F19A04" w14:textId="77777777" w:rsidR="00247AD2" w:rsidRDefault="00247AD2" w:rsidP="00247AD2">
      <w:pPr>
        <w:pStyle w:val="BodyText"/>
        <w:spacing w:after="62"/>
      </w:pPr>
      <w:r>
        <w:t>AI</w:t>
      </w:r>
      <w:r>
        <w:tab/>
      </w:r>
      <w:r>
        <w:tab/>
        <w:t xml:space="preserve">artificial intelligence </w:t>
      </w:r>
    </w:p>
    <w:p w14:paraId="69AE67C3" w14:textId="77777777" w:rsidR="00247AD2" w:rsidRDefault="00247AD2" w:rsidP="00247AD2">
      <w:pPr>
        <w:pStyle w:val="BodyText"/>
        <w:spacing w:after="62"/>
      </w:pPr>
      <w:r>
        <w:t>AIPM</w:t>
      </w:r>
      <w:r>
        <w:tab/>
      </w:r>
      <w:r>
        <w:tab/>
        <w:t xml:space="preserve">Australian Institute of Project Management </w:t>
      </w:r>
    </w:p>
    <w:p w14:paraId="62CF9BA6" w14:textId="77777777" w:rsidR="00247AD2" w:rsidRDefault="00247AD2" w:rsidP="00247AD2">
      <w:pPr>
        <w:pStyle w:val="BodyText"/>
        <w:spacing w:after="62"/>
      </w:pPr>
      <w:r>
        <w:t>AIR</w:t>
      </w:r>
      <w:r>
        <w:tab/>
      </w:r>
      <w:r>
        <w:tab/>
        <w:t xml:space="preserve">Australian Immunisation Register </w:t>
      </w:r>
    </w:p>
    <w:p w14:paraId="51931A27" w14:textId="77777777" w:rsidR="00247AD2" w:rsidRDefault="00247AD2" w:rsidP="00247AD2">
      <w:pPr>
        <w:pStyle w:val="BodyText"/>
        <w:spacing w:after="62"/>
      </w:pPr>
      <w:r>
        <w:t>ANAO</w:t>
      </w:r>
      <w:r>
        <w:tab/>
      </w:r>
      <w:r>
        <w:tab/>
        <w:t xml:space="preserve">Australian National Audit Office </w:t>
      </w:r>
    </w:p>
    <w:p w14:paraId="135F24C2" w14:textId="77777777" w:rsidR="00247AD2" w:rsidRDefault="00247AD2" w:rsidP="00247AD2">
      <w:pPr>
        <w:pStyle w:val="BodyText"/>
        <w:spacing w:after="62"/>
      </w:pPr>
      <w:r>
        <w:t xml:space="preserve">AoS </w:t>
      </w:r>
      <w:r>
        <w:tab/>
      </w:r>
      <w:r>
        <w:tab/>
        <w:t xml:space="preserve">Assurance of Support </w:t>
      </w:r>
    </w:p>
    <w:p w14:paraId="4411F11B" w14:textId="77777777" w:rsidR="00247AD2" w:rsidRDefault="00247AD2" w:rsidP="00247AD2">
      <w:pPr>
        <w:pStyle w:val="BodyText"/>
        <w:spacing w:after="62"/>
      </w:pPr>
      <w:r>
        <w:t>APS</w:t>
      </w:r>
      <w:r>
        <w:tab/>
      </w:r>
      <w:r>
        <w:tab/>
        <w:t>Australian Public Service</w:t>
      </w:r>
    </w:p>
    <w:p w14:paraId="7F5B6F59" w14:textId="77777777" w:rsidR="00247AD2" w:rsidRDefault="00247AD2" w:rsidP="00247AD2">
      <w:pPr>
        <w:pStyle w:val="BodyText"/>
        <w:spacing w:after="62"/>
      </w:pPr>
      <w:r>
        <w:t xml:space="preserve">APSC </w:t>
      </w:r>
      <w:r>
        <w:tab/>
      </w:r>
      <w:r>
        <w:tab/>
        <w:t xml:space="preserve">Australian Public Service Commission’s </w:t>
      </w:r>
    </w:p>
    <w:p w14:paraId="71CBA1AA" w14:textId="77777777" w:rsidR="00247AD2" w:rsidRDefault="00247AD2" w:rsidP="00247AD2">
      <w:pPr>
        <w:pStyle w:val="BodyText"/>
        <w:spacing w:after="62"/>
      </w:pPr>
      <w:r>
        <w:t>ARC</w:t>
      </w:r>
      <w:r>
        <w:tab/>
      </w:r>
      <w:r>
        <w:tab/>
        <w:t>Audit and Risk Committee</w:t>
      </w:r>
    </w:p>
    <w:p w14:paraId="2C05EC2C" w14:textId="77777777" w:rsidR="00247AD2" w:rsidRDefault="00247AD2" w:rsidP="00247AD2">
      <w:pPr>
        <w:pStyle w:val="BodyText"/>
        <w:spacing w:after="62"/>
      </w:pPr>
      <w:r>
        <w:t>ART</w:t>
      </w:r>
      <w:r>
        <w:tab/>
      </w:r>
      <w:r>
        <w:tab/>
        <w:t>Administrative Review Tribunal</w:t>
      </w:r>
    </w:p>
    <w:p w14:paraId="7A421FBC" w14:textId="77777777" w:rsidR="00247AD2" w:rsidRDefault="00247AD2" w:rsidP="00247AD2">
      <w:pPr>
        <w:pStyle w:val="BodyText"/>
        <w:spacing w:after="62"/>
      </w:pPr>
      <w:r>
        <w:t>ATO</w:t>
      </w:r>
      <w:r>
        <w:tab/>
      </w:r>
      <w:r>
        <w:tab/>
        <w:t>Australian Taxation Office</w:t>
      </w:r>
    </w:p>
    <w:p w14:paraId="55C861A3" w14:textId="77777777" w:rsidR="00247AD2" w:rsidRDefault="00247AD2" w:rsidP="00247AD2">
      <w:pPr>
        <w:pStyle w:val="BodyText"/>
        <w:spacing w:after="62"/>
      </w:pPr>
      <w:r>
        <w:t>AVTOP</w:t>
      </w:r>
      <w:r>
        <w:tab/>
      </w:r>
      <w:r>
        <w:tab/>
        <w:t xml:space="preserve">Australian Victims of Terrorism Overseas Payment </w:t>
      </w:r>
    </w:p>
    <w:p w14:paraId="03568B40" w14:textId="77777777" w:rsidR="00247AD2" w:rsidRDefault="00247AD2" w:rsidP="00247AD2">
      <w:pPr>
        <w:pStyle w:val="BodyText"/>
        <w:spacing w:after="62"/>
      </w:pPr>
      <w:r>
        <w:t>AWEI</w:t>
      </w:r>
      <w:r>
        <w:tab/>
      </w:r>
      <w:r>
        <w:tab/>
        <w:t xml:space="preserve">Australian Workplace Equality Index </w:t>
      </w:r>
    </w:p>
    <w:p w14:paraId="2A28D258" w14:textId="77777777" w:rsidR="00247AD2" w:rsidRDefault="00247AD2" w:rsidP="00247AD2">
      <w:pPr>
        <w:pStyle w:val="BodyText"/>
        <w:spacing w:after="62"/>
      </w:pPr>
      <w:r>
        <w:lastRenderedPageBreak/>
        <w:t>CALD</w:t>
      </w:r>
      <w:r>
        <w:tab/>
      </w:r>
      <w:r>
        <w:tab/>
        <w:t xml:space="preserve">culturally and linguistically diverse </w:t>
      </w:r>
    </w:p>
    <w:p w14:paraId="7B1A475E" w14:textId="77777777" w:rsidR="00247AD2" w:rsidRDefault="00247AD2" w:rsidP="00247AD2">
      <w:pPr>
        <w:pStyle w:val="BodyText"/>
        <w:spacing w:after="62"/>
      </w:pPr>
      <w:r>
        <w:t>CCD</w:t>
      </w:r>
      <w:r>
        <w:tab/>
      </w:r>
      <w:r>
        <w:tab/>
        <w:t>Commonwealth Climate Disclosure</w:t>
      </w:r>
    </w:p>
    <w:p w14:paraId="3A30D357" w14:textId="77777777" w:rsidR="00247AD2" w:rsidRDefault="00247AD2" w:rsidP="00247AD2">
      <w:pPr>
        <w:pStyle w:val="BodyText"/>
        <w:spacing w:after="62"/>
      </w:pPr>
      <w:r>
        <w:t>CCeS</w:t>
      </w:r>
      <w:r>
        <w:tab/>
      </w:r>
      <w:r>
        <w:tab/>
        <w:t xml:space="preserve">Centrelink Confirmation eServices </w:t>
      </w:r>
    </w:p>
    <w:p w14:paraId="7E28838C" w14:textId="77777777" w:rsidR="00247AD2" w:rsidRDefault="00247AD2" w:rsidP="00247AD2">
      <w:pPr>
        <w:pStyle w:val="BodyText"/>
        <w:spacing w:after="62"/>
      </w:pPr>
      <w:r>
        <w:t>CCO</w:t>
      </w:r>
      <w:r>
        <w:tab/>
      </w:r>
      <w:r>
        <w:tab/>
        <w:t>Chief Customer Officer</w:t>
      </w:r>
    </w:p>
    <w:p w14:paraId="734B94FB" w14:textId="77777777" w:rsidR="00247AD2" w:rsidRDefault="00247AD2" w:rsidP="00247AD2">
      <w:pPr>
        <w:pStyle w:val="BodyText"/>
        <w:spacing w:after="62"/>
      </w:pPr>
      <w:r>
        <w:t xml:space="preserve">CDPP </w:t>
      </w:r>
      <w:r>
        <w:tab/>
      </w:r>
      <w:r>
        <w:tab/>
        <w:t>Commonwealth Director of Public Prosecutions</w:t>
      </w:r>
    </w:p>
    <w:p w14:paraId="359F5C97" w14:textId="77777777" w:rsidR="00247AD2" w:rsidRDefault="00247AD2" w:rsidP="00247AD2">
      <w:pPr>
        <w:pStyle w:val="BodyText"/>
        <w:spacing w:after="62"/>
      </w:pPr>
      <w:r>
        <w:t>CEO</w:t>
      </w:r>
      <w:r>
        <w:tab/>
      </w:r>
      <w:r>
        <w:tab/>
        <w:t>Chief Executive Officer</w:t>
      </w:r>
    </w:p>
    <w:p w14:paraId="3DAFECFD" w14:textId="77777777" w:rsidR="00247AD2" w:rsidRDefault="00247AD2" w:rsidP="00247AD2">
      <w:pPr>
        <w:pStyle w:val="BodyText"/>
        <w:spacing w:after="62"/>
      </w:pPr>
      <w:r>
        <w:t>CIDO</w:t>
      </w:r>
      <w:r>
        <w:tab/>
      </w:r>
      <w:r>
        <w:tab/>
        <w:t xml:space="preserve">Chief Information and Digital Officer </w:t>
      </w:r>
    </w:p>
    <w:p w14:paraId="2123817A" w14:textId="77777777" w:rsidR="00247AD2" w:rsidRDefault="00247AD2" w:rsidP="00247AD2">
      <w:pPr>
        <w:pStyle w:val="BodyText"/>
        <w:spacing w:after="62"/>
      </w:pPr>
      <w:r>
        <w:t>COO</w:t>
      </w:r>
      <w:r>
        <w:tab/>
      </w:r>
      <w:r>
        <w:tab/>
        <w:t>Chief Operating Officer</w:t>
      </w:r>
    </w:p>
    <w:p w14:paraId="6A2AD772" w14:textId="77777777" w:rsidR="00247AD2" w:rsidRDefault="00247AD2" w:rsidP="00247AD2">
      <w:pPr>
        <w:pStyle w:val="BodyText"/>
        <w:spacing w:after="62"/>
      </w:pPr>
      <w:r>
        <w:t>CPSOs</w:t>
      </w:r>
      <w:r>
        <w:tab/>
      </w:r>
      <w:r>
        <w:tab/>
        <w:t xml:space="preserve">Community Partnership Specialist Officers </w:t>
      </w:r>
    </w:p>
    <w:p w14:paraId="08981E1D" w14:textId="77777777" w:rsidR="00247AD2" w:rsidRDefault="00247AD2" w:rsidP="00247AD2">
      <w:pPr>
        <w:pStyle w:val="BodyText"/>
        <w:spacing w:after="62"/>
      </w:pPr>
      <w:r>
        <w:t>CSAG</w:t>
      </w:r>
      <w:r>
        <w:tab/>
      </w:r>
      <w:r>
        <w:tab/>
        <w:t>Civil Society Advisory Group</w:t>
      </w:r>
    </w:p>
    <w:p w14:paraId="4EC7EF03" w14:textId="77777777" w:rsidR="00247AD2" w:rsidRDefault="00247AD2" w:rsidP="00247AD2">
      <w:pPr>
        <w:pStyle w:val="BodyText"/>
        <w:spacing w:after="62"/>
      </w:pPr>
      <w:r>
        <w:t>CSO</w:t>
      </w:r>
      <w:r>
        <w:tab/>
      </w:r>
      <w:r>
        <w:tab/>
        <w:t xml:space="preserve">Chief Sustainability Officer </w:t>
      </w:r>
    </w:p>
    <w:p w14:paraId="672933EF" w14:textId="77777777" w:rsidR="00247AD2" w:rsidRDefault="00247AD2" w:rsidP="00247AD2">
      <w:pPr>
        <w:pStyle w:val="BodyText"/>
        <w:spacing w:after="62"/>
      </w:pPr>
      <w:r>
        <w:t>CX</w:t>
      </w:r>
      <w:r>
        <w:tab/>
      </w:r>
      <w:r>
        <w:tab/>
        <w:t xml:space="preserve">Customer Experience </w:t>
      </w:r>
    </w:p>
    <w:p w14:paraId="32BA3C9B" w14:textId="77777777" w:rsidR="00247AD2" w:rsidRDefault="00247AD2" w:rsidP="00247AD2">
      <w:pPr>
        <w:pStyle w:val="BodyText"/>
        <w:spacing w:after="62"/>
      </w:pPr>
      <w:r>
        <w:t>DCEOs</w:t>
      </w:r>
      <w:r>
        <w:tab/>
      </w:r>
      <w:r>
        <w:tab/>
        <w:t xml:space="preserve">Deputy Chief Executive Officers </w:t>
      </w:r>
    </w:p>
    <w:p w14:paraId="2DB3C58D" w14:textId="77777777" w:rsidR="00247AD2" w:rsidRDefault="00247AD2" w:rsidP="00247AD2">
      <w:pPr>
        <w:pStyle w:val="BodyText"/>
        <w:spacing w:after="62"/>
      </w:pPr>
      <w:r>
        <w:t>DEWR</w:t>
      </w:r>
      <w:r>
        <w:tab/>
      </w:r>
      <w:r>
        <w:tab/>
        <w:t>Department of Employment and Workplace Relations</w:t>
      </w:r>
    </w:p>
    <w:p w14:paraId="64AE7163" w14:textId="77777777" w:rsidR="00247AD2" w:rsidRDefault="00247AD2" w:rsidP="00247AD2">
      <w:pPr>
        <w:pStyle w:val="BodyText"/>
        <w:spacing w:after="62"/>
      </w:pPr>
      <w:r>
        <w:t>DFAT</w:t>
      </w:r>
      <w:r>
        <w:tab/>
      </w:r>
      <w:r>
        <w:tab/>
        <w:t>Department of Foreign Affairs and Trade</w:t>
      </w:r>
    </w:p>
    <w:p w14:paraId="1340C187" w14:textId="77777777" w:rsidR="00247AD2" w:rsidRDefault="00247AD2" w:rsidP="00247AD2">
      <w:pPr>
        <w:pStyle w:val="BodyText"/>
        <w:spacing w:after="62"/>
      </w:pPr>
      <w:r>
        <w:t>Home Affairs</w:t>
      </w:r>
      <w:r>
        <w:tab/>
        <w:t>Department of Home Affairs</w:t>
      </w:r>
    </w:p>
    <w:p w14:paraId="364D145C" w14:textId="77777777" w:rsidR="00247AD2" w:rsidRDefault="00247AD2" w:rsidP="00247AD2">
      <w:pPr>
        <w:pStyle w:val="BodyText"/>
        <w:spacing w:after="62"/>
      </w:pPr>
      <w:r>
        <w:t>DHDA</w:t>
      </w:r>
      <w:r>
        <w:tab/>
      </w:r>
      <w:r>
        <w:tab/>
        <w:t xml:space="preserve">Department of Health, Disability and Ageing </w:t>
      </w:r>
    </w:p>
    <w:p w14:paraId="4612EFBA" w14:textId="77777777" w:rsidR="00247AD2" w:rsidRDefault="00247AD2" w:rsidP="00247AD2">
      <w:pPr>
        <w:pStyle w:val="BodyText"/>
        <w:spacing w:after="62"/>
      </w:pPr>
      <w:r>
        <w:t>DoE</w:t>
      </w:r>
      <w:r>
        <w:tab/>
      </w:r>
      <w:r>
        <w:tab/>
        <w:t>Department of Education</w:t>
      </w:r>
    </w:p>
    <w:p w14:paraId="5F839865" w14:textId="77777777" w:rsidR="00247AD2" w:rsidRDefault="00247AD2" w:rsidP="00247AD2">
      <w:pPr>
        <w:pStyle w:val="BodyText"/>
        <w:spacing w:after="62"/>
      </w:pPr>
      <w:r>
        <w:t>DoF</w:t>
      </w:r>
      <w:r>
        <w:tab/>
      </w:r>
      <w:r>
        <w:tab/>
        <w:t>Department of Finance</w:t>
      </w:r>
    </w:p>
    <w:p w14:paraId="567A5520" w14:textId="77777777" w:rsidR="00247AD2" w:rsidRDefault="00247AD2" w:rsidP="00247AD2">
      <w:pPr>
        <w:pStyle w:val="BodyText"/>
        <w:spacing w:after="62"/>
      </w:pPr>
      <w:r>
        <w:t>DRA</w:t>
      </w:r>
      <w:r>
        <w:tab/>
      </w:r>
      <w:r>
        <w:tab/>
        <w:t xml:space="preserve">Disaster Recovery Allowance </w:t>
      </w:r>
    </w:p>
    <w:p w14:paraId="2E207ED3" w14:textId="77777777" w:rsidR="00247AD2" w:rsidRDefault="00247AD2" w:rsidP="00247AD2">
      <w:pPr>
        <w:pStyle w:val="BodyText"/>
        <w:spacing w:after="62"/>
      </w:pPr>
      <w:r>
        <w:t>DSP</w:t>
      </w:r>
      <w:r>
        <w:tab/>
      </w:r>
      <w:r>
        <w:tab/>
        <w:t xml:space="preserve">Disability Support Pension </w:t>
      </w:r>
    </w:p>
    <w:p w14:paraId="2FAE2218" w14:textId="77777777" w:rsidR="00247AD2" w:rsidRDefault="00247AD2" w:rsidP="00247AD2">
      <w:pPr>
        <w:pStyle w:val="BodyText"/>
        <w:spacing w:after="62"/>
      </w:pPr>
      <w:r>
        <w:t>DSS</w:t>
      </w:r>
      <w:r>
        <w:tab/>
      </w:r>
      <w:r>
        <w:tab/>
        <w:t xml:space="preserve">Department of Social Services </w:t>
      </w:r>
    </w:p>
    <w:p w14:paraId="465ECA76" w14:textId="77777777" w:rsidR="00247AD2" w:rsidRDefault="00247AD2" w:rsidP="00247AD2">
      <w:pPr>
        <w:pStyle w:val="BodyText"/>
        <w:spacing w:after="62"/>
      </w:pPr>
      <w:r>
        <w:t>DVA</w:t>
      </w:r>
      <w:r>
        <w:tab/>
      </w:r>
      <w:r>
        <w:tab/>
        <w:t>Department of Veterans’ Affairs</w:t>
      </w:r>
    </w:p>
    <w:p w14:paraId="3D89DF3E" w14:textId="77777777" w:rsidR="00247AD2" w:rsidRDefault="00247AD2" w:rsidP="00247AD2">
      <w:pPr>
        <w:pStyle w:val="BodyText"/>
        <w:spacing w:after="62"/>
        <w:rPr>
          <w:spacing w:val="-3"/>
        </w:rPr>
      </w:pPr>
      <w:r>
        <w:t>EBT</w:t>
      </w:r>
      <w:r>
        <w:tab/>
      </w:r>
      <w:r>
        <w:tab/>
        <w:t>Electronic Benefit Transfer</w:t>
      </w:r>
    </w:p>
    <w:p w14:paraId="6D462736" w14:textId="77777777" w:rsidR="00247AD2" w:rsidRDefault="00247AD2" w:rsidP="00247AD2">
      <w:pPr>
        <w:pStyle w:val="BodyText"/>
        <w:spacing w:after="62"/>
        <w:rPr>
          <w:spacing w:val="-4"/>
        </w:rPr>
      </w:pPr>
      <w:r>
        <w:rPr>
          <w:spacing w:val="-4"/>
        </w:rPr>
        <w:t>ECLIPSE</w:t>
      </w:r>
      <w:r>
        <w:rPr>
          <w:spacing w:val="-4"/>
        </w:rPr>
        <w:tab/>
      </w:r>
      <w:r>
        <w:rPr>
          <w:spacing w:val="-4"/>
        </w:rPr>
        <w:tab/>
        <w:t xml:space="preserve">Electronic Claim Lodgement Information Processing Service Environment </w:t>
      </w:r>
    </w:p>
    <w:p w14:paraId="375B2CB7" w14:textId="77777777" w:rsidR="00247AD2" w:rsidRDefault="00247AD2" w:rsidP="00247AD2">
      <w:pPr>
        <w:pStyle w:val="BodyText"/>
        <w:spacing w:after="62"/>
      </w:pPr>
      <w:r>
        <w:t>EL</w:t>
      </w:r>
      <w:r>
        <w:tab/>
      </w:r>
      <w:r>
        <w:tab/>
        <w:t>Executive Level</w:t>
      </w:r>
    </w:p>
    <w:p w14:paraId="3FCF4A1D" w14:textId="77777777" w:rsidR="00247AD2" w:rsidRDefault="00247AD2" w:rsidP="00247AD2">
      <w:pPr>
        <w:pStyle w:val="BodyText"/>
        <w:spacing w:after="62"/>
        <w:rPr>
          <w:rStyle w:val="Italic"/>
        </w:rPr>
      </w:pPr>
      <w:r>
        <w:t>EPBC Act</w:t>
      </w:r>
      <w:r>
        <w:tab/>
      </w:r>
      <w:r>
        <w:rPr>
          <w:rStyle w:val="Italic"/>
        </w:rPr>
        <w:t xml:space="preserve">Environment Protection and Biodiversity Conservation Act 1999 </w:t>
      </w:r>
    </w:p>
    <w:p w14:paraId="0E5B0804" w14:textId="77777777" w:rsidR="00247AD2" w:rsidRDefault="00247AD2" w:rsidP="00247AD2">
      <w:pPr>
        <w:pStyle w:val="BodyText"/>
        <w:spacing w:after="62"/>
      </w:pPr>
      <w:r>
        <w:t>EMEP</w:t>
      </w:r>
      <w:r>
        <w:tab/>
      </w:r>
      <w:r>
        <w:tab/>
        <w:t xml:space="preserve">Essential Medical Equipment Payment </w:t>
      </w:r>
    </w:p>
    <w:p w14:paraId="554F2DE2" w14:textId="77777777" w:rsidR="00247AD2" w:rsidRDefault="00247AD2" w:rsidP="00247AD2">
      <w:pPr>
        <w:pStyle w:val="BodyText"/>
        <w:spacing w:after="62"/>
      </w:pPr>
      <w:r>
        <w:t>ESAts</w:t>
      </w:r>
      <w:r>
        <w:tab/>
      </w:r>
      <w:r>
        <w:tab/>
        <w:t xml:space="preserve">Employment Services Assessments </w:t>
      </w:r>
    </w:p>
    <w:p w14:paraId="59A02C4A" w14:textId="77777777" w:rsidR="00247AD2" w:rsidRDefault="00247AD2" w:rsidP="00247AD2">
      <w:pPr>
        <w:pStyle w:val="BodyText"/>
        <w:spacing w:after="62"/>
      </w:pPr>
      <w:r>
        <w:t>ESD</w:t>
      </w:r>
      <w:r>
        <w:tab/>
      </w:r>
      <w:r>
        <w:tab/>
        <w:t>Ecologically Sustainable Development</w:t>
      </w:r>
    </w:p>
    <w:p w14:paraId="70CFF004" w14:textId="77777777" w:rsidR="00247AD2" w:rsidRDefault="00247AD2" w:rsidP="00247AD2">
      <w:pPr>
        <w:pStyle w:val="BodyText"/>
        <w:spacing w:after="62"/>
      </w:pPr>
      <w:r>
        <w:t>FCCP</w:t>
      </w:r>
      <w:r>
        <w:tab/>
      </w:r>
      <w:r>
        <w:tab/>
        <w:t xml:space="preserve">Fraud and Corruption Control Plan </w:t>
      </w:r>
    </w:p>
    <w:p w14:paraId="7437C130" w14:textId="77777777" w:rsidR="00247AD2" w:rsidRDefault="00247AD2" w:rsidP="00247AD2">
      <w:pPr>
        <w:pStyle w:val="BodyText"/>
        <w:spacing w:after="62"/>
      </w:pPr>
      <w:r>
        <w:t>FFT</w:t>
      </w:r>
      <w:r>
        <w:tab/>
      </w:r>
      <w:r>
        <w:tab/>
        <w:t xml:space="preserve">Fraud Fusion Taskforce </w:t>
      </w:r>
    </w:p>
    <w:p w14:paraId="19FB3278" w14:textId="77777777" w:rsidR="00247AD2" w:rsidRDefault="00247AD2" w:rsidP="00247AD2">
      <w:pPr>
        <w:pStyle w:val="BodyText"/>
        <w:spacing w:after="62"/>
      </w:pPr>
      <w:r>
        <w:t>FIS</w:t>
      </w:r>
      <w:r>
        <w:tab/>
      </w:r>
      <w:r>
        <w:tab/>
        <w:t xml:space="preserve">Financial Information Service </w:t>
      </w:r>
    </w:p>
    <w:p w14:paraId="54CBEBF3" w14:textId="77777777" w:rsidR="00247AD2" w:rsidRDefault="00247AD2" w:rsidP="00247AD2">
      <w:pPr>
        <w:pStyle w:val="BodyText"/>
        <w:spacing w:after="62"/>
      </w:pPr>
      <w:r>
        <w:t>FOI</w:t>
      </w:r>
      <w:r>
        <w:tab/>
      </w:r>
      <w:r>
        <w:tab/>
        <w:t>freedom of information</w:t>
      </w:r>
    </w:p>
    <w:p w14:paraId="2E27B89F" w14:textId="77777777" w:rsidR="00247AD2" w:rsidRDefault="00247AD2" w:rsidP="00247AD2">
      <w:pPr>
        <w:pStyle w:val="BodyText"/>
        <w:spacing w:after="62"/>
      </w:pPr>
      <w:r>
        <w:t xml:space="preserve">FSC </w:t>
      </w:r>
      <w:r>
        <w:tab/>
      </w:r>
      <w:r>
        <w:tab/>
        <w:t xml:space="preserve">Forest Stewardship Council </w:t>
      </w:r>
    </w:p>
    <w:p w14:paraId="44E28274" w14:textId="77777777" w:rsidR="00247AD2" w:rsidRDefault="00247AD2" w:rsidP="00247AD2">
      <w:pPr>
        <w:pStyle w:val="BodyText"/>
        <w:spacing w:after="62"/>
      </w:pPr>
      <w:r>
        <w:t>FTB</w:t>
      </w:r>
      <w:r>
        <w:tab/>
      </w:r>
      <w:r>
        <w:tab/>
        <w:t>Family Tax Benefit</w:t>
      </w:r>
    </w:p>
    <w:p w14:paraId="40B37C0D" w14:textId="77777777" w:rsidR="00247AD2" w:rsidRDefault="00247AD2" w:rsidP="00247AD2">
      <w:pPr>
        <w:pStyle w:val="BodyText"/>
        <w:spacing w:after="62"/>
      </w:pPr>
      <w:r>
        <w:t>GM</w:t>
      </w:r>
      <w:r>
        <w:tab/>
      </w:r>
      <w:r>
        <w:tab/>
        <w:t>General Managers</w:t>
      </w:r>
    </w:p>
    <w:p w14:paraId="40AAC561" w14:textId="77777777" w:rsidR="00247AD2" w:rsidRDefault="00247AD2" w:rsidP="00247AD2">
      <w:pPr>
        <w:pStyle w:val="BodyText"/>
        <w:spacing w:after="62"/>
      </w:pPr>
      <w:r>
        <w:lastRenderedPageBreak/>
        <w:t>GP</w:t>
      </w:r>
      <w:r>
        <w:tab/>
      </w:r>
      <w:r>
        <w:tab/>
        <w:t xml:space="preserve">general practitioner </w:t>
      </w:r>
    </w:p>
    <w:p w14:paraId="7262FF17" w14:textId="77777777" w:rsidR="00247AD2" w:rsidRDefault="00247AD2" w:rsidP="00247AD2">
      <w:pPr>
        <w:pStyle w:val="BodyText"/>
        <w:spacing w:after="62"/>
      </w:pPr>
      <w:r>
        <w:t>GPACI</w:t>
      </w:r>
      <w:r>
        <w:tab/>
      </w:r>
      <w:r>
        <w:tab/>
        <w:t xml:space="preserve">General Practice in Aged Care Incentive </w:t>
      </w:r>
    </w:p>
    <w:p w14:paraId="5AE101ED" w14:textId="77777777" w:rsidR="00247AD2" w:rsidRDefault="00247AD2" w:rsidP="00247AD2">
      <w:pPr>
        <w:pStyle w:val="BodyText"/>
        <w:spacing w:after="62"/>
      </w:pPr>
      <w:r>
        <w:t>HPAU</w:t>
      </w:r>
      <w:r>
        <w:tab/>
      </w:r>
      <w:r>
        <w:tab/>
        <w:t xml:space="preserve">Health Professional Advisory Unit </w:t>
      </w:r>
    </w:p>
    <w:p w14:paraId="0513C295" w14:textId="77777777" w:rsidR="00247AD2" w:rsidRDefault="00247AD2" w:rsidP="00247AD2">
      <w:pPr>
        <w:pStyle w:val="BodyText"/>
        <w:spacing w:after="62"/>
      </w:pPr>
      <w:r>
        <w:t>HPOS</w:t>
      </w:r>
      <w:r>
        <w:tab/>
      </w:r>
      <w:r>
        <w:tab/>
        <w:t>Health Professional Online Services</w:t>
      </w:r>
    </w:p>
    <w:p w14:paraId="621C8DAB" w14:textId="77777777" w:rsidR="00247AD2" w:rsidRDefault="00247AD2" w:rsidP="00247AD2">
      <w:pPr>
        <w:pStyle w:val="BodyText"/>
        <w:spacing w:after="62"/>
      </w:pPr>
      <w:r>
        <w:t>ICT</w:t>
      </w:r>
      <w:r>
        <w:tab/>
      </w:r>
      <w:r>
        <w:tab/>
        <w:t xml:space="preserve">information and communications technology </w:t>
      </w:r>
    </w:p>
    <w:p w14:paraId="7C73B428" w14:textId="77777777" w:rsidR="00247AD2" w:rsidRDefault="00247AD2" w:rsidP="00247AD2">
      <w:pPr>
        <w:pStyle w:val="BodyText"/>
        <w:spacing w:after="62"/>
      </w:pPr>
      <w:r>
        <w:t>IPAA</w:t>
      </w:r>
      <w:r>
        <w:tab/>
      </w:r>
      <w:r>
        <w:tab/>
        <w:t xml:space="preserve">Institute of Public Administration Australia </w:t>
      </w:r>
    </w:p>
    <w:p w14:paraId="7DD356F7" w14:textId="77777777" w:rsidR="00247AD2" w:rsidRDefault="00247AD2" w:rsidP="00247AD2">
      <w:pPr>
        <w:pStyle w:val="BodyText"/>
        <w:spacing w:after="62"/>
      </w:pPr>
      <w:r>
        <w:t>IPS</w:t>
      </w:r>
      <w:r>
        <w:tab/>
      </w:r>
      <w:r>
        <w:tab/>
        <w:t xml:space="preserve">Information Publication Scheme </w:t>
      </w:r>
    </w:p>
    <w:p w14:paraId="2FBC4C6D" w14:textId="77777777" w:rsidR="00247AD2" w:rsidRDefault="00247AD2" w:rsidP="00247AD2">
      <w:pPr>
        <w:pStyle w:val="BodyText"/>
        <w:spacing w:after="62"/>
      </w:pPr>
      <w:r>
        <w:t>ISO</w:t>
      </w:r>
      <w:r>
        <w:tab/>
      </w:r>
      <w:r>
        <w:tab/>
        <w:t>Indigenous Service Officer</w:t>
      </w:r>
    </w:p>
    <w:p w14:paraId="65CCAD77" w14:textId="77777777" w:rsidR="00247AD2" w:rsidRDefault="00247AD2" w:rsidP="00247AD2">
      <w:pPr>
        <w:pStyle w:val="BodyText"/>
        <w:spacing w:after="62"/>
      </w:pPr>
      <w:r>
        <w:t xml:space="preserve">ISPP </w:t>
      </w:r>
      <w:r>
        <w:tab/>
      </w:r>
      <w:r>
        <w:tab/>
        <w:t xml:space="preserve">Indigenous Servicing Pathway Plan </w:t>
      </w:r>
    </w:p>
    <w:p w14:paraId="78278D16" w14:textId="77777777" w:rsidR="00247AD2" w:rsidRDefault="00247AD2" w:rsidP="00247AD2">
      <w:pPr>
        <w:pStyle w:val="BodyText"/>
        <w:spacing w:after="62"/>
      </w:pPr>
      <w:r>
        <w:t>IVR</w:t>
      </w:r>
      <w:r>
        <w:tab/>
      </w:r>
      <w:r>
        <w:tab/>
        <w:t>Interactive Voice Response</w:t>
      </w:r>
    </w:p>
    <w:p w14:paraId="205C838C" w14:textId="77777777" w:rsidR="00247AD2" w:rsidRDefault="00247AD2" w:rsidP="00247AD2">
      <w:pPr>
        <w:pStyle w:val="BodyText"/>
        <w:spacing w:after="62"/>
      </w:pPr>
      <w:r>
        <w:t>JCA</w:t>
      </w:r>
      <w:r>
        <w:tab/>
      </w:r>
      <w:r>
        <w:tab/>
        <w:t xml:space="preserve">Job Capacity Assessment </w:t>
      </w:r>
    </w:p>
    <w:p w14:paraId="182F63C2" w14:textId="77777777" w:rsidR="00247AD2" w:rsidRDefault="00247AD2" w:rsidP="00247AD2">
      <w:pPr>
        <w:pStyle w:val="BodyText"/>
        <w:spacing w:after="62"/>
      </w:pPr>
      <w:r>
        <w:t>JCPAA</w:t>
      </w:r>
      <w:r>
        <w:tab/>
      </w:r>
      <w:r>
        <w:tab/>
        <w:t>Joint Committee of Public Accounts and Audit</w:t>
      </w:r>
    </w:p>
    <w:p w14:paraId="6D12D168" w14:textId="77777777" w:rsidR="00247AD2" w:rsidRDefault="00247AD2" w:rsidP="00247AD2">
      <w:pPr>
        <w:pStyle w:val="BodyText"/>
        <w:spacing w:after="62"/>
      </w:pPr>
      <w:r>
        <w:t>JRPP</w:t>
      </w:r>
      <w:r>
        <w:tab/>
      </w:r>
      <w:r>
        <w:tab/>
        <w:t>Jurisdictional Renewable Power Percentage</w:t>
      </w:r>
    </w:p>
    <w:p w14:paraId="05F86B03" w14:textId="44C881D2" w:rsidR="00247AD2" w:rsidRDefault="00247AD2" w:rsidP="00C5543A">
      <w:pPr>
        <w:pStyle w:val="BodyText"/>
        <w:spacing w:after="62"/>
        <w:ind w:left="1440" w:hanging="1440"/>
      </w:pPr>
      <w:r>
        <w:rPr>
          <w:spacing w:val="-1"/>
        </w:rPr>
        <w:t>LGBTQIA+</w:t>
      </w:r>
      <w:r>
        <w:rPr>
          <w:spacing w:val="-1"/>
        </w:rPr>
        <w:tab/>
        <w:t>Lesbian, Gay, Bisexual, Transgender, Queer, Intersex, Asexual and other</w:t>
      </w:r>
      <w:r w:rsidR="00C5543A">
        <w:rPr>
          <w:spacing w:val="-1"/>
        </w:rPr>
        <w:t xml:space="preserve"> </w:t>
      </w:r>
      <w:r>
        <w:t>sexually or gender diverse</w:t>
      </w:r>
    </w:p>
    <w:p w14:paraId="262DF8AE" w14:textId="77777777" w:rsidR="00247AD2" w:rsidRDefault="00247AD2" w:rsidP="00247AD2">
      <w:pPr>
        <w:pStyle w:val="BodyText"/>
        <w:spacing w:after="62"/>
      </w:pPr>
      <w:r>
        <w:t>MAFs</w:t>
      </w:r>
      <w:r>
        <w:tab/>
      </w:r>
      <w:r>
        <w:tab/>
        <w:t xml:space="preserve">Multicultural Advisory Forums </w:t>
      </w:r>
    </w:p>
    <w:p w14:paraId="4CA9F397" w14:textId="77777777" w:rsidR="00247AD2" w:rsidRDefault="00247AD2" w:rsidP="00247AD2">
      <w:pPr>
        <w:pStyle w:val="BodyText"/>
        <w:spacing w:after="62"/>
      </w:pPr>
      <w:r>
        <w:t>MAT</w:t>
      </w:r>
      <w:r>
        <w:tab/>
      </w:r>
      <w:r>
        <w:tab/>
        <w:t>Medical Assessment Team</w:t>
      </w:r>
    </w:p>
    <w:p w14:paraId="2EF2D387" w14:textId="77777777" w:rsidR="00247AD2" w:rsidRDefault="00247AD2" w:rsidP="00247AD2">
      <w:pPr>
        <w:pStyle w:val="BodyText"/>
        <w:spacing w:after="62"/>
      </w:pPr>
      <w:r>
        <w:t>MBS</w:t>
      </w:r>
      <w:r>
        <w:tab/>
      </w:r>
      <w:r>
        <w:tab/>
        <w:t xml:space="preserve">Medicare Benefits Schedule </w:t>
      </w:r>
    </w:p>
    <w:p w14:paraId="34A9BC8F" w14:textId="77777777" w:rsidR="00247AD2" w:rsidRDefault="00247AD2" w:rsidP="00247AD2">
      <w:pPr>
        <w:pStyle w:val="BodyText"/>
        <w:spacing w:after="62"/>
      </w:pPr>
      <w:r>
        <w:t>MIRS</w:t>
      </w:r>
      <w:r>
        <w:tab/>
      </w:r>
      <w:r>
        <w:tab/>
        <w:t xml:space="preserve">myGov Incident Response System </w:t>
      </w:r>
    </w:p>
    <w:p w14:paraId="6EB37D9B" w14:textId="77777777" w:rsidR="00247AD2" w:rsidRDefault="00247AD2" w:rsidP="00247AD2">
      <w:pPr>
        <w:pStyle w:val="BodyText"/>
        <w:spacing w:after="62"/>
      </w:pPr>
      <w:r>
        <w:t>MPIS</w:t>
      </w:r>
      <w:r>
        <w:tab/>
      </w:r>
      <w:r>
        <w:tab/>
        <w:t xml:space="preserve">Midwife Professional Indemnity Scheme </w:t>
      </w:r>
    </w:p>
    <w:p w14:paraId="76E6A455" w14:textId="77777777" w:rsidR="00247AD2" w:rsidRDefault="00247AD2" w:rsidP="00247AD2">
      <w:pPr>
        <w:pStyle w:val="BodyText"/>
        <w:spacing w:after="62"/>
      </w:pPr>
      <w:r>
        <w:t>MSOs</w:t>
      </w:r>
      <w:r>
        <w:tab/>
      </w:r>
      <w:r>
        <w:tab/>
        <w:t xml:space="preserve">Multicultural Service Officers </w:t>
      </w:r>
    </w:p>
    <w:p w14:paraId="093B48FE" w14:textId="77777777" w:rsidR="00247AD2" w:rsidRDefault="00247AD2" w:rsidP="00247AD2">
      <w:pPr>
        <w:pStyle w:val="BodyText"/>
        <w:spacing w:after="62"/>
      </w:pPr>
      <w:r>
        <w:t>NDIA</w:t>
      </w:r>
      <w:r>
        <w:tab/>
      </w:r>
      <w:r>
        <w:tab/>
        <w:t>National Disability Insurance Agency</w:t>
      </w:r>
    </w:p>
    <w:p w14:paraId="426BF258" w14:textId="77777777" w:rsidR="00247AD2" w:rsidRDefault="00247AD2" w:rsidP="00247AD2">
      <w:pPr>
        <w:pStyle w:val="BodyText"/>
        <w:spacing w:after="62"/>
      </w:pPr>
      <w:r>
        <w:t>NDIS</w:t>
      </w:r>
      <w:r>
        <w:tab/>
      </w:r>
      <w:r>
        <w:tab/>
        <w:t xml:space="preserve">National Disability Insurance Scheme </w:t>
      </w:r>
    </w:p>
    <w:p w14:paraId="423CEB0B" w14:textId="77777777" w:rsidR="00247AD2" w:rsidRDefault="00247AD2" w:rsidP="00247AD2">
      <w:pPr>
        <w:pStyle w:val="BodyText"/>
        <w:spacing w:after="62"/>
      </w:pPr>
      <w:r>
        <w:t>NECCSC</w:t>
      </w:r>
      <w:r>
        <w:tab/>
      </w:r>
      <w:r>
        <w:tab/>
        <w:t xml:space="preserve">National Emergency Call Centre Surge Capability </w:t>
      </w:r>
    </w:p>
    <w:p w14:paraId="3611CD01" w14:textId="77777777" w:rsidR="00247AD2" w:rsidRDefault="00247AD2" w:rsidP="00247AD2">
      <w:pPr>
        <w:pStyle w:val="BodyText"/>
        <w:spacing w:after="62"/>
      </w:pPr>
      <w:r>
        <w:t>NGOs</w:t>
      </w:r>
      <w:r>
        <w:tab/>
      </w:r>
      <w:r>
        <w:tab/>
        <w:t>non</w:t>
      </w:r>
      <w:r>
        <w:noBreakHyphen/>
        <w:t xml:space="preserve">government organisations </w:t>
      </w:r>
    </w:p>
    <w:p w14:paraId="63F26831" w14:textId="77777777" w:rsidR="00247AD2" w:rsidRDefault="00247AD2" w:rsidP="00247AD2">
      <w:pPr>
        <w:pStyle w:val="BodyText"/>
        <w:spacing w:after="62"/>
      </w:pPr>
      <w:r>
        <w:t>NIC</w:t>
      </w:r>
      <w:r>
        <w:tab/>
      </w:r>
      <w:r>
        <w:tab/>
        <w:t>National Indigenous Coalition</w:t>
      </w:r>
    </w:p>
    <w:p w14:paraId="65940EEB" w14:textId="77777777" w:rsidR="00247AD2" w:rsidRDefault="00247AD2" w:rsidP="00247AD2">
      <w:pPr>
        <w:pStyle w:val="BodyText"/>
        <w:spacing w:after="62"/>
      </w:pPr>
      <w:r>
        <w:t>NMAG</w:t>
      </w:r>
      <w:r>
        <w:tab/>
      </w:r>
      <w:r>
        <w:tab/>
        <w:t>National Multicultural Advisory Group</w:t>
      </w:r>
    </w:p>
    <w:p w14:paraId="7C0D3585" w14:textId="77777777" w:rsidR="00247AD2" w:rsidRDefault="00247AD2" w:rsidP="00247AD2">
      <w:pPr>
        <w:pStyle w:val="BodyText"/>
        <w:spacing w:after="62"/>
      </w:pPr>
      <w:r>
        <w:t>NSH</w:t>
      </w:r>
      <w:r>
        <w:tab/>
      </w:r>
      <w:r>
        <w:tab/>
        <w:t xml:space="preserve">National Security Hotline </w:t>
      </w:r>
    </w:p>
    <w:p w14:paraId="21CB1B97" w14:textId="77777777" w:rsidR="00247AD2" w:rsidRDefault="00247AD2" w:rsidP="00247AD2">
      <w:pPr>
        <w:pStyle w:val="BodyText"/>
        <w:spacing w:after="62"/>
      </w:pPr>
      <w:r>
        <w:t>NSW</w:t>
      </w:r>
      <w:r>
        <w:tab/>
      </w:r>
      <w:r>
        <w:tab/>
        <w:t>New South Wales</w:t>
      </w:r>
    </w:p>
    <w:p w14:paraId="07EE3578" w14:textId="77777777" w:rsidR="00247AD2" w:rsidRDefault="00247AD2" w:rsidP="00247AD2">
      <w:pPr>
        <w:pStyle w:val="BodyText"/>
        <w:spacing w:after="62"/>
      </w:pPr>
      <w:r>
        <w:t>NZDRA</w:t>
      </w:r>
      <w:r>
        <w:tab/>
      </w:r>
      <w:r>
        <w:tab/>
        <w:t xml:space="preserve">New Zealand Disaster Recovery Allowance </w:t>
      </w:r>
    </w:p>
    <w:p w14:paraId="5885E641" w14:textId="77777777" w:rsidR="00247AD2" w:rsidRDefault="00247AD2" w:rsidP="00247AD2">
      <w:pPr>
        <w:pStyle w:val="BodyText"/>
        <w:spacing w:after="62"/>
      </w:pPr>
      <w:r>
        <w:t>NZDRP</w:t>
      </w:r>
      <w:r>
        <w:tab/>
      </w:r>
      <w:r>
        <w:tab/>
        <w:t xml:space="preserve">New Zealand Disaster Recovery Payment </w:t>
      </w:r>
    </w:p>
    <w:p w14:paraId="23DF2528" w14:textId="77777777" w:rsidR="00247AD2" w:rsidRDefault="00247AD2" w:rsidP="00247AD2">
      <w:pPr>
        <w:pStyle w:val="BodyText"/>
        <w:spacing w:after="62"/>
      </w:pPr>
      <w:r>
        <w:t xml:space="preserve">NZGO </w:t>
      </w:r>
      <w:r>
        <w:tab/>
      </w:r>
      <w:r>
        <w:tab/>
        <w:t xml:space="preserve">Net Zero in Government Operations </w:t>
      </w:r>
    </w:p>
    <w:p w14:paraId="42A12554" w14:textId="77777777" w:rsidR="00247AD2" w:rsidRDefault="00247AD2" w:rsidP="00247AD2">
      <w:pPr>
        <w:pStyle w:val="BodyText"/>
        <w:spacing w:after="62"/>
      </w:pPr>
      <w:r>
        <w:t xml:space="preserve">OSA </w:t>
      </w:r>
      <w:r>
        <w:tab/>
      </w:r>
      <w:r>
        <w:tab/>
        <w:t>Office of the System Administrator</w:t>
      </w:r>
    </w:p>
    <w:p w14:paraId="3B21F164" w14:textId="77777777" w:rsidR="00247AD2" w:rsidRDefault="00247AD2" w:rsidP="00247AD2">
      <w:pPr>
        <w:pStyle w:val="BodyText"/>
        <w:spacing w:after="62"/>
      </w:pPr>
      <w:r>
        <w:t xml:space="preserve">PBS </w:t>
      </w:r>
      <w:r>
        <w:tab/>
      </w:r>
      <w:r>
        <w:tab/>
        <w:t xml:space="preserve">Pharmaceutical Benefits Scheme </w:t>
      </w:r>
    </w:p>
    <w:p w14:paraId="2036560F" w14:textId="77777777" w:rsidR="00247AD2" w:rsidRDefault="00247AD2" w:rsidP="00247AD2">
      <w:pPr>
        <w:pStyle w:val="BodyText"/>
        <w:spacing w:after="62"/>
      </w:pPr>
      <w:r>
        <w:t xml:space="preserve">PEFC </w:t>
      </w:r>
      <w:r>
        <w:tab/>
      </w:r>
      <w:r>
        <w:tab/>
        <w:t xml:space="preserve">Programme for the Endorsement of Forest Certification </w:t>
      </w:r>
    </w:p>
    <w:p w14:paraId="5F9030EC" w14:textId="77777777" w:rsidR="00247AD2" w:rsidRDefault="00247AD2" w:rsidP="00247AD2">
      <w:pPr>
        <w:pStyle w:val="BodyText"/>
        <w:spacing w:after="62"/>
      </w:pPr>
      <w:r>
        <w:t xml:space="preserve">PGPA </w:t>
      </w:r>
      <w:r>
        <w:tab/>
      </w:r>
      <w:r>
        <w:tab/>
        <w:t>Public Governance, Performance and Accountability</w:t>
      </w:r>
    </w:p>
    <w:p w14:paraId="39B1C5C5" w14:textId="77777777" w:rsidR="00247AD2" w:rsidRDefault="00247AD2" w:rsidP="00247AD2">
      <w:pPr>
        <w:pStyle w:val="BodyText"/>
        <w:spacing w:after="62"/>
        <w:rPr>
          <w:rStyle w:val="Italic"/>
        </w:rPr>
      </w:pPr>
      <w:r>
        <w:t>PGPA Act</w:t>
      </w:r>
      <w:r>
        <w:tab/>
      </w:r>
      <w:r>
        <w:rPr>
          <w:rStyle w:val="Italic"/>
        </w:rPr>
        <w:t>Public Governance, Performance and Accountability Act 2013</w:t>
      </w:r>
    </w:p>
    <w:p w14:paraId="73FCEFF4" w14:textId="77777777" w:rsidR="00247AD2" w:rsidRDefault="00247AD2" w:rsidP="00247AD2">
      <w:pPr>
        <w:pStyle w:val="BodyText"/>
        <w:spacing w:after="62"/>
      </w:pPr>
      <w:r>
        <w:lastRenderedPageBreak/>
        <w:t xml:space="preserve">PGPA Rule </w:t>
      </w:r>
      <w:r>
        <w:tab/>
        <w:t>Public Governance, Performance and Accountability Rule 2014</w:t>
      </w:r>
    </w:p>
    <w:p w14:paraId="498E583B" w14:textId="77777777" w:rsidR="00247AD2" w:rsidRDefault="00247AD2" w:rsidP="00247AD2">
      <w:pPr>
        <w:pStyle w:val="BodyText"/>
        <w:spacing w:after="62"/>
      </w:pPr>
      <w:r>
        <w:t xml:space="preserve">PRODA </w:t>
      </w:r>
      <w:r>
        <w:tab/>
      </w:r>
      <w:r>
        <w:tab/>
        <w:t xml:space="preserve">Provider Digital Access </w:t>
      </w:r>
    </w:p>
    <w:p w14:paraId="74DB9B2F" w14:textId="77777777" w:rsidR="00247AD2" w:rsidRDefault="00247AD2" w:rsidP="00247AD2">
      <w:pPr>
        <w:pStyle w:val="BodyText"/>
        <w:spacing w:after="62"/>
      </w:pPr>
      <w:r>
        <w:t xml:space="preserve">Qld </w:t>
      </w:r>
      <w:r>
        <w:tab/>
      </w:r>
      <w:r>
        <w:tab/>
        <w:t>Queensland</w:t>
      </w:r>
    </w:p>
    <w:p w14:paraId="27DD4C6B" w14:textId="77777777" w:rsidR="00247AD2" w:rsidRDefault="00247AD2" w:rsidP="00247AD2">
      <w:pPr>
        <w:pStyle w:val="BodyText"/>
        <w:spacing w:after="62"/>
      </w:pPr>
      <w:r>
        <w:t>RAM</w:t>
      </w:r>
      <w:r>
        <w:tab/>
      </w:r>
      <w:r>
        <w:tab/>
        <w:t>Relationship Access Management</w:t>
      </w:r>
    </w:p>
    <w:p w14:paraId="6FC95F8A" w14:textId="77777777" w:rsidR="00247AD2" w:rsidRDefault="00247AD2" w:rsidP="00247AD2">
      <w:pPr>
        <w:pStyle w:val="BodyText"/>
        <w:spacing w:after="62"/>
      </w:pPr>
      <w:r>
        <w:t>RET</w:t>
      </w:r>
      <w:r>
        <w:tab/>
      </w:r>
      <w:r>
        <w:tab/>
        <w:t xml:space="preserve">Renewable Energy Target </w:t>
      </w:r>
    </w:p>
    <w:p w14:paraId="1B631397" w14:textId="77777777" w:rsidR="00247AD2" w:rsidRDefault="00247AD2" w:rsidP="00247AD2">
      <w:pPr>
        <w:pStyle w:val="BodyText"/>
        <w:spacing w:after="62"/>
      </w:pPr>
      <w:r>
        <w:t>RPBS</w:t>
      </w:r>
      <w:r>
        <w:tab/>
      </w:r>
      <w:r>
        <w:tab/>
        <w:t>Repatriation Pharmaceutical Benefits Scheme</w:t>
      </w:r>
    </w:p>
    <w:p w14:paraId="42F35568" w14:textId="77777777" w:rsidR="00247AD2" w:rsidRDefault="00247AD2" w:rsidP="00247AD2">
      <w:pPr>
        <w:pStyle w:val="BodyText"/>
        <w:spacing w:after="62"/>
      </w:pPr>
      <w:r>
        <w:t>RPP</w:t>
      </w:r>
      <w:r>
        <w:tab/>
      </w:r>
      <w:r>
        <w:tab/>
        <w:t>Renewable Power Percentage</w:t>
      </w:r>
    </w:p>
    <w:p w14:paraId="0C20508D" w14:textId="77777777" w:rsidR="00247AD2" w:rsidRDefault="00247AD2" w:rsidP="00247AD2">
      <w:pPr>
        <w:pStyle w:val="BodyText"/>
        <w:spacing w:after="62"/>
      </w:pPr>
      <w:r>
        <w:t>RSC</w:t>
      </w:r>
      <w:r>
        <w:tab/>
      </w:r>
      <w:r>
        <w:tab/>
        <w:t xml:space="preserve">Reporting Sub-Committee </w:t>
      </w:r>
    </w:p>
    <w:p w14:paraId="4EBED590" w14:textId="77777777" w:rsidR="00247AD2" w:rsidRDefault="00247AD2" w:rsidP="00247AD2">
      <w:pPr>
        <w:pStyle w:val="BodyText"/>
        <w:spacing w:after="62"/>
      </w:pPr>
      <w:r>
        <w:t>SA</w:t>
      </w:r>
      <w:r>
        <w:tab/>
      </w:r>
      <w:r>
        <w:tab/>
        <w:t>South Australia</w:t>
      </w:r>
    </w:p>
    <w:p w14:paraId="0A13D2D4" w14:textId="77777777" w:rsidR="00247AD2" w:rsidRDefault="00247AD2" w:rsidP="00247AD2">
      <w:pPr>
        <w:pStyle w:val="BodyText"/>
        <w:spacing w:after="62"/>
      </w:pPr>
      <w:r>
        <w:t>SCG</w:t>
      </w:r>
      <w:r>
        <w:tab/>
      </w:r>
      <w:r>
        <w:tab/>
        <w:t xml:space="preserve">Stakeholder Consultative Group </w:t>
      </w:r>
    </w:p>
    <w:p w14:paraId="358BB681" w14:textId="77777777" w:rsidR="00247AD2" w:rsidRDefault="00247AD2" w:rsidP="00247AD2">
      <w:pPr>
        <w:pStyle w:val="BodyText"/>
        <w:spacing w:after="62"/>
      </w:pPr>
      <w:r>
        <w:t>SES</w:t>
      </w:r>
      <w:r>
        <w:tab/>
      </w:r>
      <w:r>
        <w:tab/>
        <w:t>Senior Executive Service</w:t>
      </w:r>
    </w:p>
    <w:p w14:paraId="4BE54223" w14:textId="77777777" w:rsidR="00247AD2" w:rsidRDefault="00247AD2" w:rsidP="00247AD2">
      <w:pPr>
        <w:pStyle w:val="BodyText"/>
        <w:spacing w:after="62"/>
      </w:pPr>
      <w:r>
        <w:t>SMEs</w:t>
      </w:r>
      <w:r>
        <w:tab/>
      </w:r>
      <w:r>
        <w:tab/>
        <w:t xml:space="preserve">small to medium enterprises </w:t>
      </w:r>
    </w:p>
    <w:p w14:paraId="3527194C" w14:textId="77777777" w:rsidR="00247AD2" w:rsidRDefault="00247AD2" w:rsidP="00247AD2">
      <w:pPr>
        <w:pStyle w:val="BodyText"/>
        <w:spacing w:after="62"/>
      </w:pPr>
      <w:r>
        <w:t xml:space="preserve">SPM </w:t>
      </w:r>
      <w:r>
        <w:tab/>
      </w:r>
      <w:r>
        <w:tab/>
        <w:t>Strategic Performance Measure</w:t>
      </w:r>
    </w:p>
    <w:p w14:paraId="3802579F" w14:textId="77777777" w:rsidR="00247AD2" w:rsidRDefault="00247AD2" w:rsidP="00247AD2">
      <w:pPr>
        <w:pStyle w:val="BodyText"/>
        <w:spacing w:after="62"/>
      </w:pPr>
      <w:r>
        <w:t>STP</w:t>
      </w:r>
      <w:r>
        <w:tab/>
      </w:r>
      <w:r>
        <w:tab/>
        <w:t>Single Touch Payroll</w:t>
      </w:r>
    </w:p>
    <w:p w14:paraId="4CE82E86" w14:textId="77777777" w:rsidR="00247AD2" w:rsidRDefault="00247AD2" w:rsidP="00247AD2">
      <w:pPr>
        <w:pStyle w:val="BodyText"/>
        <w:spacing w:after="62"/>
      </w:pPr>
      <w:r>
        <w:t>TAP</w:t>
      </w:r>
      <w:r>
        <w:tab/>
      </w:r>
      <w:r>
        <w:tab/>
        <w:t>Tertiary Access Payment</w:t>
      </w:r>
    </w:p>
    <w:p w14:paraId="024DBAA0" w14:textId="77777777" w:rsidR="00247AD2" w:rsidRDefault="00247AD2" w:rsidP="00247AD2">
      <w:pPr>
        <w:pStyle w:val="BodyText"/>
        <w:spacing w:after="62"/>
      </w:pPr>
      <w:r>
        <w:t xml:space="preserve">Tas </w:t>
      </w:r>
      <w:r>
        <w:tab/>
      </w:r>
      <w:r>
        <w:tab/>
        <w:t>Tasmania</w:t>
      </w:r>
    </w:p>
    <w:p w14:paraId="7AFD4DD5" w14:textId="77777777" w:rsidR="00247AD2" w:rsidRDefault="00247AD2" w:rsidP="00247AD2">
      <w:pPr>
        <w:pStyle w:val="BodyText"/>
        <w:spacing w:after="62"/>
      </w:pPr>
      <w:r>
        <w:t>TFES</w:t>
      </w:r>
      <w:r>
        <w:tab/>
      </w:r>
      <w:r>
        <w:tab/>
        <w:t xml:space="preserve">Tasmanian Freight Equalisation Scheme </w:t>
      </w:r>
    </w:p>
    <w:p w14:paraId="629FF00C" w14:textId="77777777" w:rsidR="00247AD2" w:rsidRDefault="00247AD2" w:rsidP="00247AD2">
      <w:pPr>
        <w:pStyle w:val="BodyText"/>
        <w:spacing w:after="62"/>
      </w:pPr>
      <w:r>
        <w:t>TGA</w:t>
      </w:r>
      <w:r>
        <w:tab/>
      </w:r>
      <w:r>
        <w:tab/>
        <w:t>Therapeutic Goods Administration</w:t>
      </w:r>
    </w:p>
    <w:p w14:paraId="2CC8DD18" w14:textId="77777777" w:rsidR="00247AD2" w:rsidRDefault="00247AD2" w:rsidP="00247AD2">
      <w:pPr>
        <w:pStyle w:val="BodyText"/>
        <w:spacing w:after="62"/>
      </w:pPr>
      <w:r>
        <w:t>Vic</w:t>
      </w:r>
      <w:r>
        <w:tab/>
      </w:r>
      <w:r>
        <w:tab/>
        <w:t>Victoria</w:t>
      </w:r>
    </w:p>
    <w:p w14:paraId="30D6A84D" w14:textId="77777777" w:rsidR="00247AD2" w:rsidRDefault="00247AD2" w:rsidP="00247AD2">
      <w:pPr>
        <w:pStyle w:val="BodyText"/>
        <w:spacing w:after="62"/>
      </w:pPr>
      <w:r>
        <w:t xml:space="preserve">WA </w:t>
      </w:r>
      <w:r>
        <w:tab/>
      </w:r>
      <w:r>
        <w:tab/>
        <w:t>Western Australia</w:t>
      </w:r>
    </w:p>
    <w:p w14:paraId="36036FDC" w14:textId="77777777" w:rsidR="00247AD2" w:rsidRDefault="00247AD2" w:rsidP="00247AD2">
      <w:pPr>
        <w:pStyle w:val="BodyText"/>
        <w:spacing w:after="62"/>
      </w:pPr>
      <w:r>
        <w:t>WHS</w:t>
      </w:r>
      <w:r>
        <w:tab/>
      </w:r>
      <w:r>
        <w:tab/>
        <w:t>Work health and safety</w:t>
      </w:r>
    </w:p>
    <w:p w14:paraId="3CE71540" w14:textId="77777777" w:rsidR="00247AD2" w:rsidRDefault="00247AD2" w:rsidP="00247AD2">
      <w:pPr>
        <w:pStyle w:val="Heading1"/>
      </w:pPr>
      <w:bookmarkStart w:id="69" w:name="_Toc210815448"/>
      <w:r>
        <w:t>Appendix F — Index</w:t>
      </w:r>
      <w:bookmarkEnd w:id="69"/>
    </w:p>
    <w:p w14:paraId="08271949" w14:textId="77777777" w:rsidR="00247AD2" w:rsidRPr="005D4B3F" w:rsidRDefault="00247AD2" w:rsidP="00247AD2">
      <w:pPr>
        <w:pStyle w:val="IndexHeading"/>
      </w:pPr>
      <w:r w:rsidRPr="005D4B3F">
        <w:t>#</w:t>
      </w:r>
    </w:p>
    <w:p w14:paraId="5F01C19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2024 Census Action Plan  140, 141</w:t>
      </w:r>
    </w:p>
    <w:p w14:paraId="616D716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2030 Strategy  x, 133</w:t>
      </w:r>
    </w:p>
    <w:p w14:paraId="3EA5A18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2030 Vision  x, 140, 154</w:t>
      </w:r>
    </w:p>
    <w:p w14:paraId="733217E5" w14:textId="77777777" w:rsidR="00247AD2" w:rsidRPr="005D4B3F" w:rsidRDefault="00247AD2" w:rsidP="00247AD2">
      <w:pPr>
        <w:pStyle w:val="IndexHeading"/>
      </w:pPr>
      <w:r w:rsidRPr="005D4B3F">
        <w:t>A</w:t>
      </w:r>
    </w:p>
    <w:p w14:paraId="63CBAF5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abbreviations  263–5</w:t>
      </w:r>
    </w:p>
    <w:p w14:paraId="18118B7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Aboriginal and Torres Strait Islander Community Engagement Principles  93</w:t>
      </w:r>
    </w:p>
    <w:p w14:paraId="74205AA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Aboriginal and Torres Strait Islander Australians see also First Nations Peoples</w:t>
      </w:r>
    </w:p>
    <w:p w14:paraId="18428D4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Aboriginal Health Services  68</w:t>
      </w:r>
    </w:p>
    <w:p w14:paraId="4C32200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bespoke service centres  xii, 93</w:t>
      </w:r>
    </w:p>
    <w:p w14:paraId="3A037A7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chronic disease, living with  68</w:t>
      </w:r>
    </w:p>
    <w:p w14:paraId="327E23D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Closing the Gap PBS co-payment  68</w:t>
      </w:r>
    </w:p>
    <w:p w14:paraId="2C31A53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improving outcomes for  91</w:t>
      </w:r>
    </w:p>
    <w:p w14:paraId="079B9B4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Indigenous Apprenticeships Program  149</w:t>
      </w:r>
    </w:p>
    <w:p w14:paraId="77A0AF0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Indigenous employment  235</w:t>
      </w:r>
    </w:p>
    <w:p w14:paraId="6A67C79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interpreting services  93</w:t>
      </w:r>
    </w:p>
    <w:p w14:paraId="2A616F5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PBS, access to  68</w:t>
      </w:r>
    </w:p>
    <w:p w14:paraId="76F8EA8A"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lastRenderedPageBreak/>
        <w:t>reconciliation  151</w:t>
      </w:r>
    </w:p>
    <w:p w14:paraId="464AA81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remote servicing  97–8</w:t>
      </w:r>
    </w:p>
    <w:p w14:paraId="391F733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 delivery  91–4</w:t>
      </w:r>
    </w:p>
    <w:p w14:paraId="0693DE4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staff  148, 149, 150</w:t>
      </w:r>
    </w:p>
    <w:p w14:paraId="71C3D0D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ABSTUDY  60</w:t>
      </w:r>
    </w:p>
    <w:p w14:paraId="0030A48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access clauses, ANAO  216</w:t>
      </w:r>
    </w:p>
    <w:p w14:paraId="6524746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accessibility, workplace  148</w:t>
      </w:r>
    </w:p>
    <w:p w14:paraId="4293924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accountable authority</w:t>
      </w:r>
    </w:p>
    <w:p w14:paraId="3260833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details  223</w:t>
      </w:r>
    </w:p>
    <w:p w14:paraId="3B97B13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statement  12</w:t>
      </w:r>
    </w:p>
    <w:p w14:paraId="4577A1E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Acknowledgement of Country  ii</w:t>
      </w:r>
    </w:p>
    <w:p w14:paraId="198B7AA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acronyms  263–5</w:t>
      </w:r>
    </w:p>
    <w:p w14:paraId="16ED410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Administrative Review Tribunal (ART)  128–9</w:t>
      </w:r>
    </w:p>
    <w:p w14:paraId="26E51DD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advertising campaigns  215</w:t>
      </w:r>
    </w:p>
    <w:p w14:paraId="3EB56DB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costs  215</w:t>
      </w:r>
    </w:p>
    <w:p w14:paraId="513F8F7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Advocates Channel  90, 138</w:t>
      </w:r>
    </w:p>
    <w:p w14:paraId="0E700E6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Age Pension  55</w:t>
      </w:r>
    </w:p>
    <w:p w14:paraId="7BE5E334" w14:textId="77777777" w:rsidR="00247AD2" w:rsidRPr="005D4B3F" w:rsidRDefault="00247AD2" w:rsidP="00247AD2">
      <w:pPr>
        <w:pStyle w:val="IndexBodyL1"/>
        <w:rPr>
          <w:rFonts w:ascii="Arial" w:hAnsi="Arial" w:cs="Arial"/>
          <w:sz w:val="24"/>
          <w:szCs w:val="24"/>
        </w:rPr>
      </w:pPr>
      <w:r w:rsidRPr="005D4B3F">
        <w:rPr>
          <w:rStyle w:val="Italic"/>
          <w:rFonts w:ascii="Arial" w:hAnsi="Arial" w:cs="Arial"/>
          <w:sz w:val="24"/>
          <w:szCs w:val="24"/>
        </w:rPr>
        <w:t>Aged Care Act 2024</w:t>
      </w:r>
      <w:r w:rsidRPr="005D4B3F">
        <w:rPr>
          <w:rFonts w:ascii="Arial" w:hAnsi="Arial" w:cs="Arial"/>
          <w:sz w:val="24"/>
          <w:szCs w:val="24"/>
        </w:rPr>
        <w:t xml:space="preserve">  71</w:t>
      </w:r>
    </w:p>
    <w:p w14:paraId="62DC7B3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aged care programs  69–70</w:t>
      </w:r>
    </w:p>
    <w:p w14:paraId="3F703CD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improving services  70</w:t>
      </w:r>
    </w:p>
    <w:p w14:paraId="4FDA8C4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My Aged Care  70–1</w:t>
      </w:r>
    </w:p>
    <w:p w14:paraId="0E442B8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Aged Care Specialist Officers  xi, 70</w:t>
      </w:r>
    </w:p>
    <w:p w14:paraId="68479D0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agency capability review  133</w:t>
      </w:r>
    </w:p>
    <w:p w14:paraId="1E61245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agency snapshot  iii</w:t>
      </w:r>
    </w:p>
    <w:p w14:paraId="0FBADF1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AI see artificial intelligence (AI)</w:t>
      </w:r>
    </w:p>
    <w:p w14:paraId="0F0C4607" w14:textId="77777777" w:rsidR="00247AD2" w:rsidRPr="005D4B3F" w:rsidRDefault="00247AD2" w:rsidP="00247AD2">
      <w:pPr>
        <w:pStyle w:val="IndexBodyL1"/>
        <w:rPr>
          <w:rFonts w:ascii="Arial" w:hAnsi="Arial" w:cs="Arial"/>
          <w:spacing w:val="-2"/>
          <w:sz w:val="24"/>
          <w:szCs w:val="24"/>
        </w:rPr>
      </w:pPr>
      <w:r w:rsidRPr="005D4B3F">
        <w:rPr>
          <w:rFonts w:ascii="Arial" w:hAnsi="Arial" w:cs="Arial"/>
          <w:spacing w:val="-2"/>
          <w:sz w:val="24"/>
          <w:szCs w:val="24"/>
        </w:rPr>
        <w:t>Allied Health High Cost Claims Scheme  79</w:t>
      </w:r>
    </w:p>
    <w:p w14:paraId="64E72C8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Annual Performance Statements 2024–25  12–43</w:t>
      </w:r>
    </w:p>
    <w:p w14:paraId="13A3CA1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apprentices  60</w:t>
      </w:r>
    </w:p>
    <w:p w14:paraId="0D8C19F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digital and data entry programs  145</w:t>
      </w:r>
    </w:p>
    <w:p w14:paraId="52CDC5A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Indigenous  149</w:t>
      </w:r>
    </w:p>
    <w:p w14:paraId="3B24106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APS see Australian Public Service (APS)</w:t>
      </w:r>
    </w:p>
    <w:p w14:paraId="7196018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artificial intelligence (AI)</w:t>
      </w:r>
    </w:p>
    <w:p w14:paraId="22C493A6" w14:textId="77777777" w:rsidR="00247AD2" w:rsidRPr="005D4B3F" w:rsidRDefault="00247AD2" w:rsidP="00247AD2">
      <w:pPr>
        <w:pStyle w:val="IndexBodyL2"/>
        <w:rPr>
          <w:rFonts w:ascii="Arial" w:hAnsi="Arial" w:cs="Arial"/>
          <w:sz w:val="24"/>
          <w:szCs w:val="24"/>
        </w:rPr>
      </w:pPr>
      <w:r w:rsidRPr="005D4B3F">
        <w:rPr>
          <w:rFonts w:ascii="Arial" w:hAnsi="Arial" w:cs="Arial"/>
          <w:spacing w:val="-5"/>
          <w:sz w:val="24"/>
          <w:szCs w:val="24"/>
        </w:rPr>
        <w:t>Automation and Artificial Intelligence (AI)</w:t>
      </w:r>
      <w:r w:rsidRPr="005D4B3F">
        <w:rPr>
          <w:rFonts w:ascii="Arial" w:hAnsi="Arial" w:cs="Arial"/>
          <w:sz w:val="24"/>
          <w:szCs w:val="24"/>
        </w:rPr>
        <w:t xml:space="preserve"> Strategy  xii</w:t>
      </w:r>
    </w:p>
    <w:p w14:paraId="6A60FC6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exploring  xii</w:t>
      </w:r>
    </w:p>
    <w:p w14:paraId="25C0D97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parliamentary committee report  135</w:t>
      </w:r>
    </w:p>
    <w:p w14:paraId="7264357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Transparency Statement  xii</w:t>
      </w:r>
    </w:p>
    <w:p w14:paraId="096545F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Aspiring Program  153</w:t>
      </w:r>
    </w:p>
    <w:p w14:paraId="0D3A064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assessments</w:t>
      </w:r>
    </w:p>
    <w:p w14:paraId="060E7FD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medical conditions and work capacity  61</w:t>
      </w:r>
    </w:p>
    <w:p w14:paraId="754B5CF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services  61</w:t>
      </w:r>
    </w:p>
    <w:p w14:paraId="6739F48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assessors  61</w:t>
      </w:r>
    </w:p>
    <w:p w14:paraId="3566AA7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asset management  159</w:t>
      </w:r>
    </w:p>
    <w:p w14:paraId="3EA7A09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lastRenderedPageBreak/>
        <w:t>Assistance for Isolated Children  60</w:t>
      </w:r>
    </w:p>
    <w:p w14:paraId="3FC9255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Assisted Reproductive Technology Storage Funding Program  73</w:t>
      </w:r>
    </w:p>
    <w:p w14:paraId="22A9411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assistive technology support  148</w:t>
      </w:r>
    </w:p>
    <w:p w14:paraId="5232A65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Assurance of Support (AoS) scheme  100</w:t>
      </w:r>
    </w:p>
    <w:p w14:paraId="7C24E83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asylum seekers  100</w:t>
      </w:r>
    </w:p>
    <w:p w14:paraId="2EEC98A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attention deficit hyperactivity disorder (ADHD)  147</w:t>
      </w:r>
    </w:p>
    <w:p w14:paraId="45A964C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Attorney-General’s Department  116</w:t>
      </w:r>
    </w:p>
    <w:p w14:paraId="0E8C413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Audit and Risk Committee  7–8</w:t>
      </w:r>
    </w:p>
    <w:p w14:paraId="35AFD9A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enterprise risk management  10</w:t>
      </w:r>
    </w:p>
    <w:p w14:paraId="363D348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membership  8–10</w:t>
      </w:r>
    </w:p>
    <w:p w14:paraId="65160C7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Reporting Sub-Committee  9</w:t>
      </w:r>
    </w:p>
    <w:p w14:paraId="19E92C1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audit reports  131</w:t>
      </w:r>
    </w:p>
    <w:p w14:paraId="214E2A2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Auditor-General reports  131</w:t>
      </w:r>
    </w:p>
    <w:p w14:paraId="4EB4F1C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Aurora Neuroinclusion Program  146, 147</w:t>
      </w:r>
    </w:p>
    <w:p w14:paraId="0EACAC6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Auslan interpreters  97</w:t>
      </w:r>
    </w:p>
    <w:p w14:paraId="115D982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Auslan On-Demand  x, 96</w:t>
      </w:r>
    </w:p>
    <w:p w14:paraId="4EA1AE6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Australia Day Achievement Awards  154</w:t>
      </w:r>
    </w:p>
    <w:p w14:paraId="2BACC11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Australian Breastfeeding Association  148</w:t>
      </w:r>
    </w:p>
    <w:p w14:paraId="1D7986F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Australian Digital Health Agency  82</w:t>
      </w:r>
    </w:p>
    <w:p w14:paraId="5A3BC79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 xml:space="preserve">Australian Electoral Commission (AEC) </w:t>
      </w:r>
    </w:p>
    <w:p w14:paraId="4264AA1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2025 federal election  47</w:t>
      </w:r>
    </w:p>
    <w:p w14:paraId="2ADF3EE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Contact Centre Services (CCS)  47</w:t>
      </w:r>
    </w:p>
    <w:p w14:paraId="517DF7D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Australian Federal Police (AFP)  116</w:t>
      </w:r>
    </w:p>
    <w:p w14:paraId="689ADD7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Australian Government Disaster Recovery Payment (AGDRP)  87, 89</w:t>
      </w:r>
    </w:p>
    <w:p w14:paraId="182EBB3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 xml:space="preserve">Australian Graduate School of Management </w:t>
      </w:r>
    </w:p>
    <w:p w14:paraId="53D1853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Executive Indigenous Leaders Program  150</w:t>
      </w:r>
    </w:p>
    <w:p w14:paraId="27F0BDC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Australian Immunisation Register (AIR)  76–7</w:t>
      </w:r>
    </w:p>
    <w:p w14:paraId="59ADBF4E" w14:textId="77777777" w:rsidR="00247AD2" w:rsidRPr="005D4B3F" w:rsidRDefault="00247AD2" w:rsidP="00247AD2">
      <w:pPr>
        <w:pStyle w:val="IndexBodyL1"/>
        <w:rPr>
          <w:rFonts w:ascii="Arial" w:hAnsi="Arial" w:cs="Arial"/>
          <w:sz w:val="24"/>
          <w:szCs w:val="24"/>
        </w:rPr>
      </w:pPr>
      <w:r w:rsidRPr="005D4B3F">
        <w:rPr>
          <w:rFonts w:ascii="Arial" w:hAnsi="Arial" w:cs="Arial"/>
          <w:spacing w:val="-2"/>
          <w:sz w:val="24"/>
          <w:szCs w:val="24"/>
        </w:rPr>
        <w:t>Australian Information Commissioner  132</w:t>
      </w:r>
    </w:p>
    <w:p w14:paraId="7990F3C4" w14:textId="77777777" w:rsidR="00247AD2" w:rsidRPr="005D4B3F" w:rsidRDefault="00247AD2" w:rsidP="00247AD2">
      <w:pPr>
        <w:pStyle w:val="IndexBodyL1"/>
        <w:rPr>
          <w:rFonts w:ascii="Arial" w:hAnsi="Arial" w:cs="Arial"/>
          <w:sz w:val="24"/>
          <w:szCs w:val="24"/>
        </w:rPr>
      </w:pPr>
      <w:r w:rsidRPr="005D4B3F">
        <w:rPr>
          <w:rFonts w:ascii="Arial" w:hAnsi="Arial" w:cs="Arial"/>
          <w:spacing w:val="-4"/>
          <w:sz w:val="24"/>
          <w:szCs w:val="24"/>
        </w:rPr>
        <w:t>Australian National Audit Office (ANAO)  131</w:t>
      </w:r>
    </w:p>
    <w:p w14:paraId="48E49DA3"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access clauses  216</w:t>
      </w:r>
    </w:p>
    <w:p w14:paraId="058064B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Australian Organ Donor Register  77</w:t>
      </w:r>
    </w:p>
    <w:p w14:paraId="29A5571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Australian Public Service (APS)</w:t>
      </w:r>
    </w:p>
    <w:p w14:paraId="4709E7B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Academy Campuses  145</w:t>
      </w:r>
    </w:p>
    <w:p w14:paraId="620A33D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CALD Employment Strategy  146</w:t>
      </w:r>
    </w:p>
    <w:p w14:paraId="3C737DF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census  140, 141, 154</w:t>
      </w:r>
    </w:p>
    <w:p w14:paraId="35B47C25" w14:textId="77777777" w:rsidR="00247AD2" w:rsidRPr="005D4B3F" w:rsidRDefault="00247AD2" w:rsidP="00247AD2">
      <w:pPr>
        <w:pStyle w:val="IndexBodyL2"/>
        <w:rPr>
          <w:rFonts w:ascii="Arial" w:hAnsi="Arial" w:cs="Arial"/>
          <w:sz w:val="24"/>
          <w:szCs w:val="24"/>
        </w:rPr>
      </w:pPr>
      <w:r w:rsidRPr="005D4B3F">
        <w:rPr>
          <w:rFonts w:ascii="Arial" w:hAnsi="Arial" w:cs="Arial"/>
          <w:spacing w:val="-5"/>
          <w:sz w:val="24"/>
          <w:szCs w:val="24"/>
        </w:rPr>
        <w:t>Mental Health Capability Framework  144</w:t>
      </w:r>
    </w:p>
    <w:p w14:paraId="680B643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Net Zero 2030  244, 248, 251</w:t>
      </w:r>
    </w:p>
    <w:p w14:paraId="18117F5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Reconciliation Sharing Network  151</w:t>
      </w:r>
    </w:p>
    <w:p w14:paraId="724EAD6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Strategic Commissioning Framework  137</w:t>
      </w:r>
    </w:p>
    <w:p w14:paraId="4F602EB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Australian Public Service Commission</w:t>
      </w:r>
    </w:p>
    <w:p w14:paraId="37ED606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agency capability review  x, 133</w:t>
      </w:r>
    </w:p>
    <w:p w14:paraId="2898FAA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 xml:space="preserve">Australian Taxation Office (ATO) </w:t>
      </w:r>
    </w:p>
    <w:p w14:paraId="0FD5D13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lastRenderedPageBreak/>
        <w:t>data exchange  50</w:t>
      </w:r>
    </w:p>
    <w:p w14:paraId="18C6C81A"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Serious Financial Crime Taskforce  116</w:t>
      </w:r>
    </w:p>
    <w:p w14:paraId="1CF740A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Australian Thalidomide Survivors Support Program  78</w:t>
      </w:r>
    </w:p>
    <w:p w14:paraId="5476EFE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Australian Transaction Reports and Analysis Centre  116</w:t>
      </w:r>
    </w:p>
    <w:p w14:paraId="71DF1A9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Australian Victims of Terrorism Overseas Payment (AVTOP)  88</w:t>
      </w:r>
    </w:p>
    <w:p w14:paraId="170C9F6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Australian Workplace Equality Index (AWEI) Survey  148, 156</w:t>
      </w:r>
    </w:p>
    <w:p w14:paraId="5A4BE5E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Australia’s Disability Strategy 2021–2031  147</w:t>
      </w:r>
    </w:p>
    <w:p w14:paraId="2CBF53D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Austudy  60</w:t>
      </w:r>
    </w:p>
    <w:p w14:paraId="43011EA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autism</w:t>
      </w:r>
    </w:p>
    <w:p w14:paraId="1D02A113"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employment of neurodivergent people  147</w:t>
      </w:r>
    </w:p>
    <w:p w14:paraId="08EA21A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National Autism Strategy 2021–2031  147</w:t>
      </w:r>
    </w:p>
    <w:p w14:paraId="1919F60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Automation and Artificial Intelligence (AI) Strategy 2025–27  xii</w:t>
      </w:r>
    </w:p>
    <w:p w14:paraId="13FF8B9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Automation and Artificial Intelligence (AI) Transparency Statement  xii</w:t>
      </w:r>
    </w:p>
    <w:p w14:paraId="4D9BB43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awards</w:t>
      </w:r>
    </w:p>
    <w:p w14:paraId="695C917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external  155</w:t>
      </w:r>
    </w:p>
    <w:p w14:paraId="1F448D7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internal  154</w:t>
      </w:r>
    </w:p>
    <w:p w14:paraId="23F4F4C4" w14:textId="77777777" w:rsidR="00247AD2" w:rsidRPr="005D4B3F" w:rsidRDefault="00247AD2" w:rsidP="00247AD2">
      <w:pPr>
        <w:pStyle w:val="IndexHeading"/>
      </w:pPr>
      <w:r w:rsidRPr="005D4B3F">
        <w:t>B</w:t>
      </w:r>
    </w:p>
    <w:p w14:paraId="075EBC7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Bass Strait Passenger Vehicle Equalisation Scheme  101</w:t>
      </w:r>
    </w:p>
    <w:p w14:paraId="587058E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bereavement payments  101</w:t>
      </w:r>
    </w:p>
    <w:p w14:paraId="69104B1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bill-paying service  102</w:t>
      </w:r>
    </w:p>
    <w:p w14:paraId="311CDC9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bulk-billing  63, 64, 65</w:t>
      </w:r>
    </w:p>
    <w:p w14:paraId="3B483C2A" w14:textId="77777777" w:rsidR="00247AD2" w:rsidRPr="005D4B3F" w:rsidRDefault="00247AD2" w:rsidP="00247AD2">
      <w:pPr>
        <w:pStyle w:val="IndexHeading"/>
      </w:pPr>
      <w:r w:rsidRPr="005D4B3F">
        <w:t>C</w:t>
      </w:r>
    </w:p>
    <w:p w14:paraId="5D38FBE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capability review  133</w:t>
      </w:r>
    </w:p>
    <w:p w14:paraId="6E240B2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Carer Allowance  56</w:t>
      </w:r>
    </w:p>
    <w:p w14:paraId="77CBDEC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Carer Payment  55–6</w:t>
      </w:r>
    </w:p>
    <w:p w14:paraId="632D965C" w14:textId="77777777" w:rsidR="00247AD2" w:rsidRPr="005D4B3F" w:rsidRDefault="00247AD2" w:rsidP="00247AD2">
      <w:pPr>
        <w:pStyle w:val="IndexBodyL1"/>
        <w:rPr>
          <w:rFonts w:ascii="Arial" w:hAnsi="Arial" w:cs="Arial"/>
          <w:sz w:val="24"/>
          <w:szCs w:val="24"/>
        </w:rPr>
      </w:pPr>
      <w:r w:rsidRPr="005D4B3F">
        <w:rPr>
          <w:rStyle w:val="Italic"/>
          <w:rFonts w:ascii="Arial" w:hAnsi="Arial" w:cs="Arial"/>
          <w:sz w:val="24"/>
          <w:szCs w:val="24"/>
        </w:rPr>
        <w:t>Carer Recognition Act 2010</w:t>
      </w:r>
      <w:r w:rsidRPr="005D4B3F">
        <w:rPr>
          <w:rFonts w:ascii="Arial" w:hAnsi="Arial" w:cs="Arial"/>
          <w:sz w:val="24"/>
          <w:szCs w:val="24"/>
        </w:rPr>
        <w:t xml:space="preserve">  149</w:t>
      </w:r>
    </w:p>
    <w:p w14:paraId="66EE383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report  149</w:t>
      </w:r>
    </w:p>
    <w:p w14:paraId="5BEE717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carers  55–6</w:t>
      </w:r>
    </w:p>
    <w:p w14:paraId="6582B40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Caroline Chisholm Centre fitout  135</w:t>
      </w:r>
    </w:p>
    <w:p w14:paraId="624117F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Centrelink  46, 138</w:t>
      </w:r>
    </w:p>
    <w:p w14:paraId="7640DA4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bill-paying service  102</w:t>
      </w:r>
    </w:p>
    <w:p w14:paraId="3103ED6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Centrepay  102</w:t>
      </w:r>
    </w:p>
    <w:p w14:paraId="7EB7670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feedback on services  240</w:t>
      </w:r>
    </w:p>
    <w:p w14:paraId="5CF9475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processing  x, 112</w:t>
      </w:r>
    </w:p>
    <w:p w14:paraId="6233E5D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 xml:space="preserve">voice biometrics  52 </w:t>
      </w:r>
    </w:p>
    <w:p w14:paraId="7C05839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waiting times, reducing  x, 48</w:t>
      </w:r>
    </w:p>
    <w:p w14:paraId="7A96BFF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Centrelink Confirmation eServices (CCeS)  103</w:t>
      </w:r>
    </w:p>
    <w:p w14:paraId="044FBE9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Centrepay  102</w:t>
      </w:r>
    </w:p>
    <w:p w14:paraId="024FD94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 xml:space="preserve">Chief Executive Officer </w:t>
      </w:r>
    </w:p>
    <w:p w14:paraId="4C4EA57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executive responsibilities  6–7</w:t>
      </w:r>
    </w:p>
    <w:p w14:paraId="002EED6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review  ix–xiii</w:t>
      </w:r>
    </w:p>
    <w:p w14:paraId="235635C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Chief Sustainability Officer (CSO)  250</w:t>
      </w:r>
    </w:p>
    <w:p w14:paraId="3D58DC7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Child Care Subsidy  58</w:t>
      </w:r>
    </w:p>
    <w:p w14:paraId="150EC80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lastRenderedPageBreak/>
        <w:t>audit  131</w:t>
      </w:r>
    </w:p>
    <w:p w14:paraId="731C859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Child Dental Benefits Schedule  76</w:t>
      </w:r>
    </w:p>
    <w:p w14:paraId="0B4E4CB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child support  46, 83–6, 138</w:t>
      </w:r>
    </w:p>
    <w:p w14:paraId="55E0CBA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feedback on services  240</w:t>
      </w:r>
    </w:p>
    <w:p w14:paraId="2BF1F66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payment collection  84</w:t>
      </w:r>
    </w:p>
    <w:p w14:paraId="7C8779E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processing  x</w:t>
      </w:r>
    </w:p>
    <w:p w14:paraId="745B951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 delivery  83–6</w:t>
      </w:r>
    </w:p>
    <w:p w14:paraId="7874546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transfers  83–4</w:t>
      </w:r>
    </w:p>
    <w:p w14:paraId="21D799D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wait times  x, 48</w:t>
      </w:r>
    </w:p>
    <w:p w14:paraId="67348DA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Child Support Collect  84</w:t>
      </w:r>
    </w:p>
    <w:p w14:paraId="662B891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Child Support Program  83</w:t>
      </w:r>
    </w:p>
    <w:p w14:paraId="2F36815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change of assessment  84</w:t>
      </w:r>
    </w:p>
    <w:p w14:paraId="590C752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compliance and enforcement  84–6</w:t>
      </w:r>
    </w:p>
    <w:p w14:paraId="4DF6C90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Departure Prohibition Order (DPO)  85</w:t>
      </w:r>
    </w:p>
    <w:p w14:paraId="0F8C1C4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employer withholding payments  86</w:t>
      </w:r>
    </w:p>
    <w:p w14:paraId="0D25320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Private Collect  83</w:t>
      </w:r>
    </w:p>
    <w:p w14:paraId="66FDCBE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children and young people</w:t>
      </w:r>
    </w:p>
    <w:p w14:paraId="31852D9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child safety risk assessment  91</w:t>
      </w:r>
    </w:p>
    <w:p w14:paraId="5D32182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Commonwealth Child Safe Framework  91</w:t>
      </w:r>
    </w:p>
    <w:p w14:paraId="65D5490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citizenship testing  100</w:t>
      </w:r>
    </w:p>
    <w:p w14:paraId="425FD94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Civil Society Advisory Group (CSAG)  110</w:t>
      </w:r>
    </w:p>
    <w:p w14:paraId="7220428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claims</w:t>
      </w:r>
    </w:p>
    <w:p w14:paraId="5AA6046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processing  x</w:t>
      </w:r>
    </w:p>
    <w:p w14:paraId="2E047DF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wait times  x, 48</w:t>
      </w:r>
    </w:p>
    <w:p w14:paraId="7D61920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climate disclosure  250–2</w:t>
      </w:r>
    </w:p>
    <w:p w14:paraId="232BBE7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governance  250–1</w:t>
      </w:r>
    </w:p>
    <w:p w14:paraId="6037477A"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metrics and targets  251–2</w:t>
      </w:r>
    </w:p>
    <w:p w14:paraId="43BE088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risk management  250–1</w:t>
      </w:r>
    </w:p>
    <w:p w14:paraId="6C59405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strategy  250–1</w:t>
      </w:r>
    </w:p>
    <w:p w14:paraId="3707012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Closing the Gap  93</w:t>
      </w:r>
    </w:p>
    <w:p w14:paraId="22C43F9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Action Plan  93</w:t>
      </w:r>
    </w:p>
    <w:p w14:paraId="5DC73D9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National Agreement on  91</w:t>
      </w:r>
    </w:p>
    <w:p w14:paraId="3F92D89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PBS co-payment  68</w:t>
      </w:r>
    </w:p>
    <w:p w14:paraId="7F8C1A0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Comcare  143–4</w:t>
      </w:r>
    </w:p>
    <w:p w14:paraId="3CCF847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Commonwealth Child Safe Framework  91</w:t>
      </w:r>
    </w:p>
    <w:p w14:paraId="0018AD4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Commonwealth Climate Disclosure (CCD)  250</w:t>
      </w:r>
    </w:p>
    <w:p w14:paraId="4DBD636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Commonwealth Director of Public Prosecutions (CDPP)  116</w:t>
      </w:r>
    </w:p>
    <w:p w14:paraId="759B26A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Commonwealth Financial Statements 2022–23, inquiry into  134</w:t>
      </w:r>
    </w:p>
    <w:p w14:paraId="36626CB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Commonwealth Fraud and Corruption Control Framework  114</w:t>
      </w:r>
    </w:p>
    <w:p w14:paraId="78F0EF6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Commonwealth Fraud Prevention Centre  116</w:t>
      </w:r>
    </w:p>
    <w:p w14:paraId="4E1C731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Commonwealth Ombudsman  132</w:t>
      </w:r>
    </w:p>
    <w:p w14:paraId="347745B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Commonwealth procurement see procurement</w:t>
      </w:r>
    </w:p>
    <w:p w14:paraId="5EBB597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lastRenderedPageBreak/>
        <w:t xml:space="preserve">Community Engagement Officers  xii, 100 </w:t>
      </w:r>
    </w:p>
    <w:p w14:paraId="546358E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community partnership specialist officers (CPSOs)  111</w:t>
      </w:r>
    </w:p>
    <w:p w14:paraId="02579F9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community peak bodies, engagement with  110–11</w:t>
      </w:r>
    </w:p>
    <w:p w14:paraId="76924AB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complaints  239, 240</w:t>
      </w:r>
    </w:p>
    <w:p w14:paraId="6549D0D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compliance programs  122</w:t>
      </w:r>
    </w:p>
    <w:p w14:paraId="5BDD77A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consultancy contracts  212–14</w:t>
      </w:r>
    </w:p>
    <w:p w14:paraId="5A455B8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consulting services</w:t>
      </w:r>
    </w:p>
    <w:p w14:paraId="31D5138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management and assurance of integrity  137</w:t>
      </w:r>
    </w:p>
    <w:p w14:paraId="565BC2F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contact centre network  47</w:t>
      </w:r>
    </w:p>
    <w:p w14:paraId="1953672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Continence Aids Payment Scheme  73</w:t>
      </w:r>
    </w:p>
    <w:p w14:paraId="2FA932D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contracts</w:t>
      </w:r>
    </w:p>
    <w:p w14:paraId="090F21C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consultancy  212–14</w:t>
      </w:r>
    </w:p>
    <w:p w14:paraId="248F2BA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exempt  215</w:t>
      </w:r>
    </w:p>
    <w:p w14:paraId="238987A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Corporate Enabling</w:t>
      </w:r>
    </w:p>
    <w:p w14:paraId="6E259BB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executive responsibilities  6</w:t>
      </w:r>
    </w:p>
    <w:p w14:paraId="33D355A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strategic performance measure results  17–26</w:t>
      </w:r>
    </w:p>
    <w:p w14:paraId="4D88EA7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corporate governance  3</w:t>
      </w:r>
    </w:p>
    <w:p w14:paraId="18979D1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climate disclosure  250–1</w:t>
      </w:r>
    </w:p>
    <w:p w14:paraId="0B7153B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enterprise governance  7–10</w:t>
      </w:r>
    </w:p>
    <w:p w14:paraId="15A66D3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enterprise risk management  10</w:t>
      </w:r>
    </w:p>
    <w:p w14:paraId="2CB81AD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executive responsibilities  6–7</w:t>
      </w:r>
    </w:p>
    <w:p w14:paraId="2DE97CD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Corporate Plan 2024–25</w:t>
      </w:r>
    </w:p>
    <w:p w14:paraId="716852A5" w14:textId="77777777" w:rsidR="00247AD2" w:rsidRPr="005D4B3F" w:rsidRDefault="00247AD2" w:rsidP="00247AD2">
      <w:pPr>
        <w:pStyle w:val="IndexBodyL2"/>
        <w:rPr>
          <w:rFonts w:ascii="Arial" w:hAnsi="Arial" w:cs="Arial"/>
          <w:sz w:val="24"/>
          <w:szCs w:val="24"/>
        </w:rPr>
      </w:pPr>
      <w:r w:rsidRPr="005D4B3F">
        <w:rPr>
          <w:rFonts w:ascii="Arial" w:hAnsi="Arial" w:cs="Arial"/>
          <w:spacing w:val="-6"/>
          <w:sz w:val="24"/>
          <w:szCs w:val="24"/>
        </w:rPr>
        <w:t>strategic performance measures, and  14</w:t>
      </w:r>
    </w:p>
    <w:p w14:paraId="4A3789C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corporate record keeping  252</w:t>
      </w:r>
    </w:p>
    <w:p w14:paraId="4FACE79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correctional facilities  101</w:t>
      </w:r>
    </w:p>
    <w:p w14:paraId="373C647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corruption</w:t>
      </w:r>
    </w:p>
    <w:p w14:paraId="22E70B5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collaboration across government, and  116</w:t>
      </w:r>
    </w:p>
    <w:p w14:paraId="14A9CCF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detection  115</w:t>
      </w:r>
    </w:p>
    <w:p w14:paraId="5129BFF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prevention  115</w:t>
      </w:r>
    </w:p>
    <w:p w14:paraId="49B6D14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response  115</w:t>
      </w:r>
    </w:p>
    <w:p w14:paraId="058698F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COVID-19 Vaccine Claims Scheme  78</w:t>
      </w:r>
    </w:p>
    <w:p w14:paraId="1A2585F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crisis payments see disaster recovery payments</w:t>
      </w:r>
    </w:p>
    <w:p w14:paraId="2C92496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culturally and linguistically diverse (CALD)</w:t>
      </w:r>
    </w:p>
    <w:p w14:paraId="0317A083"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customers  94</w:t>
      </w:r>
    </w:p>
    <w:p w14:paraId="3C7560C3"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Multicultural Servicing Strategy  94–5</w:t>
      </w:r>
    </w:p>
    <w:p w14:paraId="7E0DE1E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staff  146</w:t>
      </w:r>
    </w:p>
    <w:p w14:paraId="75A002D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Customer Committee  7</w:t>
      </w:r>
    </w:p>
    <w:p w14:paraId="169A5E5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customer experience, improving  x, 46</w:t>
      </w:r>
    </w:p>
    <w:p w14:paraId="3B2297F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 xml:space="preserve">Customer Service Delivery </w:t>
      </w:r>
    </w:p>
    <w:p w14:paraId="392C761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executive responsibilities  6</w:t>
      </w:r>
    </w:p>
    <w:p w14:paraId="79BBDD6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strategic performance measure results  27–38</w:t>
      </w:r>
    </w:p>
    <w:p w14:paraId="372A5C7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customers  x–xi, 133</w:t>
      </w:r>
    </w:p>
    <w:p w14:paraId="6F2B02B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lastRenderedPageBreak/>
        <w:t>agency snapshot  iii</w:t>
      </w:r>
    </w:p>
    <w:p w14:paraId="6015435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CALD  94</w:t>
      </w:r>
    </w:p>
    <w:p w14:paraId="2AC50E1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Customer 360 model  x</w:t>
      </w:r>
    </w:p>
    <w:p w14:paraId="64BA45A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improving customer experiences  x, 46</w:t>
      </w:r>
    </w:p>
    <w:p w14:paraId="590EBB1C" w14:textId="77777777" w:rsidR="00247AD2" w:rsidRPr="005D4B3F" w:rsidRDefault="00247AD2" w:rsidP="00247AD2">
      <w:pPr>
        <w:pStyle w:val="IndexBodyL2"/>
        <w:rPr>
          <w:rFonts w:ascii="Arial" w:hAnsi="Arial" w:cs="Arial"/>
          <w:sz w:val="24"/>
          <w:szCs w:val="24"/>
        </w:rPr>
      </w:pPr>
      <w:r w:rsidRPr="005D4B3F">
        <w:rPr>
          <w:rFonts w:ascii="Arial" w:hAnsi="Arial" w:cs="Arial"/>
          <w:spacing w:val="-2"/>
          <w:sz w:val="24"/>
          <w:szCs w:val="24"/>
        </w:rPr>
        <w:t>protecting customer information  46, 52</w:t>
      </w:r>
    </w:p>
    <w:p w14:paraId="252CF7CA"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vulnerable  138</w:t>
      </w:r>
    </w:p>
    <w:p w14:paraId="492AD953"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waiting time, reducing  48</w:t>
      </w:r>
    </w:p>
    <w:p w14:paraId="0BE00FE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cybersecurity  xi, 116, 117–20</w:t>
      </w:r>
    </w:p>
    <w:p w14:paraId="2DD001F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threats  52</w:t>
      </w:r>
    </w:p>
    <w:p w14:paraId="1FE74448" w14:textId="77777777" w:rsidR="00247AD2" w:rsidRPr="005D4B3F" w:rsidRDefault="00247AD2" w:rsidP="00247AD2">
      <w:pPr>
        <w:pStyle w:val="IndexHeading"/>
      </w:pPr>
      <w:r w:rsidRPr="005D4B3F">
        <w:t>D</w:t>
      </w:r>
    </w:p>
    <w:p w14:paraId="06334DC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Data and Digital Cadetship Program  145</w:t>
      </w:r>
    </w:p>
    <w:p w14:paraId="793CB4E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Data-matching Program  241–2</w:t>
      </w:r>
    </w:p>
    <w:p w14:paraId="28F4A5F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chronology  242</w:t>
      </w:r>
    </w:p>
    <w:p w14:paraId="4C8F901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costs  242</w:t>
      </w:r>
    </w:p>
    <w:p w14:paraId="3A97349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savings  242</w:t>
      </w:r>
    </w:p>
    <w:p w14:paraId="55C88EB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debt management  123</w:t>
      </w:r>
    </w:p>
    <w:p w14:paraId="0A170B5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dental services  71</w:t>
      </w:r>
    </w:p>
    <w:p w14:paraId="311B102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child  76</w:t>
      </w:r>
    </w:p>
    <w:p w14:paraId="7647723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Department of Defence  150</w:t>
      </w:r>
    </w:p>
    <w:p w14:paraId="2DF4D3B0" w14:textId="77777777" w:rsidR="00247AD2" w:rsidRPr="005D4B3F" w:rsidRDefault="00247AD2" w:rsidP="00247AD2">
      <w:pPr>
        <w:pStyle w:val="IndexBodyL1"/>
        <w:rPr>
          <w:rFonts w:ascii="Arial" w:hAnsi="Arial" w:cs="Arial"/>
          <w:sz w:val="24"/>
          <w:szCs w:val="24"/>
        </w:rPr>
      </w:pPr>
      <w:r w:rsidRPr="005D4B3F">
        <w:rPr>
          <w:rFonts w:ascii="Arial" w:hAnsi="Arial" w:cs="Arial"/>
          <w:spacing w:val="-4"/>
          <w:sz w:val="24"/>
          <w:szCs w:val="24"/>
        </w:rPr>
        <w:t>Department of Finance (DoF)  119, 159, 212</w:t>
      </w:r>
    </w:p>
    <w:p w14:paraId="2469D39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Department of Foreign Affairs and Trade (DFAT)  88</w:t>
      </w:r>
    </w:p>
    <w:p w14:paraId="0AE71AB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Department of Health, Disability and Ageing (DHDA)  62, 69, 82, 159</w:t>
      </w:r>
    </w:p>
    <w:p w14:paraId="5EF9275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Department of Home Affairs  87, 88, 100, 101, 119</w:t>
      </w:r>
    </w:p>
    <w:p w14:paraId="1767F3C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Department of Social Services (DSS)</w:t>
      </w:r>
    </w:p>
    <w:p w14:paraId="0A00D13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shared services  108</w:t>
      </w:r>
    </w:p>
    <w:p w14:paraId="5C6731B3" w14:textId="77777777" w:rsidR="00247AD2" w:rsidRPr="005D4B3F" w:rsidRDefault="00247AD2" w:rsidP="00247AD2">
      <w:pPr>
        <w:pStyle w:val="IndexBodyL1"/>
        <w:rPr>
          <w:rFonts w:ascii="Arial" w:hAnsi="Arial" w:cs="Arial"/>
          <w:sz w:val="24"/>
          <w:szCs w:val="24"/>
        </w:rPr>
      </w:pPr>
    </w:p>
    <w:p w14:paraId="7DEA907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Department of Veterans’ Affairs (DVA)</w:t>
      </w:r>
    </w:p>
    <w:p w14:paraId="2AB6244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data-matching  241</w:t>
      </w:r>
    </w:p>
    <w:p w14:paraId="289A0D2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health services  71–2</w:t>
      </w:r>
    </w:p>
    <w:p w14:paraId="38F7AA2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Modernisation Program  51</w:t>
      </w:r>
    </w:p>
    <w:p w14:paraId="1048306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shared services  108</w:t>
      </w:r>
    </w:p>
    <w:p w14:paraId="3C74BD4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Departure Prohibition Order (DPO)  85</w:t>
      </w:r>
    </w:p>
    <w:p w14:paraId="658DFD9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diagnostic imaging services  66, 71</w:t>
      </w:r>
    </w:p>
    <w:p w14:paraId="1345AD6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digital health services  82</w:t>
      </w:r>
    </w:p>
    <w:p w14:paraId="7319CFFC" w14:textId="77777777" w:rsidR="00247AD2" w:rsidRPr="005D4B3F" w:rsidRDefault="00247AD2" w:rsidP="00247AD2">
      <w:pPr>
        <w:pStyle w:val="IndexBodyL1"/>
        <w:rPr>
          <w:rFonts w:ascii="Arial" w:hAnsi="Arial" w:cs="Arial"/>
          <w:sz w:val="24"/>
          <w:szCs w:val="24"/>
        </w:rPr>
      </w:pPr>
      <w:r w:rsidRPr="005D4B3F">
        <w:rPr>
          <w:rStyle w:val="Italic"/>
          <w:rFonts w:ascii="Arial" w:hAnsi="Arial" w:cs="Arial"/>
          <w:sz w:val="24"/>
          <w:szCs w:val="24"/>
        </w:rPr>
        <w:t>Digital ID Act 2024</w:t>
      </w:r>
      <w:r w:rsidRPr="005D4B3F">
        <w:rPr>
          <w:rFonts w:ascii="Arial" w:hAnsi="Arial" w:cs="Arial"/>
          <w:sz w:val="24"/>
          <w:szCs w:val="24"/>
        </w:rPr>
        <w:t xml:space="preserve">  117</w:t>
      </w:r>
    </w:p>
    <w:p w14:paraId="404CDDA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digital identity</w:t>
      </w:r>
    </w:p>
    <w:p w14:paraId="5FE000B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Digital ID Exchange  117</w:t>
      </w:r>
    </w:p>
    <w:p w14:paraId="2F89784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identity theft  120</w:t>
      </w:r>
    </w:p>
    <w:p w14:paraId="47D7196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scams  120</w:t>
      </w:r>
    </w:p>
    <w:p w14:paraId="21F72CD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third party compromise events  120</w:t>
      </w:r>
    </w:p>
    <w:p w14:paraId="227FD71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digital learning  153</w:t>
      </w:r>
    </w:p>
    <w:p w14:paraId="1D6BAD4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digital services  46–7</w:t>
      </w:r>
    </w:p>
    <w:p w14:paraId="46E261E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lastRenderedPageBreak/>
        <w:t>Digital Traineeship Program  145</w:t>
      </w:r>
    </w:p>
    <w:p w14:paraId="75D33CE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disability see people with disability</w:t>
      </w:r>
    </w:p>
    <w:p w14:paraId="43D43D2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Disability Peak Bodies Forum  110</w:t>
      </w:r>
    </w:p>
    <w:p w14:paraId="403B469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Disability Strategy Hub  147</w:t>
      </w:r>
    </w:p>
    <w:p w14:paraId="3D1073B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Disability Support Pension (DSP)  56, 110</w:t>
      </w:r>
    </w:p>
    <w:p w14:paraId="3B32F67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disaster(s) see also emergencies</w:t>
      </w:r>
    </w:p>
    <w:p w14:paraId="2D24F5D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Community Engagement Officers  99</w:t>
      </w:r>
    </w:p>
    <w:p w14:paraId="7DF6FF3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natural disasters  47</w:t>
      </w:r>
    </w:p>
    <w:p w14:paraId="07A97B8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payments and support  88, 89</w:t>
      </w:r>
    </w:p>
    <w:p w14:paraId="0BF3E96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 delivery  87–8</w:t>
      </w:r>
    </w:p>
    <w:p w14:paraId="274D7FE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support in affected communities  87</w:t>
      </w:r>
    </w:p>
    <w:p w14:paraId="63300A2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Disaster Health Care Assistance Scheme  88</w:t>
      </w:r>
    </w:p>
    <w:p w14:paraId="45020FB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Disaster Recovery Allowance (DRA)  87</w:t>
      </w:r>
    </w:p>
    <w:p w14:paraId="7B22F83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disaster recovery payments  87</w:t>
      </w:r>
    </w:p>
    <w:p w14:paraId="07992A0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diversity and inclusion  xiii</w:t>
      </w:r>
    </w:p>
    <w:p w14:paraId="19EF071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CALD staff  146</w:t>
      </w:r>
    </w:p>
    <w:p w14:paraId="01EF08E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disability see disability</w:t>
      </w:r>
    </w:p>
    <w:p w14:paraId="4A35EED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initiatives  148</w:t>
      </w:r>
    </w:p>
    <w:p w14:paraId="1219B02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SES diversity champions  148</w:t>
      </w:r>
    </w:p>
    <w:p w14:paraId="7E87185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Diversity Council Australia  148</w:t>
      </w:r>
    </w:p>
    <w:p w14:paraId="1FBE85F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document verification service (DVS)  117</w:t>
      </w:r>
    </w:p>
    <w:p w14:paraId="6B26615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domestic violence, people affected by  90–1</w:t>
      </w:r>
    </w:p>
    <w:p w14:paraId="3A72510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Double Orphan Pension  58</w:t>
      </w:r>
    </w:p>
    <w:p w14:paraId="38C09DEE" w14:textId="77777777" w:rsidR="00247AD2" w:rsidRPr="005D4B3F" w:rsidRDefault="00247AD2" w:rsidP="00247AD2">
      <w:pPr>
        <w:pStyle w:val="IndexHeading"/>
      </w:pPr>
      <w:r w:rsidRPr="005D4B3F">
        <w:t>E</w:t>
      </w:r>
    </w:p>
    <w:p w14:paraId="5077761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Early Childhood Education and Care (Three Day Guarantee) Bill 2025  136</w:t>
      </w:r>
    </w:p>
    <w:p w14:paraId="11F97CB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Ecologically Sustainable Development (ESD)  243–50</w:t>
      </w:r>
    </w:p>
    <w:p w14:paraId="2B331D3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Economic Justice Australia  138</w:t>
      </w:r>
    </w:p>
    <w:p w14:paraId="62F5073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emergencies see also disaster(s)</w:t>
      </w:r>
    </w:p>
    <w:p w14:paraId="6D23D92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claims received  47</w:t>
      </w:r>
    </w:p>
    <w:p w14:paraId="134F4C4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Community Engagement Officers  99</w:t>
      </w:r>
    </w:p>
    <w:p w14:paraId="642EB4E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payments and support  88, 89</w:t>
      </w:r>
    </w:p>
    <w:p w14:paraId="6EDE218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 delivery  87–8</w:t>
      </w:r>
    </w:p>
    <w:p w14:paraId="5ABA5486" w14:textId="77777777" w:rsidR="00247AD2" w:rsidRPr="005D4B3F" w:rsidRDefault="00247AD2" w:rsidP="00247AD2">
      <w:pPr>
        <w:pStyle w:val="IndexBodyL2"/>
        <w:rPr>
          <w:rFonts w:ascii="Arial" w:hAnsi="Arial" w:cs="Arial"/>
          <w:sz w:val="24"/>
          <w:szCs w:val="24"/>
        </w:rPr>
      </w:pPr>
      <w:r w:rsidRPr="005D4B3F">
        <w:rPr>
          <w:rFonts w:ascii="Arial" w:hAnsi="Arial" w:cs="Arial"/>
          <w:spacing w:val="-2"/>
          <w:sz w:val="24"/>
          <w:szCs w:val="24"/>
        </w:rPr>
        <w:t>support in affected communities  47, 87</w:t>
      </w:r>
    </w:p>
    <w:p w14:paraId="39496FF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Emergency Reserve  88</w:t>
      </w:r>
    </w:p>
    <w:p w14:paraId="51596E6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Employ for Ability  147</w:t>
      </w:r>
    </w:p>
    <w:p w14:paraId="6EEC980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employees and employment see staff</w:t>
      </w:r>
    </w:p>
    <w:p w14:paraId="0590B94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employment arrangements  155</w:t>
      </w:r>
    </w:p>
    <w:p w14:paraId="1C21B5E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Employment Services Assessments (ESAts)  61</w:t>
      </w:r>
    </w:p>
    <w:p w14:paraId="544B830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Enhanced Income Management  104–5</w:t>
      </w:r>
    </w:p>
    <w:p w14:paraId="6FEF95C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Enterprise Agreement 2024–27  154, 155</w:t>
      </w:r>
    </w:p>
    <w:p w14:paraId="5551465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enterprise governance  7–10</w:t>
      </w:r>
    </w:p>
    <w:p w14:paraId="2A042BA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enterprise risk management  10</w:t>
      </w:r>
    </w:p>
    <w:p w14:paraId="7D0C954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lastRenderedPageBreak/>
        <w:t>entity resource statement  208–11</w:t>
      </w:r>
    </w:p>
    <w:p w14:paraId="66C7307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environmental management  243–50</w:t>
      </w:r>
    </w:p>
    <w:p w14:paraId="029BFCB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activities, effect of  244–50</w:t>
      </w:r>
    </w:p>
    <w:p w14:paraId="353A88A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Essential Medical Equipment Payment (EMEP)  57</w:t>
      </w:r>
    </w:p>
    <w:p w14:paraId="2199C49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ex-Tropical Cyclone Alfred  x</w:t>
      </w:r>
    </w:p>
    <w:p w14:paraId="2317B5B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Exceptional Claims Scheme  80</w:t>
      </w:r>
    </w:p>
    <w:p w14:paraId="5FA3E82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Allied Health Exceptional Claims Scheme  80</w:t>
      </w:r>
    </w:p>
    <w:p w14:paraId="2E0F025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Executive  3</w:t>
      </w:r>
    </w:p>
    <w:p w14:paraId="10DA282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enterprise risk management  10</w:t>
      </w:r>
    </w:p>
    <w:p w14:paraId="1C42A0B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remuneration  218–22, 237</w:t>
      </w:r>
    </w:p>
    <w:p w14:paraId="431BF90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responsibilities  6–7</w:t>
      </w:r>
    </w:p>
    <w:p w14:paraId="232C462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Executive Committee  7</w:t>
      </w:r>
    </w:p>
    <w:p w14:paraId="748BEEC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exempt contracts  215</w:t>
      </w:r>
    </w:p>
    <w:p w14:paraId="3754335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expenses by outcome  208–11</w:t>
      </w:r>
    </w:p>
    <w:p w14:paraId="3443665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External Breast Prostheses Reimbursement Program  72–3</w:t>
      </w:r>
    </w:p>
    <w:p w14:paraId="18BA764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Extraordinary Assistance Fund  78</w:t>
      </w:r>
    </w:p>
    <w:p w14:paraId="22CDA988" w14:textId="77777777" w:rsidR="00247AD2" w:rsidRPr="005D4B3F" w:rsidRDefault="00247AD2" w:rsidP="00247AD2">
      <w:pPr>
        <w:pStyle w:val="IndexHeading"/>
      </w:pPr>
      <w:r w:rsidRPr="005D4B3F">
        <w:t>F</w:t>
      </w:r>
    </w:p>
    <w:p w14:paraId="46ED7A5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face to face services  49</w:t>
      </w:r>
    </w:p>
    <w:p w14:paraId="1F7AE40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Financial Information Service (FIS)  xiii, 102</w:t>
      </w:r>
    </w:p>
    <w:p w14:paraId="488994AA"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Indigenous interpreting services  94</w:t>
      </w:r>
    </w:p>
    <w:p w14:paraId="61190E3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interpreters  93–4, 97</w:t>
      </w:r>
    </w:p>
    <w:p w14:paraId="1943CA6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remote servicing teams  98</w:t>
      </w:r>
    </w:p>
    <w:p w14:paraId="58B954A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families</w:t>
      </w:r>
    </w:p>
    <w:p w14:paraId="58F2103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Community Engagement Officers  99</w:t>
      </w:r>
    </w:p>
    <w:p w14:paraId="5965F87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 delivery  57–9</w:t>
      </w:r>
    </w:p>
    <w:p w14:paraId="37FA7E5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family and domestic violence support model  90</w:t>
      </w:r>
    </w:p>
    <w:p w14:paraId="1FCDD2E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Family Tax Benefit  xiii, 57</w:t>
      </w:r>
    </w:p>
    <w:p w14:paraId="361FE49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Farm Household Allowance  94</w:t>
      </w:r>
    </w:p>
    <w:p w14:paraId="00907EE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feedback on services  xii</w:t>
      </w:r>
    </w:p>
    <w:p w14:paraId="4261DAF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Centrelink  240</w:t>
      </w:r>
    </w:p>
    <w:p w14:paraId="3F19BDD3"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Child Support  240</w:t>
      </w:r>
    </w:p>
    <w:p w14:paraId="59941E4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Medicare  239</w:t>
      </w:r>
    </w:p>
    <w:p w14:paraId="225A160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financial abuse  134</w:t>
      </w:r>
    </w:p>
    <w:p w14:paraId="750B158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Financial Information Service (FIS)  xiii, 102</w:t>
      </w:r>
    </w:p>
    <w:p w14:paraId="4544DA5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financial performance  158–9</w:t>
      </w:r>
    </w:p>
    <w:p w14:paraId="7D792BC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significant non-compliance  159</w:t>
      </w:r>
    </w:p>
    <w:p w14:paraId="2C91218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First Nations Peoples see also Aboriginal and Torres Strait Islander Australians</w:t>
      </w:r>
    </w:p>
    <w:p w14:paraId="56C0D0C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customers  102</w:t>
      </w:r>
    </w:p>
    <w:p w14:paraId="3E17134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reconciliation  151</w:t>
      </w:r>
    </w:p>
    <w:p w14:paraId="164A62B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senior leadership levels  150</w:t>
      </w:r>
    </w:p>
    <w:p w14:paraId="3EBA69A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flexible working arrangements  155</w:t>
      </w:r>
    </w:p>
    <w:p w14:paraId="10746E6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floods  89</w:t>
      </w:r>
    </w:p>
    <w:p w14:paraId="5DBC68D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lastRenderedPageBreak/>
        <w:t>fraud control and compliance  114</w:t>
      </w:r>
    </w:p>
    <w:p w14:paraId="200EF0E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collaboration across government, and  116</w:t>
      </w:r>
    </w:p>
    <w:p w14:paraId="783B830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 xml:space="preserve">detection  115 </w:t>
      </w:r>
    </w:p>
    <w:p w14:paraId="1E1DE86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 xml:space="preserve">prevention  115 </w:t>
      </w:r>
    </w:p>
    <w:p w14:paraId="7C6A6B7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public tip-offs  121</w:t>
      </w:r>
    </w:p>
    <w:p w14:paraId="19A8EA0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 xml:space="preserve">response  115 </w:t>
      </w:r>
    </w:p>
    <w:p w14:paraId="0027D57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Fraud and Corruption Control Plan 2025–26  114</w:t>
      </w:r>
    </w:p>
    <w:p w14:paraId="1334B01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Fraud Fusion Taskforce (FFT)  116</w:t>
      </w:r>
    </w:p>
    <w:p w14:paraId="675419E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freedom of information  130</w:t>
      </w:r>
    </w:p>
    <w:p w14:paraId="42E4776E" w14:textId="77777777" w:rsidR="00247AD2" w:rsidRPr="005D4B3F" w:rsidRDefault="00247AD2" w:rsidP="00247AD2">
      <w:pPr>
        <w:pStyle w:val="IndexHeading"/>
      </w:pPr>
      <w:r w:rsidRPr="005D4B3F">
        <w:t>G</w:t>
      </w:r>
    </w:p>
    <w:p w14:paraId="51C6843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Gallagher, Hon Katy, MP  2</w:t>
      </w:r>
    </w:p>
    <w:p w14:paraId="47CAEFDF" w14:textId="77777777" w:rsidR="00247AD2" w:rsidRPr="005D4B3F" w:rsidRDefault="00247AD2" w:rsidP="00247AD2">
      <w:pPr>
        <w:pStyle w:val="IndexBodyL1"/>
        <w:rPr>
          <w:rFonts w:ascii="Arial" w:hAnsi="Arial" w:cs="Arial"/>
          <w:sz w:val="24"/>
          <w:szCs w:val="24"/>
        </w:rPr>
      </w:pPr>
      <w:r w:rsidRPr="005D4B3F">
        <w:rPr>
          <w:rFonts w:ascii="Arial" w:hAnsi="Arial" w:cs="Arial"/>
          <w:spacing w:val="-5"/>
          <w:sz w:val="24"/>
          <w:szCs w:val="24"/>
        </w:rPr>
        <w:t>Gay and Lesbian Mardi Gras Parade  xiii, 156</w:t>
      </w:r>
    </w:p>
    <w:p w14:paraId="4F61193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Grandparent, Foster and Kinship Carer Advisers  58</w:t>
      </w:r>
    </w:p>
    <w:p w14:paraId="5B10958A" w14:textId="77777777" w:rsidR="00247AD2" w:rsidRPr="005D4B3F" w:rsidRDefault="00247AD2" w:rsidP="00247AD2">
      <w:pPr>
        <w:pStyle w:val="IndexBodyL1"/>
        <w:spacing w:after="0"/>
        <w:rPr>
          <w:rFonts w:ascii="Arial" w:hAnsi="Arial" w:cs="Arial"/>
          <w:sz w:val="24"/>
          <w:szCs w:val="24"/>
        </w:rPr>
      </w:pPr>
      <w:r w:rsidRPr="005D4B3F">
        <w:rPr>
          <w:rFonts w:ascii="Arial" w:hAnsi="Arial" w:cs="Arial"/>
          <w:sz w:val="24"/>
          <w:szCs w:val="24"/>
        </w:rPr>
        <w:t>greenhouse gas emissions  243, 248–50</w:t>
      </w:r>
    </w:p>
    <w:p w14:paraId="2645AB12" w14:textId="77777777" w:rsidR="00247AD2" w:rsidRPr="005D4B3F" w:rsidRDefault="00247AD2" w:rsidP="00247AD2">
      <w:pPr>
        <w:pStyle w:val="IndexHeading"/>
      </w:pPr>
      <w:r w:rsidRPr="005D4B3F">
        <w:t>H</w:t>
      </w:r>
    </w:p>
    <w:p w14:paraId="59C0A68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Hazlehurst, David (Chief Executive Officer)  ix, xiii, 4</w:t>
      </w:r>
    </w:p>
    <w:p w14:paraId="4EC0A25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 xml:space="preserve">health </w:t>
      </w:r>
    </w:p>
    <w:p w14:paraId="4F1FD62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DHDA see Department of Health, Disability and Ageing (DHDA)</w:t>
      </w:r>
    </w:p>
    <w:p w14:paraId="1366FF5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DVA see Department of Veterans’ Affairs (DVA)</w:t>
      </w:r>
    </w:p>
    <w:p w14:paraId="715D90E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 delivery  62–82</w:t>
      </w:r>
    </w:p>
    <w:p w14:paraId="2D8CDCE3" w14:textId="77777777" w:rsidR="00247AD2" w:rsidRPr="005D4B3F" w:rsidRDefault="00247AD2" w:rsidP="00247AD2">
      <w:pPr>
        <w:pStyle w:val="IndexBodyL1"/>
        <w:rPr>
          <w:rFonts w:ascii="Arial" w:hAnsi="Arial" w:cs="Arial"/>
          <w:sz w:val="24"/>
          <w:szCs w:val="24"/>
        </w:rPr>
      </w:pPr>
      <w:r w:rsidRPr="005D4B3F">
        <w:rPr>
          <w:rFonts w:ascii="Arial" w:hAnsi="Arial" w:cs="Arial"/>
          <w:spacing w:val="-2"/>
          <w:sz w:val="24"/>
          <w:szCs w:val="24"/>
        </w:rPr>
        <w:t>Health and Wellbeing Framework 2021–26</w:t>
      </w:r>
      <w:r w:rsidRPr="005D4B3F">
        <w:rPr>
          <w:rFonts w:ascii="Arial" w:hAnsi="Arial" w:cs="Arial"/>
          <w:sz w:val="24"/>
          <w:szCs w:val="24"/>
        </w:rPr>
        <w:t xml:space="preserve">  144</w:t>
      </w:r>
    </w:p>
    <w:p w14:paraId="1002CAC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Health Care Assistance Fund  78</w:t>
      </w:r>
    </w:p>
    <w:p w14:paraId="5629233B" w14:textId="77777777" w:rsidR="00247AD2" w:rsidRPr="005D4B3F" w:rsidRDefault="00247AD2" w:rsidP="00247AD2">
      <w:pPr>
        <w:pStyle w:val="IndexBodyL1"/>
        <w:rPr>
          <w:rFonts w:ascii="Arial" w:hAnsi="Arial" w:cs="Arial"/>
          <w:sz w:val="24"/>
          <w:szCs w:val="24"/>
        </w:rPr>
      </w:pPr>
      <w:r w:rsidRPr="005D4B3F">
        <w:rPr>
          <w:rFonts w:ascii="Arial" w:hAnsi="Arial" w:cs="Arial"/>
          <w:spacing w:val="-2"/>
          <w:sz w:val="24"/>
          <w:szCs w:val="24"/>
        </w:rPr>
        <w:t>Health Delivery Modernisation Program  50</w:t>
      </w:r>
    </w:p>
    <w:p w14:paraId="0339757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Health Professional Advisory Unit (HPAU)  61</w:t>
      </w:r>
    </w:p>
    <w:p w14:paraId="4E5C005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health professionals and providers</w:t>
      </w:r>
    </w:p>
    <w:p w14:paraId="3A85E698" w14:textId="77777777" w:rsidR="00247AD2" w:rsidRPr="005D4B3F" w:rsidRDefault="00247AD2" w:rsidP="00247AD2">
      <w:pPr>
        <w:pStyle w:val="IndexBodyL2"/>
        <w:rPr>
          <w:rFonts w:ascii="Arial" w:hAnsi="Arial" w:cs="Arial"/>
          <w:sz w:val="24"/>
          <w:szCs w:val="24"/>
        </w:rPr>
      </w:pPr>
      <w:r w:rsidRPr="005D4B3F">
        <w:rPr>
          <w:rFonts w:ascii="Arial" w:hAnsi="Arial" w:cs="Arial"/>
          <w:spacing w:val="-2"/>
          <w:sz w:val="24"/>
          <w:szCs w:val="24"/>
        </w:rPr>
        <w:t>Allied Health High Cost Claims Scheme  79</w:t>
      </w:r>
    </w:p>
    <w:p w14:paraId="3DEC2FA8" w14:textId="77777777" w:rsidR="00247AD2" w:rsidRPr="005D4B3F" w:rsidRDefault="00247AD2" w:rsidP="00247AD2">
      <w:pPr>
        <w:pStyle w:val="IndexBodyL2"/>
        <w:rPr>
          <w:rFonts w:ascii="Arial" w:hAnsi="Arial" w:cs="Arial"/>
          <w:sz w:val="24"/>
          <w:szCs w:val="24"/>
        </w:rPr>
      </w:pPr>
      <w:r w:rsidRPr="005D4B3F">
        <w:rPr>
          <w:rFonts w:ascii="Arial" w:hAnsi="Arial" w:cs="Arial"/>
          <w:spacing w:val="-5"/>
          <w:sz w:val="24"/>
          <w:szCs w:val="24"/>
        </w:rPr>
        <w:t>professional indemnity insurance  79–81</w:t>
      </w:r>
    </w:p>
    <w:p w14:paraId="28ED2317" w14:textId="77777777" w:rsidR="00247AD2" w:rsidRPr="005D4B3F" w:rsidRDefault="00247AD2" w:rsidP="00247AD2">
      <w:pPr>
        <w:pStyle w:val="IndexBodyL1"/>
        <w:rPr>
          <w:rFonts w:ascii="Arial" w:hAnsi="Arial" w:cs="Arial"/>
          <w:sz w:val="24"/>
          <w:szCs w:val="24"/>
        </w:rPr>
      </w:pPr>
      <w:r w:rsidRPr="005D4B3F">
        <w:rPr>
          <w:rFonts w:ascii="Arial" w:hAnsi="Arial" w:cs="Arial"/>
          <w:spacing w:val="-2"/>
          <w:sz w:val="24"/>
          <w:szCs w:val="24"/>
        </w:rPr>
        <w:t>Health and Wellbeing Framework 2021–26</w:t>
      </w:r>
      <w:r w:rsidRPr="005D4B3F">
        <w:rPr>
          <w:rFonts w:ascii="Arial" w:hAnsi="Arial" w:cs="Arial"/>
          <w:sz w:val="24"/>
          <w:szCs w:val="24"/>
        </w:rPr>
        <w:t xml:space="preserve">  144</w:t>
      </w:r>
    </w:p>
    <w:p w14:paraId="2C67E1C7" w14:textId="77777777" w:rsidR="00247AD2" w:rsidRPr="005D4B3F" w:rsidRDefault="00247AD2" w:rsidP="00247AD2">
      <w:pPr>
        <w:pStyle w:val="IndexBodyL1"/>
        <w:rPr>
          <w:rFonts w:ascii="Arial" w:hAnsi="Arial" w:cs="Arial"/>
          <w:sz w:val="24"/>
          <w:szCs w:val="24"/>
        </w:rPr>
      </w:pPr>
      <w:r w:rsidRPr="005D4B3F">
        <w:rPr>
          <w:rStyle w:val="Italic"/>
          <w:rFonts w:ascii="Arial" w:hAnsi="Arial" w:cs="Arial"/>
          <w:sz w:val="24"/>
          <w:szCs w:val="24"/>
        </w:rPr>
        <w:t>Healthcare Identifiers Act 2010</w:t>
      </w:r>
      <w:r w:rsidRPr="005D4B3F">
        <w:rPr>
          <w:rFonts w:ascii="Arial" w:hAnsi="Arial" w:cs="Arial"/>
          <w:sz w:val="24"/>
          <w:szCs w:val="24"/>
        </w:rPr>
        <w:t xml:space="preserve">  82</w:t>
      </w:r>
    </w:p>
    <w:p w14:paraId="284D608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Healthcare Identifiers Service  82</w:t>
      </w:r>
    </w:p>
    <w:p w14:paraId="3B7C7DE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High Cost Claims Indemnity Scheme  79</w:t>
      </w:r>
    </w:p>
    <w:p w14:paraId="31F6A125" w14:textId="77777777" w:rsidR="00247AD2" w:rsidRPr="005D4B3F" w:rsidRDefault="00247AD2" w:rsidP="00247AD2">
      <w:pPr>
        <w:pStyle w:val="IndexBodyL2"/>
        <w:rPr>
          <w:rFonts w:ascii="Arial" w:hAnsi="Arial" w:cs="Arial"/>
          <w:sz w:val="24"/>
          <w:szCs w:val="24"/>
        </w:rPr>
      </w:pPr>
      <w:r w:rsidRPr="005D4B3F">
        <w:rPr>
          <w:rFonts w:ascii="Arial" w:hAnsi="Arial" w:cs="Arial"/>
          <w:spacing w:val="-2"/>
          <w:sz w:val="24"/>
          <w:szCs w:val="24"/>
        </w:rPr>
        <w:t>Allied Health High Cost Claims Scheme  79</w:t>
      </w:r>
    </w:p>
    <w:p w14:paraId="5D90D1F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human resources management see staff</w:t>
      </w:r>
    </w:p>
    <w:p w14:paraId="17D31206" w14:textId="77777777" w:rsidR="00247AD2" w:rsidRPr="005D4B3F" w:rsidRDefault="00247AD2" w:rsidP="00247AD2">
      <w:pPr>
        <w:pStyle w:val="IndexBodyL1"/>
        <w:rPr>
          <w:rFonts w:ascii="Arial" w:hAnsi="Arial" w:cs="Arial"/>
          <w:sz w:val="24"/>
          <w:szCs w:val="24"/>
        </w:rPr>
      </w:pPr>
      <w:r w:rsidRPr="005D4B3F">
        <w:rPr>
          <w:rStyle w:val="Italic"/>
          <w:rFonts w:ascii="Arial" w:hAnsi="Arial" w:cs="Arial"/>
          <w:sz w:val="24"/>
          <w:szCs w:val="24"/>
        </w:rPr>
        <w:t xml:space="preserve">Human Services (Medicare) Act 1973 </w:t>
      </w:r>
      <w:r w:rsidRPr="005D4B3F">
        <w:rPr>
          <w:rFonts w:ascii="Arial" w:hAnsi="Arial" w:cs="Arial"/>
          <w:sz w:val="24"/>
          <w:szCs w:val="24"/>
        </w:rPr>
        <w:t xml:space="preserve"> 243</w:t>
      </w:r>
    </w:p>
    <w:p w14:paraId="1767333E" w14:textId="77777777" w:rsidR="00247AD2" w:rsidRPr="005D4B3F" w:rsidRDefault="00247AD2" w:rsidP="00247AD2">
      <w:pPr>
        <w:pStyle w:val="IndexBodyL1"/>
        <w:spacing w:after="0"/>
        <w:rPr>
          <w:rFonts w:ascii="Arial" w:hAnsi="Arial" w:cs="Arial"/>
          <w:sz w:val="24"/>
          <w:szCs w:val="24"/>
        </w:rPr>
      </w:pPr>
      <w:r w:rsidRPr="005D4B3F">
        <w:rPr>
          <w:rFonts w:ascii="Arial" w:hAnsi="Arial" w:cs="Arial"/>
          <w:sz w:val="24"/>
          <w:szCs w:val="24"/>
        </w:rPr>
        <w:t>Humanitarian Settlement Program  100</w:t>
      </w:r>
    </w:p>
    <w:p w14:paraId="6D259ACD" w14:textId="77777777" w:rsidR="00247AD2" w:rsidRPr="005D4B3F" w:rsidRDefault="00247AD2" w:rsidP="00247AD2">
      <w:pPr>
        <w:pStyle w:val="IndexHeading"/>
      </w:pPr>
      <w:r w:rsidRPr="005D4B3F">
        <w:t>I</w:t>
      </w:r>
    </w:p>
    <w:p w14:paraId="56B09D0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IDCARE  120</w:t>
      </w:r>
    </w:p>
    <w:p w14:paraId="5085582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identity management  117–20</w:t>
      </w:r>
    </w:p>
    <w:p w14:paraId="2692DF7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identity theft  120</w:t>
      </w:r>
    </w:p>
    <w:p w14:paraId="6B941DF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incarcerated customers  101</w:t>
      </w:r>
    </w:p>
    <w:p w14:paraId="2C4E73F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inclusion and diversity  146</w:t>
      </w:r>
    </w:p>
    <w:p w14:paraId="58C449B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Income Compliance Program  122</w:t>
      </w:r>
    </w:p>
    <w:p w14:paraId="7D4CA9A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Income Management (IM)  103–4</w:t>
      </w:r>
    </w:p>
    <w:p w14:paraId="0116348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lastRenderedPageBreak/>
        <w:t>enhanced  104–5</w:t>
      </w:r>
    </w:p>
    <w:p w14:paraId="4BEA016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Incurred-But-Not-Reported Indemnity Scheme  80</w:t>
      </w:r>
    </w:p>
    <w:p w14:paraId="6B45790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Independent Advisory Board  127</w:t>
      </w:r>
    </w:p>
    <w:p w14:paraId="6341035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Independent Auditor’s Report  160–3</w:t>
      </w:r>
    </w:p>
    <w:p w14:paraId="50292B5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Indigenous Apprenticeships Program  149</w:t>
      </w:r>
    </w:p>
    <w:p w14:paraId="56709E8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Indigenous interpreting services  93</w:t>
      </w:r>
    </w:p>
    <w:p w14:paraId="397F109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Indigenous people see Aboriginal and Torres Strait Islander Australians; First Nations Peoples</w:t>
      </w:r>
    </w:p>
    <w:p w14:paraId="5AAC3F6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Indigenous Service Officers (ISOs)  xiii, 91, 92</w:t>
      </w:r>
    </w:p>
    <w:p w14:paraId="1D0853D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50th anniversary  92</w:t>
      </w:r>
    </w:p>
    <w:p w14:paraId="63862724" w14:textId="77777777" w:rsidR="00247AD2" w:rsidRPr="005D4B3F" w:rsidRDefault="00247AD2" w:rsidP="00247AD2">
      <w:pPr>
        <w:pStyle w:val="IndexBodyL1"/>
        <w:rPr>
          <w:rFonts w:ascii="Arial" w:hAnsi="Arial" w:cs="Arial"/>
          <w:sz w:val="24"/>
          <w:szCs w:val="24"/>
        </w:rPr>
      </w:pPr>
      <w:r w:rsidRPr="005D4B3F">
        <w:rPr>
          <w:rFonts w:ascii="Arial" w:hAnsi="Arial" w:cs="Arial"/>
          <w:spacing w:val="-6"/>
          <w:sz w:val="24"/>
          <w:szCs w:val="24"/>
        </w:rPr>
        <w:t>Indigenous Servicing Pathway Plan 2024–28</w:t>
      </w:r>
      <w:r w:rsidRPr="005D4B3F">
        <w:rPr>
          <w:rFonts w:ascii="Arial" w:hAnsi="Arial" w:cs="Arial"/>
          <w:sz w:val="24"/>
          <w:szCs w:val="24"/>
        </w:rPr>
        <w:t xml:space="preserve"> (ISPP)  93</w:t>
      </w:r>
    </w:p>
    <w:p w14:paraId="2C98727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individual flexibility arrangements  155</w:t>
      </w:r>
    </w:p>
    <w:p w14:paraId="6F6BDF4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information and communications technology (ICT)</w:t>
      </w:r>
    </w:p>
    <w:p w14:paraId="18625CE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Architecture Review  xi</w:t>
      </w:r>
    </w:p>
    <w:p w14:paraId="10939C6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parliamentary committee report  134</w:t>
      </w:r>
    </w:p>
    <w:p w14:paraId="09E31C7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shared services  108</w:t>
      </w:r>
    </w:p>
    <w:p w14:paraId="68C8CCC9" w14:textId="77777777" w:rsidR="00247AD2" w:rsidRPr="005D4B3F" w:rsidRDefault="00247AD2" w:rsidP="00247AD2">
      <w:pPr>
        <w:pStyle w:val="IndexBodyL1"/>
        <w:rPr>
          <w:rFonts w:ascii="Arial" w:hAnsi="Arial" w:cs="Arial"/>
          <w:sz w:val="24"/>
          <w:szCs w:val="24"/>
        </w:rPr>
      </w:pPr>
      <w:r w:rsidRPr="005D4B3F">
        <w:rPr>
          <w:rFonts w:ascii="Arial" w:hAnsi="Arial" w:cs="Arial"/>
          <w:spacing w:val="-2"/>
          <w:sz w:val="24"/>
          <w:szCs w:val="24"/>
        </w:rPr>
        <w:t>Information Publication Scheme (IPS)  130</w:t>
      </w:r>
    </w:p>
    <w:p w14:paraId="7A65320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integrity  x, 133</w:t>
      </w:r>
    </w:p>
    <w:p w14:paraId="173C3B4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interactive voice response (IVR) technology  49</w:t>
      </w:r>
    </w:p>
    <w:p w14:paraId="7CBB412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international partnerships  111</w:t>
      </w:r>
    </w:p>
    <w:p w14:paraId="36BF42A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 xml:space="preserve">interpreters and translators </w:t>
      </w:r>
    </w:p>
    <w:p w14:paraId="626C86E3"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Auslan  96, 97</w:t>
      </w:r>
    </w:p>
    <w:p w14:paraId="787F8F3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Indigenous interpreting services  93</w:t>
      </w:r>
    </w:p>
    <w:p w14:paraId="50A678F7" w14:textId="77777777" w:rsidR="00247AD2" w:rsidRPr="005D4B3F" w:rsidRDefault="00247AD2" w:rsidP="00247AD2">
      <w:pPr>
        <w:pStyle w:val="IndexHeading"/>
      </w:pPr>
      <w:r w:rsidRPr="005D4B3F">
        <w:t>J</w:t>
      </w:r>
    </w:p>
    <w:p w14:paraId="1D7B6DE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Job Capacity Assessments (JCAs)  61</w:t>
      </w:r>
    </w:p>
    <w:p w14:paraId="233500E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job seekers  59</w:t>
      </w:r>
    </w:p>
    <w:p w14:paraId="437075A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JobSeeker Payment  59</w:t>
      </w:r>
    </w:p>
    <w:p w14:paraId="4C5EA2C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Joint Policing Cybercrime Coordination Centre  116</w:t>
      </w:r>
    </w:p>
    <w:p w14:paraId="6597394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judicial decisions  128</w:t>
      </w:r>
    </w:p>
    <w:p w14:paraId="757C5CB5" w14:textId="77777777" w:rsidR="00247AD2" w:rsidRPr="005D4B3F" w:rsidRDefault="00247AD2" w:rsidP="00247AD2">
      <w:pPr>
        <w:pStyle w:val="IndexHeading"/>
      </w:pPr>
      <w:r w:rsidRPr="005D4B3F">
        <w:t>K</w:t>
      </w:r>
    </w:p>
    <w:p w14:paraId="3EFD93C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key activities  13</w:t>
      </w:r>
    </w:p>
    <w:p w14:paraId="2119FA4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build staff and organisational capability  17–26</w:t>
      </w:r>
    </w:p>
    <w:p w14:paraId="7CA435B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deliver quality government services and payments  27–38</w:t>
      </w:r>
    </w:p>
    <w:p w14:paraId="42AE5E5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digital and technological capability  39–43</w:t>
      </w:r>
    </w:p>
    <w:p w14:paraId="3666F35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Koomarri JobMatch  146</w:t>
      </w:r>
    </w:p>
    <w:p w14:paraId="26935855" w14:textId="77777777" w:rsidR="00247AD2" w:rsidRPr="005D4B3F" w:rsidRDefault="00247AD2" w:rsidP="00247AD2">
      <w:pPr>
        <w:pStyle w:val="IndexHeading"/>
      </w:pPr>
      <w:r w:rsidRPr="005D4B3F">
        <w:t>L</w:t>
      </w:r>
    </w:p>
    <w:p w14:paraId="7DB0800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language services  96, 97</w:t>
      </w:r>
    </w:p>
    <w:p w14:paraId="772C93D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leadership programs  153</w:t>
      </w:r>
    </w:p>
    <w:p w14:paraId="043160E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Leadership Unlimited  153</w:t>
      </w:r>
    </w:p>
    <w:p w14:paraId="75601D4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Learning Academy  152</w:t>
      </w:r>
    </w:p>
    <w:p w14:paraId="034FAA4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learning and development  152–3</w:t>
      </w:r>
    </w:p>
    <w:p w14:paraId="2243062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digital learning  153</w:t>
      </w:r>
    </w:p>
    <w:p w14:paraId="004F18A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Learning and Development Action Plan  152</w:t>
      </w:r>
    </w:p>
    <w:p w14:paraId="75708D8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Letter of transmittal  vi</w:t>
      </w:r>
    </w:p>
    <w:p w14:paraId="79F2B1A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lastRenderedPageBreak/>
        <w:t>LGBTQIA+ inclusion  148</w:t>
      </w:r>
    </w:p>
    <w:p w14:paraId="6E978AF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list of requirements  253–62</w:t>
      </w:r>
    </w:p>
    <w:p w14:paraId="46BB4ACC" w14:textId="77777777" w:rsidR="00247AD2" w:rsidRPr="005D4B3F" w:rsidRDefault="00247AD2" w:rsidP="00247AD2">
      <w:pPr>
        <w:pStyle w:val="IndexHeading"/>
      </w:pPr>
      <w:r w:rsidRPr="005D4B3F">
        <w:t>M</w:t>
      </w:r>
    </w:p>
    <w:p w14:paraId="1A3153F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management structure  3–5</w:t>
      </w:r>
    </w:p>
    <w:p w14:paraId="716E2A9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market research payments  216</w:t>
      </w:r>
    </w:p>
    <w:p w14:paraId="2A653EE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Medical Assessment Team (MAT)  61</w:t>
      </w:r>
    </w:p>
    <w:p w14:paraId="092BA9A5" w14:textId="77777777" w:rsidR="00247AD2" w:rsidRPr="005D4B3F" w:rsidRDefault="00247AD2" w:rsidP="00247AD2">
      <w:pPr>
        <w:pStyle w:val="IndexBodyL1"/>
        <w:rPr>
          <w:rFonts w:ascii="Arial" w:hAnsi="Arial" w:cs="Arial"/>
          <w:sz w:val="24"/>
          <w:szCs w:val="24"/>
        </w:rPr>
      </w:pPr>
      <w:r w:rsidRPr="005D4B3F">
        <w:rPr>
          <w:rStyle w:val="Italic"/>
          <w:rFonts w:ascii="Arial" w:hAnsi="Arial" w:cs="Arial"/>
          <w:sz w:val="24"/>
          <w:szCs w:val="24"/>
        </w:rPr>
        <w:t>Medical Indemnity Act 2002</w:t>
      </w:r>
      <w:r w:rsidRPr="005D4B3F">
        <w:rPr>
          <w:rFonts w:ascii="Arial" w:hAnsi="Arial" w:cs="Arial"/>
          <w:sz w:val="24"/>
          <w:szCs w:val="24"/>
        </w:rPr>
        <w:t xml:space="preserve">  79</w:t>
      </w:r>
    </w:p>
    <w:p w14:paraId="6B17E47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medical professional indemnity insurance  79–81</w:t>
      </w:r>
    </w:p>
    <w:p w14:paraId="0EA4E56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Medicare  62–7</w:t>
      </w:r>
    </w:p>
    <w:p w14:paraId="6700719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access to benefits  63, 112</w:t>
      </w:r>
    </w:p>
    <w:p w14:paraId="1713506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bulk-billing  63, 64, 65</w:t>
      </w:r>
    </w:p>
    <w:p w14:paraId="5B014ED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claiming  63–5</w:t>
      </w:r>
    </w:p>
    <w:p w14:paraId="5C3BA2B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compensation recovery  66–7</w:t>
      </w:r>
    </w:p>
    <w:p w14:paraId="76DE414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digital services  xi, 46</w:t>
      </w:r>
    </w:p>
    <w:p w14:paraId="477B828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document verification service  117</w:t>
      </w:r>
    </w:p>
    <w:p w14:paraId="684C774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enrolments  62</w:t>
      </w:r>
    </w:p>
    <w:p w14:paraId="5889862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feedback on services  239</w:t>
      </w:r>
    </w:p>
    <w:p w14:paraId="2EECADC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Health Delivery Modernisation Program  50</w:t>
      </w:r>
    </w:p>
    <w:p w14:paraId="48D3B82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health professionals  66</w:t>
      </w:r>
    </w:p>
    <w:p w14:paraId="7D4CC2F3"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modernising access to services  49</w:t>
      </w:r>
    </w:p>
    <w:p w14:paraId="04DFDE1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processing  x</w:t>
      </w:r>
    </w:p>
    <w:p w14:paraId="1B58BF8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services and benefits by claim type  64</w:t>
      </w:r>
    </w:p>
    <w:p w14:paraId="36B7577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services by payment type  64</w:t>
      </w:r>
    </w:p>
    <w:p w14:paraId="32A3FC8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services transmitted digitally  65</w:t>
      </w:r>
    </w:p>
    <w:p w14:paraId="581C722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waiting times, reducing  x, 48</w:t>
      </w:r>
    </w:p>
    <w:p w14:paraId="5654469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Medicare Benefits Schedule (MBS), changes to  63</w:t>
      </w:r>
    </w:p>
    <w:p w14:paraId="7A2400F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Medicare Entitlement Statements  62</w:t>
      </w:r>
    </w:p>
    <w:p w14:paraId="5244F65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Medicare provider numbers  66</w:t>
      </w:r>
    </w:p>
    <w:p w14:paraId="3AAB4AE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Medicare Safety Net  63</w:t>
      </w:r>
    </w:p>
    <w:p w14:paraId="2A52379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medicines</w:t>
      </w:r>
    </w:p>
    <w:p w14:paraId="2F2C0C6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access to  67–9</w:t>
      </w:r>
    </w:p>
    <w:p w14:paraId="47E39B43"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authority-required  69</w:t>
      </w:r>
    </w:p>
    <w:p w14:paraId="01C831C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travelling with  69</w:t>
      </w:r>
    </w:p>
    <w:p w14:paraId="78299FD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mental health and wellbeing</w:t>
      </w:r>
    </w:p>
    <w:p w14:paraId="6FE5D61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mental health services  62</w:t>
      </w:r>
    </w:p>
    <w:p w14:paraId="5F524EB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mental health units  101</w:t>
      </w:r>
    </w:p>
    <w:p w14:paraId="73A2F57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staff  141, 144</w:t>
      </w:r>
    </w:p>
    <w:p w14:paraId="4DB06D9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Midwife Professional Indemnity Run-Off Cover Scheme  79, 81</w:t>
      </w:r>
    </w:p>
    <w:p w14:paraId="04680D2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Midwife Professional Indemnity Scheme (MPIS)  79, 81</w:t>
      </w:r>
    </w:p>
    <w:p w14:paraId="26CD2A7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Minister for Government Services  2</w:t>
      </w:r>
    </w:p>
    <w:p w14:paraId="27E40CC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mobile service centres  98</w:t>
      </w:r>
    </w:p>
    <w:p w14:paraId="72C9E79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Blue Gum  98</w:t>
      </w:r>
    </w:p>
    <w:p w14:paraId="46C6240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lastRenderedPageBreak/>
        <w:t>Desert Rose  98</w:t>
      </w:r>
    </w:p>
    <w:p w14:paraId="3A6220B3"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Golden Wattle  98</w:t>
      </w:r>
    </w:p>
    <w:p w14:paraId="618D574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Kangaroo Paw II  98</w:t>
      </w:r>
    </w:p>
    <w:p w14:paraId="065A405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Mobility Allowance  56</w:t>
      </w:r>
    </w:p>
    <w:p w14:paraId="4F634BF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 xml:space="preserve">modernisation </w:t>
      </w:r>
    </w:p>
    <w:p w14:paraId="2F66B81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Medicare services, access to  49</w:t>
      </w:r>
    </w:p>
    <w:p w14:paraId="12B2523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 centres, of  49</w:t>
      </w:r>
    </w:p>
    <w:p w14:paraId="5E097A8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money management  102–5</w:t>
      </w:r>
    </w:p>
    <w:p w14:paraId="2CAE3F6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Multicultural Access and Equity Policy  95</w:t>
      </w:r>
    </w:p>
    <w:p w14:paraId="33C2E1E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Multicultural Advisory Forums  95</w:t>
      </w:r>
    </w:p>
    <w:p w14:paraId="566231F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Multicultural Community Engagement Group  95</w:t>
      </w:r>
    </w:p>
    <w:p w14:paraId="1022B32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Multicultural Service Officers (MSOs)  xiii, 95</w:t>
      </w:r>
    </w:p>
    <w:p w14:paraId="1E3FDFB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multicultural services 94–7</w:t>
      </w:r>
    </w:p>
    <w:p w14:paraId="1377708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Multicultural Servicing Strategy  94–5</w:t>
      </w:r>
    </w:p>
    <w:p w14:paraId="682522E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My Aged Care  69–71</w:t>
      </w:r>
    </w:p>
    <w:p w14:paraId="73B9617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My Health Record  82</w:t>
      </w:r>
    </w:p>
    <w:p w14:paraId="29DD191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myGov  46, 51, 118</w:t>
      </w:r>
    </w:p>
    <w:p w14:paraId="2218D27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digital wallet  51</w:t>
      </w:r>
    </w:p>
    <w:p w14:paraId="2D4FC94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passkeys  xi, 51, 52</w:t>
      </w:r>
    </w:p>
    <w:p w14:paraId="68EA31D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security review feature  xi</w:t>
      </w:r>
    </w:p>
    <w:p w14:paraId="7B85E42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myGov User Audit  127</w:t>
      </w:r>
    </w:p>
    <w:p w14:paraId="5A8ECC7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government response  127</w:t>
      </w:r>
    </w:p>
    <w:p w14:paraId="3345D2E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Government Services Independent Advisory Board  127</w:t>
      </w:r>
    </w:p>
    <w:p w14:paraId="18B8EF8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MyMedicare</w:t>
      </w:r>
    </w:p>
    <w:p w14:paraId="09CA522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practice incentives  74</w:t>
      </w:r>
    </w:p>
    <w:p w14:paraId="31BDA36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registrations  74</w:t>
      </w:r>
    </w:p>
    <w:p w14:paraId="4041928A" w14:textId="77777777" w:rsidR="00247AD2" w:rsidRPr="005D4B3F" w:rsidRDefault="00247AD2" w:rsidP="00247AD2">
      <w:pPr>
        <w:pStyle w:val="IndexHeading"/>
      </w:pPr>
      <w:r w:rsidRPr="005D4B3F">
        <w:t>N</w:t>
      </w:r>
    </w:p>
    <w:p w14:paraId="2E9F7D71" w14:textId="77777777" w:rsidR="00247AD2" w:rsidRPr="005D4B3F" w:rsidRDefault="00247AD2" w:rsidP="00247AD2">
      <w:pPr>
        <w:pStyle w:val="IndexBodyL1"/>
        <w:rPr>
          <w:rFonts w:ascii="Arial" w:hAnsi="Arial" w:cs="Arial"/>
          <w:sz w:val="24"/>
          <w:szCs w:val="24"/>
        </w:rPr>
      </w:pPr>
      <w:r w:rsidRPr="005D4B3F">
        <w:rPr>
          <w:rFonts w:ascii="Arial" w:hAnsi="Arial" w:cs="Arial"/>
          <w:spacing w:val="-2"/>
          <w:sz w:val="24"/>
          <w:szCs w:val="24"/>
        </w:rPr>
        <w:t>National Agreement on Closing the Gap  91</w:t>
      </w:r>
    </w:p>
    <w:p w14:paraId="379C329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National Authentication Service for Health  82</w:t>
      </w:r>
    </w:p>
    <w:p w14:paraId="7E4CA85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National Autism Strategy 2021–2031  147</w:t>
      </w:r>
    </w:p>
    <w:p w14:paraId="5DE2C5E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National Consultative Committee  154</w:t>
      </w:r>
    </w:p>
    <w:p w14:paraId="5FCF2707" w14:textId="77777777" w:rsidR="00247AD2" w:rsidRPr="005D4B3F" w:rsidRDefault="00247AD2" w:rsidP="00247AD2">
      <w:pPr>
        <w:pStyle w:val="IndexBodyL1"/>
        <w:rPr>
          <w:rFonts w:ascii="Arial" w:hAnsi="Arial" w:cs="Arial"/>
          <w:sz w:val="24"/>
          <w:szCs w:val="24"/>
        </w:rPr>
      </w:pPr>
      <w:r w:rsidRPr="005D4B3F">
        <w:rPr>
          <w:rFonts w:ascii="Arial" w:hAnsi="Arial" w:cs="Arial"/>
          <w:spacing w:val="-4"/>
          <w:sz w:val="24"/>
          <w:szCs w:val="24"/>
        </w:rPr>
        <w:t xml:space="preserve">National Disability Insurance Agency (NDIA) </w:t>
      </w:r>
    </w:p>
    <w:p w14:paraId="291917E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parliamentary committee report  134</w:t>
      </w:r>
    </w:p>
    <w:p w14:paraId="42B6C30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 centres, modernisation of  49</w:t>
      </w:r>
    </w:p>
    <w:p w14:paraId="7864894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shared services  108</w:t>
      </w:r>
    </w:p>
    <w:p w14:paraId="43F4642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 xml:space="preserve">National Disability Insurance Scheme Quality and Safeguards Commission </w:t>
      </w:r>
    </w:p>
    <w:p w14:paraId="11B31EE3"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shared services  108</w:t>
      </w:r>
    </w:p>
    <w:p w14:paraId="1FB4A17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National Emergency Call Centre Surge Capability (NECCSC)  88</w:t>
      </w:r>
    </w:p>
    <w:p w14:paraId="6FA3122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National Emergency Management Agency (NEMA)  87</w:t>
      </w:r>
    </w:p>
    <w:p w14:paraId="5DFBECF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National Graduate Program  145</w:t>
      </w:r>
    </w:p>
    <w:p w14:paraId="24BE52D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National Indigenous Coalition (NIC)  94</w:t>
      </w:r>
    </w:p>
    <w:p w14:paraId="347CC1C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National Indigenous Employees Network  151</w:t>
      </w:r>
    </w:p>
    <w:p w14:paraId="312371B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lastRenderedPageBreak/>
        <w:t>National Multicultural Advisory Group (NMAG)  111</w:t>
      </w:r>
    </w:p>
    <w:p w14:paraId="37CE8C0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National Office of Cyber Security  120</w:t>
      </w:r>
    </w:p>
    <w:p w14:paraId="09DF409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National Security Hotline (NSH)  88</w:t>
      </w:r>
    </w:p>
    <w:p w14:paraId="54BCA17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National Taskforce Morpheus  116</w:t>
      </w:r>
    </w:p>
    <w:p w14:paraId="638C15B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natural disasters and emergencies see disaster(s); emergencies</w:t>
      </w:r>
    </w:p>
    <w:p w14:paraId="10292CFA" w14:textId="77777777" w:rsidR="00247AD2" w:rsidRPr="005D4B3F" w:rsidRDefault="00247AD2" w:rsidP="00247AD2">
      <w:pPr>
        <w:pStyle w:val="IndexBodyL1"/>
        <w:rPr>
          <w:rFonts w:ascii="Arial" w:hAnsi="Arial" w:cs="Arial"/>
          <w:sz w:val="24"/>
          <w:szCs w:val="24"/>
        </w:rPr>
      </w:pPr>
      <w:r w:rsidRPr="005D4B3F">
        <w:rPr>
          <w:rFonts w:ascii="Arial" w:hAnsi="Arial" w:cs="Arial"/>
          <w:spacing w:val="-2"/>
          <w:sz w:val="24"/>
          <w:szCs w:val="24"/>
        </w:rPr>
        <w:t>neurodivergent people, employment of  147</w:t>
      </w:r>
    </w:p>
    <w:p w14:paraId="16AF281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New Zealand Disaster Recovery Allowance (NZDRA)  87</w:t>
      </w:r>
    </w:p>
    <w:p w14:paraId="58A2002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New Zealand Disaster Recovery Payment (NZDRP)  87</w:t>
      </w:r>
    </w:p>
    <w:p w14:paraId="59EDA7E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Newborn Supplement  58</w:t>
      </w:r>
    </w:p>
    <w:p w14:paraId="0D4FDFF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Newborn Upfront Payment  58</w:t>
      </w:r>
    </w:p>
    <w:p w14:paraId="4C4F579A" w14:textId="77777777" w:rsidR="00247AD2" w:rsidRPr="005D4B3F" w:rsidRDefault="00247AD2" w:rsidP="00247AD2">
      <w:pPr>
        <w:pStyle w:val="IndexHeading"/>
      </w:pPr>
      <w:r w:rsidRPr="005D4B3F">
        <w:t>O</w:t>
      </w:r>
    </w:p>
    <w:p w14:paraId="1AE07F1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older Australians  55</w:t>
      </w:r>
    </w:p>
    <w:p w14:paraId="3179896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omissions and errors, previous annual report  274</w:t>
      </w:r>
    </w:p>
    <w:p w14:paraId="1E97FBC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Operations Centre  47</w:t>
      </w:r>
    </w:p>
    <w:p w14:paraId="47A3855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organ and tissue donation  77</w:t>
      </w:r>
    </w:p>
    <w:p w14:paraId="6740533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organ donor card  51</w:t>
      </w:r>
    </w:p>
    <w:p w14:paraId="29C47C2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organisational structure  3, 4–5</w:t>
      </w:r>
    </w:p>
    <w:p w14:paraId="1B2B49D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our culture  141</w:t>
      </w:r>
    </w:p>
    <w:p w14:paraId="66BB96F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our people see staff</w:t>
      </w:r>
    </w:p>
    <w:p w14:paraId="459C4D5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 xml:space="preserve">Outcome 1 </w:t>
      </w:r>
    </w:p>
    <w:p w14:paraId="1850C06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ESD principles  243</w:t>
      </w:r>
    </w:p>
    <w:p w14:paraId="6CF109AD" w14:textId="77777777" w:rsidR="00247AD2" w:rsidRPr="005D4B3F" w:rsidRDefault="00247AD2" w:rsidP="00247AD2">
      <w:pPr>
        <w:pStyle w:val="IndexHeading"/>
      </w:pPr>
      <w:r w:rsidRPr="005D4B3F">
        <w:t>P</w:t>
      </w:r>
    </w:p>
    <w:p w14:paraId="760D13C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Paid Parental Leave scheme  57</w:t>
      </w:r>
    </w:p>
    <w:p w14:paraId="6EBCA2B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Parent Pathways  59</w:t>
      </w:r>
    </w:p>
    <w:p w14:paraId="55BB363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Parental Leave Pay (PLP)  57</w:t>
      </w:r>
    </w:p>
    <w:p w14:paraId="0A1B15C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Parenting Payment  57</w:t>
      </w:r>
    </w:p>
    <w:p w14:paraId="4C1F1F3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ParentsNext  59</w:t>
      </w:r>
    </w:p>
    <w:p w14:paraId="60FCD24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parliamentary committee reports  134–6</w:t>
      </w:r>
    </w:p>
    <w:p w14:paraId="5E1CA79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Parliamentary Standing Committee on Public Works  135–6</w:t>
      </w:r>
    </w:p>
    <w:p w14:paraId="0C5640F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partnerships  x, xii, 109–11, 133</w:t>
      </w:r>
    </w:p>
    <w:p w14:paraId="6407404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community peak bodies  110–11</w:t>
      </w:r>
    </w:p>
    <w:p w14:paraId="05391FD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government agencies, with  109</w:t>
      </w:r>
    </w:p>
    <w:p w14:paraId="7B8711E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international  111</w:t>
      </w:r>
    </w:p>
    <w:p w14:paraId="07C5ED5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other organisations  109–10</w:t>
      </w:r>
    </w:p>
    <w:p w14:paraId="4F2EB4D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state and territory governments, with  109–10</w:t>
      </w:r>
    </w:p>
    <w:p w14:paraId="4DDB6EB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passkeys  xi, 51, 52</w:t>
      </w:r>
    </w:p>
    <w:p w14:paraId="76337CE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Pat Turner Scholarships  150</w:t>
      </w:r>
    </w:p>
    <w:p w14:paraId="304BB7F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payment accuracy</w:t>
      </w:r>
    </w:p>
    <w:p w14:paraId="63DE010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correctness and  121</w:t>
      </w:r>
    </w:p>
    <w:p w14:paraId="56D987F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reviews  121</w:t>
      </w:r>
    </w:p>
    <w:p w14:paraId="7242BBB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payment assurance program  122</w:t>
      </w:r>
    </w:p>
    <w:p w14:paraId="05284E4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Payments and Integrity  6</w:t>
      </w:r>
    </w:p>
    <w:p w14:paraId="764F916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payments and services outside Australia  101</w:t>
      </w:r>
    </w:p>
    <w:p w14:paraId="6589B1D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lastRenderedPageBreak/>
        <w:t>people and culture  x, 133</w:t>
      </w:r>
    </w:p>
    <w:p w14:paraId="6E78A9D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people with disability  110</w:t>
      </w:r>
    </w:p>
    <w:p w14:paraId="2619BA43" w14:textId="77777777" w:rsidR="00247AD2" w:rsidRPr="005D4B3F" w:rsidRDefault="00247AD2" w:rsidP="00247AD2">
      <w:pPr>
        <w:pStyle w:val="IndexBodyL2"/>
        <w:rPr>
          <w:rFonts w:ascii="Arial" w:hAnsi="Arial" w:cs="Arial"/>
          <w:sz w:val="24"/>
          <w:szCs w:val="24"/>
        </w:rPr>
      </w:pPr>
      <w:r w:rsidRPr="005D4B3F">
        <w:rPr>
          <w:rFonts w:ascii="Arial" w:hAnsi="Arial" w:cs="Arial"/>
          <w:spacing w:val="-6"/>
          <w:sz w:val="24"/>
          <w:szCs w:val="24"/>
        </w:rPr>
        <w:t>Australia’s Disability Strategy 2021–2031</w:t>
      </w:r>
      <w:r w:rsidRPr="005D4B3F">
        <w:rPr>
          <w:rFonts w:ascii="Arial" w:hAnsi="Arial" w:cs="Arial"/>
          <w:sz w:val="24"/>
          <w:szCs w:val="24"/>
        </w:rPr>
        <w:t xml:space="preserve">  147</w:t>
      </w:r>
    </w:p>
    <w:p w14:paraId="440B65B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Disability Support Pension  56</w:t>
      </w:r>
    </w:p>
    <w:p w14:paraId="044930D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employment of  146</w:t>
      </w:r>
    </w:p>
    <w:p w14:paraId="06E34D0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Mobility Allowance  56</w:t>
      </w:r>
    </w:p>
    <w:p w14:paraId="590F8DE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 delivery  56–7</w:t>
      </w:r>
    </w:p>
    <w:p w14:paraId="44C3371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performance  12–43</w:t>
      </w:r>
    </w:p>
    <w:p w14:paraId="1024A62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Annual Performance Statements 2024–25  12–43</w:t>
      </w:r>
    </w:p>
    <w:p w14:paraId="6907D0C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management process  154–5</w:t>
      </w:r>
    </w:p>
    <w:p w14:paraId="6BE0761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purpose, analysis against  15</w:t>
      </w:r>
    </w:p>
    <w:p w14:paraId="1D1F6BD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reporting  15</w:t>
      </w:r>
    </w:p>
    <w:p w14:paraId="5978A09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performance measure tolerance levels  16</w:t>
      </w:r>
    </w:p>
    <w:p w14:paraId="03B6D03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performance pay  155</w:t>
      </w:r>
    </w:p>
    <w:p w14:paraId="175EFA1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 xml:space="preserve">Pharmaceutical Benefits Scheme (PBS) </w:t>
      </w:r>
    </w:p>
    <w:p w14:paraId="31AD26F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Aboriginal and Torres Strait Islander Australians’ access  68</w:t>
      </w:r>
    </w:p>
    <w:p w14:paraId="5ABC86B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access to medicines  68</w:t>
      </w:r>
    </w:p>
    <w:p w14:paraId="0D88915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administration, audit of  131</w:t>
      </w:r>
    </w:p>
    <w:p w14:paraId="4B3C8A4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authority-required medicines  69</w:t>
      </w:r>
    </w:p>
    <w:p w14:paraId="6C9281B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concessions  68</w:t>
      </w:r>
    </w:p>
    <w:p w14:paraId="4B86355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Health Delivery Modernisation Program  50</w:t>
      </w:r>
    </w:p>
    <w:p w14:paraId="76B96D4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online claiming and payments  69</w:t>
      </w:r>
    </w:p>
    <w:p w14:paraId="42A1FD6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safety net  68</w:t>
      </w:r>
    </w:p>
    <w:p w14:paraId="5B82624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travelling with PBS medicines  69</w:t>
      </w:r>
    </w:p>
    <w:p w14:paraId="340046A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Portfolio Management and Investments Committee  7</w:t>
      </w:r>
    </w:p>
    <w:p w14:paraId="09A37C3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portfolio structure  2</w:t>
      </w:r>
    </w:p>
    <w:p w14:paraId="5FE1140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Practice Incentives Program  74</w:t>
      </w:r>
    </w:p>
    <w:p w14:paraId="58C97C3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Premium Support Scheme  81</w:t>
      </w:r>
    </w:p>
    <w:p w14:paraId="44B06FD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Pride in Diversity  148</w:t>
      </w:r>
    </w:p>
    <w:p w14:paraId="3FBEE3E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Private Collect  83</w:t>
      </w:r>
    </w:p>
    <w:p w14:paraId="193A884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Private Health Insurance</w:t>
      </w:r>
    </w:p>
    <w:p w14:paraId="758B312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Australian Government Rebate  72</w:t>
      </w:r>
    </w:p>
    <w:p w14:paraId="77E9C72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processing  47</w:t>
      </w:r>
    </w:p>
    <w:p w14:paraId="5E8A650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procurement</w:t>
      </w:r>
    </w:p>
    <w:p w14:paraId="7E51D3F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consultancy, and  212–14</w:t>
      </w:r>
    </w:p>
    <w:p w14:paraId="243DAD8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information technology projects  134</w:t>
      </w:r>
    </w:p>
    <w:p w14:paraId="6D38001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NDIA, at  134</w:t>
      </w:r>
    </w:p>
    <w:p w14:paraId="18696F7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parliamentary committee reports  134</w:t>
      </w:r>
    </w:p>
    <w:p w14:paraId="1FE5154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Services Australia, at  134</w:t>
      </w:r>
    </w:p>
    <w:p w14:paraId="326ED6E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productivity and efficiency  x, 133</w:t>
      </w:r>
    </w:p>
    <w:p w14:paraId="6136608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Program Design  6</w:t>
      </w:r>
    </w:p>
    <w:p w14:paraId="7E215535" w14:textId="77777777" w:rsidR="00247AD2" w:rsidRPr="005D4B3F" w:rsidRDefault="00247AD2" w:rsidP="00247AD2">
      <w:pPr>
        <w:pStyle w:val="IndexBodyL1"/>
        <w:rPr>
          <w:rFonts w:ascii="Arial" w:hAnsi="Arial" w:cs="Arial"/>
          <w:sz w:val="24"/>
          <w:szCs w:val="24"/>
        </w:rPr>
      </w:pPr>
      <w:r w:rsidRPr="005D4B3F">
        <w:rPr>
          <w:rStyle w:val="Italic"/>
          <w:rFonts w:ascii="Arial" w:hAnsi="Arial" w:cs="Arial"/>
          <w:sz w:val="24"/>
          <w:szCs w:val="24"/>
        </w:rPr>
        <w:t>Public Governance, Performance and Accountability Act 2013</w:t>
      </w:r>
      <w:r w:rsidRPr="005D4B3F">
        <w:rPr>
          <w:rFonts w:ascii="Arial" w:hAnsi="Arial" w:cs="Arial"/>
          <w:sz w:val="24"/>
          <w:szCs w:val="24"/>
        </w:rPr>
        <w:t xml:space="preserve">  7, 159, 212</w:t>
      </w:r>
    </w:p>
    <w:p w14:paraId="5FCEC75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lastRenderedPageBreak/>
        <w:t>Public Governance, Performance and Accountability Rule 2014 (PGPA Rule)  7, 114, 212, 218–37</w:t>
      </w:r>
    </w:p>
    <w:p w14:paraId="1AC33765" w14:textId="77777777" w:rsidR="00247AD2" w:rsidRPr="005D4B3F" w:rsidRDefault="00247AD2" w:rsidP="00247AD2">
      <w:pPr>
        <w:pStyle w:val="IndexBodyL1"/>
        <w:rPr>
          <w:rFonts w:ascii="Arial" w:hAnsi="Arial" w:cs="Arial"/>
          <w:sz w:val="24"/>
          <w:szCs w:val="24"/>
        </w:rPr>
      </w:pPr>
      <w:r w:rsidRPr="005D4B3F">
        <w:rPr>
          <w:rStyle w:val="Italic"/>
          <w:rFonts w:ascii="Arial" w:hAnsi="Arial" w:cs="Arial"/>
          <w:sz w:val="24"/>
          <w:szCs w:val="24"/>
        </w:rPr>
        <w:t>Public Service Act 1999</w:t>
      </w:r>
      <w:r w:rsidRPr="005D4B3F">
        <w:rPr>
          <w:rFonts w:ascii="Arial" w:hAnsi="Arial" w:cs="Arial"/>
          <w:sz w:val="24"/>
          <w:szCs w:val="24"/>
        </w:rPr>
        <w:t xml:space="preserve">  7</w:t>
      </w:r>
    </w:p>
    <w:p w14:paraId="4E30D3CA" w14:textId="77777777" w:rsidR="00247AD2" w:rsidRPr="005D4B3F" w:rsidRDefault="00247AD2" w:rsidP="00247AD2">
      <w:pPr>
        <w:pStyle w:val="IndexBodyL1"/>
        <w:rPr>
          <w:rFonts w:ascii="Arial" w:hAnsi="Arial" w:cs="Arial"/>
          <w:sz w:val="24"/>
          <w:szCs w:val="24"/>
        </w:rPr>
      </w:pPr>
      <w:r w:rsidRPr="005D4B3F">
        <w:rPr>
          <w:rStyle w:val="Italic"/>
          <w:rFonts w:ascii="Arial" w:hAnsi="Arial" w:cs="Arial"/>
          <w:sz w:val="24"/>
          <w:szCs w:val="24"/>
        </w:rPr>
        <w:t>Public Works Committee Act 1969</w:t>
      </w:r>
      <w:r w:rsidRPr="005D4B3F">
        <w:rPr>
          <w:rFonts w:ascii="Arial" w:hAnsi="Arial" w:cs="Arial"/>
          <w:sz w:val="24"/>
          <w:szCs w:val="24"/>
        </w:rPr>
        <w:t xml:space="preserve">  135, 136</w:t>
      </w:r>
    </w:p>
    <w:p w14:paraId="4239CBC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purpose  13–14</w:t>
      </w:r>
    </w:p>
    <w:p w14:paraId="3E4B00C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performance and  15</w:t>
      </w:r>
    </w:p>
    <w:p w14:paraId="5E6AE08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vision, and  2</w:t>
      </w:r>
    </w:p>
    <w:p w14:paraId="165E538B" w14:textId="77777777" w:rsidR="00247AD2" w:rsidRPr="005D4B3F" w:rsidRDefault="00247AD2" w:rsidP="00247AD2">
      <w:pPr>
        <w:pStyle w:val="IndexHeading"/>
      </w:pPr>
      <w:r w:rsidRPr="005D4B3F">
        <w:t>R</w:t>
      </w:r>
    </w:p>
    <w:p w14:paraId="3BB7AAD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reconciliation  151</w:t>
      </w:r>
    </w:p>
    <w:p w14:paraId="10223F3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Reconciliation Action Plan 2024–2026  151</w:t>
      </w:r>
    </w:p>
    <w:p w14:paraId="0CE1036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recruitment  145</w:t>
      </w:r>
    </w:p>
    <w:p w14:paraId="2F4BF35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refugees and humanitarian entrants 100</w:t>
      </w:r>
    </w:p>
    <w:p w14:paraId="0FC211B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regional, rural and remote servicing  97–8</w:t>
      </w:r>
    </w:p>
    <w:p w14:paraId="232D6DA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access points  97–8</w:t>
      </w:r>
    </w:p>
    <w:p w14:paraId="20D5261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agents  97–8</w:t>
      </w:r>
    </w:p>
    <w:p w14:paraId="2C22381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mobile service centres  98</w:t>
      </w:r>
    </w:p>
    <w:p w14:paraId="37CD882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 centres  97</w:t>
      </w:r>
    </w:p>
    <w:p w14:paraId="62ECAE1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remote servicing teams  98</w:t>
      </w:r>
    </w:p>
    <w:p w14:paraId="2CE04AA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remuneration</w:t>
      </w:r>
    </w:p>
    <w:p w14:paraId="339BCFE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classification level  237</w:t>
      </w:r>
    </w:p>
    <w:p w14:paraId="7B8329A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executive  218–22, 237</w:t>
      </w:r>
    </w:p>
    <w:p w14:paraId="71E1E4F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Rent Deduction Scheme  103</w:t>
      </w:r>
    </w:p>
    <w:p w14:paraId="021A27A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 xml:space="preserve">Repatriation Pharmaceutical Benefits Scheme (RPBS) </w:t>
      </w:r>
    </w:p>
    <w:p w14:paraId="407033F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access to medicines  67</w:t>
      </w:r>
    </w:p>
    <w:p w14:paraId="2B86861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Reporting Sub-Committee (RSC)  8</w:t>
      </w:r>
    </w:p>
    <w:p w14:paraId="62D203E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resource statement  208–9</w:t>
      </w:r>
    </w:p>
    <w:p w14:paraId="2DECAAE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risk management  10</w:t>
      </w:r>
    </w:p>
    <w:p w14:paraId="6B66498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climate disclosure  250–1</w:t>
      </w:r>
    </w:p>
    <w:p w14:paraId="4E1F641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Security Risk Management Review  xi, 142</w:t>
      </w:r>
    </w:p>
    <w:p w14:paraId="254F61B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Risk Management Policy and Framework  10</w:t>
      </w:r>
    </w:p>
    <w:p w14:paraId="71641BB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Robodebt Royal Commission  xii, 126, 138, 144</w:t>
      </w:r>
    </w:p>
    <w:p w14:paraId="2887455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Run-off Cover Indemnity Scheme  80</w:t>
      </w:r>
    </w:p>
    <w:p w14:paraId="687B238B" w14:textId="77777777" w:rsidR="00247AD2" w:rsidRPr="005D4B3F" w:rsidRDefault="00247AD2" w:rsidP="00247AD2">
      <w:pPr>
        <w:pStyle w:val="IndexHeading"/>
      </w:pPr>
      <w:r w:rsidRPr="005D4B3F">
        <w:t>S</w:t>
      </w:r>
    </w:p>
    <w:p w14:paraId="570F73A5"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safety  xi</w:t>
      </w:r>
    </w:p>
    <w:p w14:paraId="06D46D3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salaries see remuneration</w:t>
      </w:r>
    </w:p>
    <w:p w14:paraId="1E6E9C8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Satisfaction Research Program  238–40</w:t>
      </w:r>
    </w:p>
    <w:p w14:paraId="14773D0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scams  120</w:t>
      </w:r>
    </w:p>
    <w:p w14:paraId="3D6C536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Scams and Identity Theft Helpdesk  120</w:t>
      </w:r>
    </w:p>
    <w:p w14:paraId="7FC7D8C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Security Risk Management Review  xi, 142</w:t>
      </w:r>
    </w:p>
    <w:p w14:paraId="30D32B2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Serious Financial Crime Taskforce  116</w:t>
      </w:r>
    </w:p>
    <w:p w14:paraId="302B0BC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service centres  49</w:t>
      </w:r>
    </w:p>
    <w:p w14:paraId="7E6F82E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modernisation  49</w:t>
      </w:r>
    </w:p>
    <w:p w14:paraId="1383E55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service delivery  x, 45, 53</w:t>
      </w:r>
    </w:p>
    <w:p w14:paraId="4602C64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child support  83–6</w:t>
      </w:r>
    </w:p>
    <w:p w14:paraId="737C583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lastRenderedPageBreak/>
        <w:t>disasters and emergency events  87–8</w:t>
      </w:r>
    </w:p>
    <w:p w14:paraId="045052E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feedback on  239–40</w:t>
      </w:r>
    </w:p>
    <w:p w14:paraId="188A232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health  62–82</w:t>
      </w:r>
    </w:p>
    <w:p w14:paraId="0672FC2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modernisation  49</w:t>
      </w:r>
    </w:p>
    <w:p w14:paraId="043F9F5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money management  102–5</w:t>
      </w:r>
    </w:p>
    <w:p w14:paraId="17CF765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simplifying services  46</w:t>
      </w:r>
    </w:p>
    <w:p w14:paraId="0CFAA20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social security  54–61</w:t>
      </w:r>
    </w:p>
    <w:p w14:paraId="0626742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tailored support services  90–101</w:t>
      </w:r>
    </w:p>
    <w:p w14:paraId="0C43E4C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Service Delivery Excellence  6</w:t>
      </w:r>
    </w:p>
    <w:p w14:paraId="23AD490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Services Australia</w:t>
      </w:r>
    </w:p>
    <w:p w14:paraId="49D6EF4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about this report  vii–viii</w:t>
      </w:r>
    </w:p>
    <w:p w14:paraId="55A7367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Enterprise Agreement 2024–2027  155</w:t>
      </w:r>
    </w:p>
    <w:p w14:paraId="0AE03BE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Portfolio structure  2</w:t>
      </w:r>
    </w:p>
    <w:p w14:paraId="576614B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purpose  2</w:t>
      </w:r>
    </w:p>
    <w:p w14:paraId="02363CA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role and function  2</w:t>
      </w:r>
    </w:p>
    <w:p w14:paraId="75C189AA"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vision  2</w:t>
      </w:r>
    </w:p>
    <w:p w14:paraId="1CCB250A" w14:textId="77777777" w:rsidR="00247AD2" w:rsidRPr="005D4B3F" w:rsidRDefault="00247AD2" w:rsidP="00247AD2">
      <w:pPr>
        <w:pStyle w:val="IndexBodyL1"/>
        <w:rPr>
          <w:rFonts w:ascii="Arial" w:hAnsi="Arial" w:cs="Arial"/>
          <w:sz w:val="24"/>
          <w:szCs w:val="24"/>
        </w:rPr>
      </w:pPr>
      <w:r w:rsidRPr="005D4B3F">
        <w:rPr>
          <w:rFonts w:ascii="Arial" w:hAnsi="Arial" w:cs="Arial"/>
          <w:spacing w:val="-2"/>
          <w:sz w:val="24"/>
          <w:szCs w:val="24"/>
        </w:rPr>
        <w:t>Shadow Economy Standing Taskforce  116</w:t>
      </w:r>
    </w:p>
    <w:p w14:paraId="3858B8C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shared services  108</w:t>
      </w:r>
    </w:p>
    <w:p w14:paraId="3EB5F42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Shorten, Hon Bill, MP  2</w:t>
      </w:r>
    </w:p>
    <w:p w14:paraId="65643CA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Single Touch Payroll (STP)  50</w:t>
      </w:r>
    </w:p>
    <w:p w14:paraId="5178C81C"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Six Countries Working Group on Benefit Fraud  116</w:t>
      </w:r>
    </w:p>
    <w:p w14:paraId="21A1BF6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small business  214–15</w:t>
      </w:r>
    </w:p>
    <w:p w14:paraId="5538951A"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 xml:space="preserve">social security and welfare payments </w:t>
      </w:r>
    </w:p>
    <w:p w14:paraId="76BCF99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older Australians  55</w:t>
      </w:r>
    </w:p>
    <w:p w14:paraId="4AC0B67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payments while outside Australia  101</w:t>
      </w:r>
    </w:p>
    <w:p w14:paraId="5E255A3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service delivery  54–61</w:t>
      </w:r>
    </w:p>
    <w:p w14:paraId="5A03898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social work services  99</w:t>
      </w:r>
    </w:p>
    <w:p w14:paraId="54C1240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Sorell Service Centre  112</w:t>
      </w:r>
    </w:p>
    <w:p w14:paraId="108F8AF8"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Special Benefit  100</w:t>
      </w:r>
    </w:p>
    <w:p w14:paraId="6DD2F39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staff  xiii</w:t>
      </w:r>
    </w:p>
    <w:p w14:paraId="50D76A6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Aboriginal and Torres Strait Islander  148, 149, 150</w:t>
      </w:r>
    </w:p>
    <w:p w14:paraId="7319D22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classification and gender  228–31</w:t>
      </w:r>
    </w:p>
    <w:p w14:paraId="409FE8C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cultural and linguistic diversity (CALD)  xiii, 146</w:t>
      </w:r>
    </w:p>
    <w:p w14:paraId="51B0EBC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culture  141</w:t>
      </w:r>
    </w:p>
    <w:p w14:paraId="0B52564A"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digital learning  153</w:t>
      </w:r>
    </w:p>
    <w:p w14:paraId="70C5074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disability, with  146</w:t>
      </w:r>
    </w:p>
    <w:p w14:paraId="51B644E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diversity and inclusion  146</w:t>
      </w:r>
    </w:p>
    <w:p w14:paraId="587E3EA3" w14:textId="77777777" w:rsidR="00247AD2" w:rsidRPr="005D4B3F" w:rsidRDefault="00247AD2" w:rsidP="00247AD2">
      <w:pPr>
        <w:pStyle w:val="IndexBodyL2"/>
        <w:rPr>
          <w:rFonts w:ascii="Arial" w:hAnsi="Arial" w:cs="Arial"/>
          <w:sz w:val="24"/>
          <w:szCs w:val="24"/>
        </w:rPr>
      </w:pPr>
      <w:r w:rsidRPr="005D4B3F">
        <w:rPr>
          <w:rFonts w:ascii="Arial" w:hAnsi="Arial" w:cs="Arial"/>
          <w:spacing w:val="-2"/>
          <w:sz w:val="24"/>
          <w:szCs w:val="24"/>
        </w:rPr>
        <w:t>employee assistance program  144, 149</w:t>
      </w:r>
    </w:p>
    <w:p w14:paraId="74415EA3"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employment arrangements  155, 235–6</w:t>
      </w:r>
    </w:p>
    <w:p w14:paraId="0AD8999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employment income reporting  50</w:t>
      </w:r>
    </w:p>
    <w:p w14:paraId="3287F70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Employment Services Assessments (ESAts)  61</w:t>
      </w:r>
    </w:p>
    <w:p w14:paraId="251C15C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employment type by location  234</w:t>
      </w:r>
    </w:p>
    <w:p w14:paraId="417CCF3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lastRenderedPageBreak/>
        <w:t>engagement and recognition  154</w:t>
      </w:r>
    </w:p>
    <w:p w14:paraId="6C260283"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full time and part time status  232–3</w:t>
      </w:r>
    </w:p>
    <w:p w14:paraId="093B48C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harassment contact officers  144</w:t>
      </w:r>
    </w:p>
    <w:p w14:paraId="42632D5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health and wellbeing  141</w:t>
      </w:r>
    </w:p>
    <w:p w14:paraId="71CF4DE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human resource management  224–7</w:t>
      </w:r>
    </w:p>
    <w:p w14:paraId="38EC74F4"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Indigenous employment  150, 235</w:t>
      </w:r>
    </w:p>
    <w:p w14:paraId="624F8CF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individual flexibility arrangements  155</w:t>
      </w:r>
    </w:p>
    <w:p w14:paraId="20E058F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internal awards  154</w:t>
      </w:r>
    </w:p>
    <w:p w14:paraId="59C0F4A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leadership programs and talent management  153</w:t>
      </w:r>
    </w:p>
    <w:p w14:paraId="5A75D7F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learning and development  152–3</w:t>
      </w:r>
    </w:p>
    <w:p w14:paraId="75EA4AB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LGBTQIA+  148</w:t>
      </w:r>
    </w:p>
    <w:p w14:paraId="3841F6BF"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mental health and wellbeing  144</w:t>
      </w:r>
    </w:p>
    <w:p w14:paraId="55A3DF5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neurodivergent  147</w:t>
      </w:r>
    </w:p>
    <w:p w14:paraId="0ABB0FC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non-ongoing  230–1</w:t>
      </w:r>
    </w:p>
    <w:p w14:paraId="4559079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ongoing  228–9</w:t>
      </w:r>
    </w:p>
    <w:p w14:paraId="038595A3"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People Strategy  140</w:t>
      </w:r>
    </w:p>
    <w:p w14:paraId="36CA36E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performance management  154–5</w:t>
      </w:r>
    </w:p>
    <w:p w14:paraId="06A9079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performance pay  155</w:t>
      </w:r>
    </w:p>
    <w:p w14:paraId="1D953D9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recruitment  145</w:t>
      </w:r>
    </w:p>
    <w:p w14:paraId="0168AED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remuneration see remuneration</w:t>
      </w:r>
    </w:p>
    <w:p w14:paraId="2809021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statistics  218–37</w:t>
      </w:r>
    </w:p>
    <w:p w14:paraId="7CA11F5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work health and safety see work health and safety</w:t>
      </w:r>
    </w:p>
    <w:p w14:paraId="4C3C37CA"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workforce strategies and planning  140</w:t>
      </w:r>
    </w:p>
    <w:p w14:paraId="3D352743" w14:textId="77777777" w:rsidR="00247AD2" w:rsidRPr="005D4B3F" w:rsidRDefault="00247AD2" w:rsidP="00247AD2">
      <w:pPr>
        <w:pStyle w:val="IndexBodyL1"/>
        <w:rPr>
          <w:rFonts w:ascii="Arial" w:hAnsi="Arial" w:cs="Arial"/>
          <w:sz w:val="24"/>
          <w:szCs w:val="24"/>
        </w:rPr>
      </w:pPr>
      <w:r w:rsidRPr="005D4B3F">
        <w:rPr>
          <w:rFonts w:ascii="Arial" w:hAnsi="Arial" w:cs="Arial"/>
          <w:spacing w:val="-2"/>
          <w:sz w:val="24"/>
          <w:szCs w:val="24"/>
        </w:rPr>
        <w:t>Stakeholder Consultative Group (SCG)  111</w:t>
      </w:r>
    </w:p>
    <w:p w14:paraId="3B2FF7E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Statement for Australia’s Carers  149</w:t>
      </w:r>
    </w:p>
    <w:p w14:paraId="3A45319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Statements of Expectations, audit  131</w:t>
      </w:r>
    </w:p>
    <w:p w14:paraId="0B8CCA0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Status Resolution Support Services Payment  100</w:t>
      </w:r>
    </w:p>
    <w:p w14:paraId="332E087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Stillborn Baby Payment  58</w:t>
      </w:r>
    </w:p>
    <w:p w14:paraId="0806918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Strategic Commissioning Framework  137</w:t>
      </w:r>
    </w:p>
    <w:p w14:paraId="7F0882A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Strategic Performance Measures  13</w:t>
      </w:r>
    </w:p>
    <w:p w14:paraId="048A73B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changes from Corporate Plan 2024–25  14</w:t>
      </w:r>
    </w:p>
    <w:p w14:paraId="4E858B3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results  17–43</w:t>
      </w:r>
    </w:p>
    <w:p w14:paraId="743BB4F8"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summary of results  16</w:t>
      </w:r>
    </w:p>
    <w:p w14:paraId="319A7A1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Strategic Workforce Plan 2025–2027  140</w:t>
      </w:r>
    </w:p>
    <w:p w14:paraId="3BAF93F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Strategy and Performance</w:t>
      </w:r>
    </w:p>
    <w:p w14:paraId="59CB363A"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executive responsibilities  6</w:t>
      </w:r>
    </w:p>
    <w:p w14:paraId="63EC395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strategic performance measure results  17–43</w:t>
      </w:r>
    </w:p>
    <w:p w14:paraId="785FC7F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students  60</w:t>
      </w:r>
    </w:p>
    <w:p w14:paraId="0D8846E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Supply Nation  214</w:t>
      </w:r>
    </w:p>
    <w:p w14:paraId="4013AC8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support services, tailored  90–101</w:t>
      </w:r>
    </w:p>
    <w:p w14:paraId="4DCFB1BB" w14:textId="77777777" w:rsidR="00247AD2" w:rsidRPr="005D4B3F" w:rsidRDefault="00247AD2" w:rsidP="00247AD2">
      <w:pPr>
        <w:pStyle w:val="IndexHeading"/>
      </w:pPr>
      <w:r w:rsidRPr="005D4B3F">
        <w:t>T</w:t>
      </w:r>
    </w:p>
    <w:p w14:paraId="33E22D3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talent management  153</w:t>
      </w:r>
    </w:p>
    <w:p w14:paraId="06EDB8D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lastRenderedPageBreak/>
        <w:t>Tasmanian Freight Equalisation Scheme  101</w:t>
      </w:r>
    </w:p>
    <w:p w14:paraId="68D85DA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parliamentary committee report  135</w:t>
      </w:r>
    </w:p>
    <w:p w14:paraId="4F8EACA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Tasmanian transport schemes  101</w:t>
      </w:r>
    </w:p>
    <w:p w14:paraId="2F83929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Tax Deduction Service  103</w:t>
      </w:r>
    </w:p>
    <w:p w14:paraId="659A61B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technology and data foundations  x, 133</w:t>
      </w:r>
    </w:p>
    <w:p w14:paraId="6EA4C88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Technology and Digital Platforms  6</w:t>
      </w:r>
    </w:p>
    <w:p w14:paraId="42AD013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Technology and Transformation</w:t>
      </w:r>
    </w:p>
    <w:p w14:paraId="02135FE3"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strategic performance measure results  39–43</w:t>
      </w:r>
    </w:p>
    <w:p w14:paraId="3C524BF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telephony  47</w:t>
      </w:r>
    </w:p>
    <w:p w14:paraId="3C3883D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terrorism  88</w:t>
      </w:r>
    </w:p>
    <w:p w14:paraId="5F27BD4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Tertiary Access Payment (TAP)  60</w:t>
      </w:r>
    </w:p>
    <w:p w14:paraId="129540A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thalidomide survivors  78</w:t>
      </w:r>
    </w:p>
    <w:p w14:paraId="02DD59A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third party compromise events  120</w:t>
      </w:r>
    </w:p>
    <w:p w14:paraId="00C5042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tip-offs, public  121</w:t>
      </w:r>
    </w:p>
    <w:p w14:paraId="213C4321" w14:textId="77777777" w:rsidR="00247AD2" w:rsidRPr="005D4B3F" w:rsidRDefault="00247AD2" w:rsidP="00247AD2">
      <w:pPr>
        <w:pStyle w:val="IndexBodyL1"/>
        <w:rPr>
          <w:rFonts w:ascii="Arial" w:hAnsi="Arial" w:cs="Arial"/>
          <w:sz w:val="24"/>
          <w:szCs w:val="24"/>
        </w:rPr>
      </w:pPr>
      <w:r w:rsidRPr="005D4B3F">
        <w:rPr>
          <w:rFonts w:ascii="Arial" w:hAnsi="Arial" w:cs="Arial"/>
          <w:spacing w:val="-6"/>
          <w:sz w:val="24"/>
          <w:szCs w:val="24"/>
        </w:rPr>
        <w:t>Trust Exchange proof of concept  xi, 118, 119</w:t>
      </w:r>
    </w:p>
    <w:p w14:paraId="1FE80AFF" w14:textId="77777777" w:rsidR="00247AD2" w:rsidRPr="005D4B3F" w:rsidRDefault="00247AD2" w:rsidP="00247AD2">
      <w:pPr>
        <w:pStyle w:val="IndexHeading"/>
      </w:pPr>
      <w:r w:rsidRPr="005D4B3F">
        <w:t>V</w:t>
      </w:r>
    </w:p>
    <w:p w14:paraId="23FAA04F"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Veteran Centric Reform Program  51</w:t>
      </w:r>
    </w:p>
    <w:p w14:paraId="60E4B35A" w14:textId="77777777" w:rsidR="00247AD2" w:rsidRPr="005D4B3F" w:rsidRDefault="00247AD2" w:rsidP="00247AD2">
      <w:pPr>
        <w:pStyle w:val="IndexBodyL1"/>
        <w:rPr>
          <w:rFonts w:ascii="Arial" w:hAnsi="Arial" w:cs="Arial"/>
          <w:sz w:val="24"/>
          <w:szCs w:val="24"/>
        </w:rPr>
      </w:pPr>
      <w:r w:rsidRPr="005D4B3F">
        <w:rPr>
          <w:rFonts w:ascii="Arial" w:hAnsi="Arial" w:cs="Arial"/>
          <w:spacing w:val="-2"/>
          <w:sz w:val="24"/>
          <w:szCs w:val="24"/>
        </w:rPr>
        <w:t>Victorian Concessions and Allowances  51</w:t>
      </w:r>
    </w:p>
    <w:p w14:paraId="40C1722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vision  2</w:t>
      </w:r>
    </w:p>
    <w:p w14:paraId="58460ED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voice biometrics  49</w:t>
      </w:r>
    </w:p>
    <w:p w14:paraId="12B4874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vulnerability strategy  90</w:t>
      </w:r>
    </w:p>
    <w:p w14:paraId="32B59C16"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vulnerable customers  138</w:t>
      </w:r>
    </w:p>
    <w:p w14:paraId="1A8B9540" w14:textId="77777777" w:rsidR="00247AD2" w:rsidRPr="005D4B3F" w:rsidRDefault="00247AD2" w:rsidP="00247AD2">
      <w:pPr>
        <w:pStyle w:val="IndexHeading"/>
      </w:pPr>
      <w:r w:rsidRPr="005D4B3F">
        <w:t>W</w:t>
      </w:r>
    </w:p>
    <w:p w14:paraId="77E966A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waiting time, reducing  x, 48</w:t>
      </w:r>
    </w:p>
    <w:p w14:paraId="50131909"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Walker St Offices, Townsville</w:t>
      </w:r>
    </w:p>
    <w:p w14:paraId="07B4538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parliamentary committee report  136</w:t>
      </w:r>
    </w:p>
    <w:p w14:paraId="2BF41830"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website</w:t>
      </w:r>
    </w:p>
    <w:p w14:paraId="4E50B63D"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fake websites  52</w:t>
      </w:r>
    </w:p>
    <w:p w14:paraId="096C22F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feedback, providing  239</w:t>
      </w:r>
    </w:p>
    <w:p w14:paraId="148651A6"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public tip-offs  121</w:t>
      </w:r>
    </w:p>
    <w:p w14:paraId="7FF700B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Western Cape (Weipa) Service Centre  91</w:t>
      </w:r>
    </w:p>
    <w:p w14:paraId="41E2EA7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opening  xii, 91</w:t>
      </w:r>
    </w:p>
    <w:p w14:paraId="3949681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work health and safety  142–4</w:t>
      </w:r>
    </w:p>
    <w:p w14:paraId="502B0F2C"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mental health and wellbeing  141, 144</w:t>
      </w:r>
    </w:p>
    <w:p w14:paraId="1EF1FC8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reporting  143–4</w:t>
      </w:r>
    </w:p>
    <w:p w14:paraId="44709B75"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Security Risk Management Review  142–3</w:t>
      </w:r>
    </w:p>
    <w:p w14:paraId="2F08B2F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strategy  142</w:t>
      </w:r>
    </w:p>
    <w:p w14:paraId="7BC78BCB" w14:textId="77777777" w:rsidR="00247AD2" w:rsidRPr="005D4B3F" w:rsidRDefault="00247AD2" w:rsidP="00247AD2">
      <w:pPr>
        <w:pStyle w:val="IndexBodyL1"/>
        <w:rPr>
          <w:rFonts w:ascii="Arial" w:hAnsi="Arial" w:cs="Arial"/>
          <w:sz w:val="24"/>
          <w:szCs w:val="24"/>
        </w:rPr>
      </w:pPr>
      <w:r w:rsidRPr="005D4B3F">
        <w:rPr>
          <w:rStyle w:val="Italic"/>
          <w:rFonts w:ascii="Arial" w:hAnsi="Arial" w:cs="Arial"/>
          <w:sz w:val="24"/>
          <w:szCs w:val="24"/>
        </w:rPr>
        <w:t>Work Health and Safety Act 2011</w:t>
      </w:r>
      <w:r w:rsidRPr="005D4B3F">
        <w:rPr>
          <w:rFonts w:ascii="Arial" w:hAnsi="Arial" w:cs="Arial"/>
          <w:sz w:val="24"/>
          <w:szCs w:val="24"/>
        </w:rPr>
        <w:t xml:space="preserve">  142</w:t>
      </w:r>
    </w:p>
    <w:p w14:paraId="314ADC9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reporting  143–4</w:t>
      </w:r>
    </w:p>
    <w:p w14:paraId="1FFC56D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workforce</w:t>
      </w:r>
    </w:p>
    <w:p w14:paraId="2E9CE188" w14:textId="77777777" w:rsidR="00247AD2" w:rsidRPr="005D4B3F" w:rsidRDefault="00247AD2" w:rsidP="00247AD2">
      <w:pPr>
        <w:pStyle w:val="IndexBodyL2"/>
        <w:rPr>
          <w:rFonts w:ascii="Arial" w:hAnsi="Arial" w:cs="Arial"/>
          <w:sz w:val="24"/>
          <w:szCs w:val="24"/>
        </w:rPr>
      </w:pPr>
      <w:r w:rsidRPr="005D4B3F">
        <w:rPr>
          <w:rFonts w:ascii="Arial" w:hAnsi="Arial" w:cs="Arial"/>
          <w:spacing w:val="-2"/>
          <w:sz w:val="24"/>
          <w:szCs w:val="24"/>
        </w:rPr>
        <w:t>Strategic Workforce Plan 2025–27  140</w:t>
      </w:r>
    </w:p>
    <w:p w14:paraId="5384ED4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workforce participation see staff</w:t>
      </w:r>
    </w:p>
    <w:p w14:paraId="2D90AD71"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workforce strategies and planning  140</w:t>
      </w:r>
    </w:p>
    <w:p w14:paraId="225A954E"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lastRenderedPageBreak/>
        <w:t>Workforce Incentive Program – Doctor Stream  75</w:t>
      </w:r>
    </w:p>
    <w:p w14:paraId="081E8F3B"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Workforce Incentive Program – Practice Stream  75</w:t>
      </w:r>
    </w:p>
    <w:p w14:paraId="17697F43"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Workforce Incentive Program – Rural Advanced Skills  76</w:t>
      </w:r>
    </w:p>
    <w:p w14:paraId="4543E2FD"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workplace</w:t>
      </w:r>
    </w:p>
    <w:p w14:paraId="5867DFD9"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accessibility  148</w:t>
      </w:r>
    </w:p>
    <w:p w14:paraId="24035CCE"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agreements  155</w:t>
      </w:r>
    </w:p>
    <w:p w14:paraId="300BFD9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breastfeeding  148</w:t>
      </w:r>
    </w:p>
    <w:p w14:paraId="570B5607"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unlawful conduct  144</w:t>
      </w:r>
    </w:p>
    <w:p w14:paraId="68F026C7"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workplace inclusion and diversity strategy  146</w:t>
      </w:r>
    </w:p>
    <w:p w14:paraId="600C9122"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Workplace Protection Orders Bill 2024</w:t>
      </w:r>
    </w:p>
    <w:p w14:paraId="5D28B452"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parliamentary committee report  135</w:t>
      </w:r>
    </w:p>
    <w:p w14:paraId="7D9A8800" w14:textId="77777777" w:rsidR="00247AD2" w:rsidRPr="005D4B3F" w:rsidRDefault="00247AD2" w:rsidP="00247AD2">
      <w:pPr>
        <w:pStyle w:val="IndexHeading"/>
      </w:pPr>
      <w:r w:rsidRPr="005D4B3F">
        <w:t>Y</w:t>
      </w:r>
    </w:p>
    <w:p w14:paraId="2C605C84"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Your Career  51</w:t>
      </w:r>
    </w:p>
    <w:p w14:paraId="07C9F8D1" w14:textId="77777777" w:rsidR="00247AD2" w:rsidRPr="005D4B3F" w:rsidRDefault="00247AD2" w:rsidP="00247AD2">
      <w:pPr>
        <w:pStyle w:val="IndexBodyL1"/>
        <w:rPr>
          <w:rFonts w:ascii="Arial" w:hAnsi="Arial" w:cs="Arial"/>
          <w:sz w:val="24"/>
          <w:szCs w:val="24"/>
        </w:rPr>
      </w:pPr>
      <w:r w:rsidRPr="005D4B3F">
        <w:rPr>
          <w:rFonts w:ascii="Arial" w:hAnsi="Arial" w:cs="Arial"/>
          <w:sz w:val="24"/>
          <w:szCs w:val="24"/>
        </w:rPr>
        <w:t xml:space="preserve">Youth Allowance </w:t>
      </w:r>
    </w:p>
    <w:p w14:paraId="6A5B1AA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apprentice  60</w:t>
      </w:r>
    </w:p>
    <w:p w14:paraId="44196EE0"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job seeker  59</w:t>
      </w:r>
    </w:p>
    <w:p w14:paraId="1EBF5FCB" w14:textId="77777777" w:rsidR="00247AD2" w:rsidRPr="005D4B3F" w:rsidRDefault="00247AD2" w:rsidP="00247AD2">
      <w:pPr>
        <w:pStyle w:val="IndexBodyL2"/>
        <w:rPr>
          <w:rFonts w:ascii="Arial" w:hAnsi="Arial" w:cs="Arial"/>
          <w:sz w:val="24"/>
          <w:szCs w:val="24"/>
        </w:rPr>
      </w:pPr>
      <w:r w:rsidRPr="005D4B3F">
        <w:rPr>
          <w:rFonts w:ascii="Arial" w:hAnsi="Arial" w:cs="Arial"/>
          <w:sz w:val="24"/>
          <w:szCs w:val="24"/>
        </w:rPr>
        <w:t>student  60</w:t>
      </w:r>
    </w:p>
    <w:p w14:paraId="2ECAAF1C" w14:textId="77777777" w:rsidR="00247AD2" w:rsidRDefault="00247AD2" w:rsidP="00247AD2">
      <w:pPr>
        <w:pStyle w:val="Heading1"/>
      </w:pPr>
      <w:bookmarkStart w:id="70" w:name="_Toc210815449"/>
      <w:r>
        <w:t>Appendix G — Omissions and errors</w:t>
      </w:r>
      <w:bookmarkEnd w:id="70"/>
      <w:r>
        <w:t xml:space="preserve"> </w:t>
      </w:r>
    </w:p>
    <w:p w14:paraId="30ACA023" w14:textId="77777777" w:rsidR="00247AD2" w:rsidRDefault="00247AD2" w:rsidP="00247AD2">
      <w:pPr>
        <w:pStyle w:val="BodyText"/>
      </w:pPr>
      <w:r>
        <w:rPr>
          <w:spacing w:val="-2"/>
        </w:rPr>
        <w:t xml:space="preserve">The Services Australia Annual Report 2023–24 contained the following omissions/errors: </w:t>
      </w:r>
    </w:p>
    <w:p w14:paraId="698825D2" w14:textId="77777777" w:rsidR="00247AD2" w:rsidRDefault="00247AD2" w:rsidP="00247AD2">
      <w:pPr>
        <w:pStyle w:val="BodyText"/>
        <w:rPr>
          <w:rStyle w:val="Bold"/>
        </w:rPr>
      </w:pPr>
      <w:r>
        <w:rPr>
          <w:rStyle w:val="Bold"/>
        </w:rPr>
        <w:t xml:space="preserve">Page III — Agency snapshot  </w:t>
      </w:r>
    </w:p>
    <w:p w14:paraId="271FD197" w14:textId="77777777" w:rsidR="00247AD2" w:rsidRDefault="00247AD2" w:rsidP="00247AD2">
      <w:pPr>
        <w:pStyle w:val="BodyText"/>
      </w:pPr>
      <w:r>
        <w:t xml:space="preserve">Incorrect data: total number of websites visited was listed incorrectly as 186M. </w:t>
      </w:r>
    </w:p>
    <w:p w14:paraId="0AB861B4" w14:textId="77777777" w:rsidR="00247AD2" w:rsidRDefault="00247AD2" w:rsidP="00247AD2">
      <w:pPr>
        <w:pStyle w:val="BodyText"/>
      </w:pPr>
      <w:r>
        <w:t>The correct total number of websites visited for 2023–24 was 97M.</w:t>
      </w:r>
    </w:p>
    <w:p w14:paraId="5E88F3AE" w14:textId="77777777" w:rsidR="00247AD2" w:rsidRDefault="00247AD2" w:rsidP="00247AD2">
      <w:pPr>
        <w:pStyle w:val="BodyText"/>
        <w:rPr>
          <w:rStyle w:val="Bold"/>
        </w:rPr>
      </w:pPr>
      <w:r>
        <w:rPr>
          <w:rStyle w:val="Bold"/>
        </w:rPr>
        <w:t>Page 72 — Table 11: PBS and RPBS expenditure</w:t>
      </w:r>
    </w:p>
    <w:p w14:paraId="46F94A61" w14:textId="77777777" w:rsidR="00247AD2" w:rsidRDefault="00247AD2" w:rsidP="00247AD2">
      <w:pPr>
        <w:pStyle w:val="BodyText"/>
      </w:pPr>
      <w:r>
        <w:rPr>
          <w:spacing w:val="-2"/>
        </w:rPr>
        <w:t>Incorrect data: the total benefits paid in 2023–24 were listed incorrectly as $17.9 billion.</w:t>
      </w:r>
    </w:p>
    <w:p w14:paraId="64A741DA" w14:textId="77777777" w:rsidR="00247AD2" w:rsidRDefault="00247AD2" w:rsidP="00247AD2">
      <w:pPr>
        <w:pStyle w:val="BodyText"/>
      </w:pPr>
      <w:r>
        <w:t xml:space="preserve">The correct total benefits paid in 2023–24 was $18.3 billion. </w:t>
      </w:r>
    </w:p>
    <w:p w14:paraId="7F96477F" w14:textId="77777777" w:rsidR="00247AD2" w:rsidRDefault="00247AD2" w:rsidP="00247AD2">
      <w:pPr>
        <w:pStyle w:val="BodyText"/>
        <w:rPr>
          <w:rStyle w:val="Bold"/>
        </w:rPr>
      </w:pPr>
      <w:r>
        <w:rPr>
          <w:rStyle w:val="Bold"/>
        </w:rPr>
        <w:t>Page 82 — Table 23: Extraordinary Assistance Fund and Health Care Assistance Fund payments and claims</w:t>
      </w:r>
    </w:p>
    <w:p w14:paraId="4341C447" w14:textId="77777777" w:rsidR="00247AD2" w:rsidRDefault="00247AD2" w:rsidP="00247AD2">
      <w:pPr>
        <w:pStyle w:val="BodyText"/>
      </w:pPr>
      <w:r>
        <w:t>Incorrect data: the amount paid in 2023–24 was added incorrectly as $921,306.</w:t>
      </w:r>
    </w:p>
    <w:p w14:paraId="4D13BC6C" w14:textId="77777777" w:rsidR="00247AD2" w:rsidRDefault="00247AD2" w:rsidP="00247AD2">
      <w:pPr>
        <w:pStyle w:val="BodyText"/>
      </w:pPr>
      <w:r>
        <w:t xml:space="preserve">The correct amount paid for 2023–24 was $920,855. </w:t>
      </w:r>
    </w:p>
    <w:p w14:paraId="093052E7" w14:textId="77777777" w:rsidR="00247AD2" w:rsidRDefault="00247AD2" w:rsidP="00247AD2">
      <w:pPr>
        <w:pStyle w:val="BodyText"/>
        <w:rPr>
          <w:rStyle w:val="Bold"/>
        </w:rPr>
      </w:pPr>
      <w:r>
        <w:rPr>
          <w:rStyle w:val="Bold"/>
        </w:rPr>
        <w:t>Page 91 — Table 32: Deductions from Centrelink and DVA payments</w:t>
      </w:r>
    </w:p>
    <w:p w14:paraId="1DE92F54" w14:textId="77777777" w:rsidR="00247AD2" w:rsidRDefault="00247AD2" w:rsidP="00247AD2">
      <w:pPr>
        <w:pStyle w:val="BodyText"/>
      </w:pPr>
      <w:r>
        <w:t>Incorrect data: the amount collected from Centrelink and DVA payments in 2022–23 was listed incorrectly as $73.6 million.</w:t>
      </w:r>
    </w:p>
    <w:p w14:paraId="15C960F7" w14:textId="77777777" w:rsidR="00247AD2" w:rsidRDefault="00247AD2" w:rsidP="00247AD2">
      <w:pPr>
        <w:pStyle w:val="BodyText"/>
      </w:pPr>
      <w:r>
        <w:t xml:space="preserve">The correct amount collected from Centrelink and DVA payments for 2022–23 was $73.9 million. </w:t>
      </w:r>
    </w:p>
    <w:p w14:paraId="6999A717" w14:textId="77777777" w:rsidR="00247AD2" w:rsidRDefault="00247AD2" w:rsidP="00247AD2">
      <w:pPr>
        <w:pStyle w:val="BodyText"/>
        <w:rPr>
          <w:rStyle w:val="Bold"/>
        </w:rPr>
      </w:pPr>
      <w:r>
        <w:rPr>
          <w:rStyle w:val="Bold"/>
        </w:rPr>
        <w:t xml:space="preserve">Page 115 — Part 7.2 Fraud and corruption prevention and detection and response  </w:t>
      </w:r>
    </w:p>
    <w:p w14:paraId="46AC0282" w14:textId="77777777" w:rsidR="00247AD2" w:rsidRDefault="00247AD2" w:rsidP="00247AD2">
      <w:pPr>
        <w:pStyle w:val="BodyText"/>
      </w:pPr>
      <w:r>
        <w:t xml:space="preserve">Incorrect data: criminal and administrative investigations completed was listed incorrectly as 741. </w:t>
      </w:r>
    </w:p>
    <w:p w14:paraId="4FE9174F" w14:textId="77777777" w:rsidR="00247AD2" w:rsidRDefault="00247AD2" w:rsidP="00247AD2">
      <w:pPr>
        <w:pStyle w:val="BodyText"/>
      </w:pPr>
      <w:r>
        <w:rPr>
          <w:spacing w:val="-2"/>
        </w:rPr>
        <w:t xml:space="preserve">The correct criminal and administrative investigations completed for 2023–24 was 751. </w:t>
      </w:r>
    </w:p>
    <w:p w14:paraId="3C30029F" w14:textId="77777777" w:rsidR="00247AD2" w:rsidRDefault="00247AD2" w:rsidP="00247AD2">
      <w:pPr>
        <w:pStyle w:val="BodyText"/>
        <w:rPr>
          <w:rStyle w:val="Bold"/>
        </w:rPr>
      </w:pPr>
      <w:r>
        <w:rPr>
          <w:rStyle w:val="Bold"/>
        </w:rPr>
        <w:lastRenderedPageBreak/>
        <w:t>Page 244 — Table 75: Waste, resource recovery and pollution</w:t>
      </w:r>
    </w:p>
    <w:p w14:paraId="18E16E32" w14:textId="77777777" w:rsidR="00247AD2" w:rsidRDefault="00247AD2" w:rsidP="00247AD2">
      <w:pPr>
        <w:pStyle w:val="BodyText"/>
      </w:pPr>
      <w:r>
        <w:t xml:space="preserve">Incorrect data: net greenhouse gas emissions – energy use data for 2022–23 and 2023–24 were listed incorrectly as 68,985 and 64,741 respectively. </w:t>
      </w:r>
    </w:p>
    <w:p w14:paraId="1B4D453D" w14:textId="77777777" w:rsidR="00247AD2" w:rsidRDefault="00247AD2" w:rsidP="00247AD2">
      <w:pPr>
        <w:pStyle w:val="BodyText"/>
      </w:pPr>
      <w:r>
        <w:t xml:space="preserve">The correct net greenhouse gas emissions – energy use data for 2022–23 and 2023–24 were 69,063 and 66,724 respectively. </w:t>
      </w:r>
    </w:p>
    <w:p w14:paraId="12332200" w14:textId="4CEDA584" w:rsidR="002A1407" w:rsidRDefault="005D4B3F" w:rsidP="005D4B3F">
      <w:pPr>
        <w:pStyle w:val="ProductCode"/>
      </w:pPr>
      <w:r>
        <w:t>8802.2510</w:t>
      </w:r>
    </w:p>
    <w:sectPr w:rsidR="002A140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9EF8" w14:textId="77777777" w:rsidR="009E6763" w:rsidRDefault="009E6763" w:rsidP="00C77FE4">
      <w:r>
        <w:separator/>
      </w:r>
    </w:p>
  </w:endnote>
  <w:endnote w:type="continuationSeparator" w:id="0">
    <w:p w14:paraId="42F2CD29" w14:textId="77777777" w:rsidR="009E6763" w:rsidRDefault="009E6763"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Bold">
    <w:altName w:val="Roboto"/>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Medium">
    <w:altName w:val="Roboto"/>
    <w:panose1 w:val="00000000000000000000"/>
    <w:charset w:val="00"/>
    <w:family w:val="auto"/>
    <w:notTrueType/>
    <w:pitch w:val="default"/>
    <w:sig w:usb0="00000003" w:usb1="00000000" w:usb2="00000000" w:usb3="00000000" w:csb0="00000001" w:csb1="00000000"/>
  </w:font>
  <w:font w:name="Roboto-BoldItalic">
    <w:altName w:val="Roboto"/>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EA6C6" w14:textId="77777777" w:rsidR="009E6763" w:rsidRDefault="009E6763" w:rsidP="00C77FE4">
      <w:r>
        <w:separator/>
      </w:r>
    </w:p>
  </w:footnote>
  <w:footnote w:type="continuationSeparator" w:id="0">
    <w:p w14:paraId="0128418C" w14:textId="77777777" w:rsidR="009E6763" w:rsidRDefault="009E6763"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FC5E26"/>
    <w:multiLevelType w:val="hybridMultilevel"/>
    <w:tmpl w:val="F81E326E"/>
    <w:lvl w:ilvl="0" w:tplc="5D201B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7F4E80"/>
    <w:multiLevelType w:val="hybridMultilevel"/>
    <w:tmpl w:val="BFF6BBB6"/>
    <w:lvl w:ilvl="0" w:tplc="22AEB8D2">
      <w:start w:val="1"/>
      <w:numFmt w:val="lowerLetter"/>
      <w:lvlText w:val="(%1)"/>
      <w:lvlJc w:val="left"/>
      <w:pPr>
        <w:ind w:left="720" w:hanging="360"/>
      </w:pPr>
      <w:rPr>
        <w:rFonts w:ascii="Roboto-Regular" w:hAnsi="Roboto-Regular" w:cs="Roboto-Regular"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A1262A"/>
    <w:multiLevelType w:val="hybridMultilevel"/>
    <w:tmpl w:val="62ACF148"/>
    <w:lvl w:ilvl="0" w:tplc="F96ADD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8F322E"/>
    <w:multiLevelType w:val="hybridMultilevel"/>
    <w:tmpl w:val="F252C0C8"/>
    <w:lvl w:ilvl="0" w:tplc="B128F8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8D4774"/>
    <w:multiLevelType w:val="hybridMultilevel"/>
    <w:tmpl w:val="FB9E9E82"/>
    <w:lvl w:ilvl="0" w:tplc="3544F1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C7694F"/>
    <w:multiLevelType w:val="hybridMultilevel"/>
    <w:tmpl w:val="0A26C5A0"/>
    <w:lvl w:ilvl="0" w:tplc="4FACDE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7F1FEA"/>
    <w:multiLevelType w:val="hybridMultilevel"/>
    <w:tmpl w:val="2BA24F86"/>
    <w:lvl w:ilvl="0" w:tplc="3B1CE9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0C65AE"/>
    <w:multiLevelType w:val="hybridMultilevel"/>
    <w:tmpl w:val="3F74A5AE"/>
    <w:lvl w:ilvl="0" w:tplc="B038E6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6CE6634"/>
    <w:multiLevelType w:val="hybridMultilevel"/>
    <w:tmpl w:val="5F6AC412"/>
    <w:lvl w:ilvl="0" w:tplc="5B24E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9856AE"/>
    <w:multiLevelType w:val="hybridMultilevel"/>
    <w:tmpl w:val="34D66BF8"/>
    <w:lvl w:ilvl="0" w:tplc="4F26F1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7F1979"/>
    <w:multiLevelType w:val="hybridMultilevel"/>
    <w:tmpl w:val="5BFC705A"/>
    <w:lvl w:ilvl="0" w:tplc="275C7C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18099B"/>
    <w:multiLevelType w:val="hybridMultilevel"/>
    <w:tmpl w:val="30BE6354"/>
    <w:lvl w:ilvl="0" w:tplc="72BCF4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7058D0"/>
    <w:multiLevelType w:val="hybridMultilevel"/>
    <w:tmpl w:val="7D8AAA2A"/>
    <w:lvl w:ilvl="0" w:tplc="4D3C7A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932B1D"/>
    <w:multiLevelType w:val="hybridMultilevel"/>
    <w:tmpl w:val="06AC6A92"/>
    <w:lvl w:ilvl="0" w:tplc="D68657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4A593D"/>
    <w:multiLevelType w:val="hybridMultilevel"/>
    <w:tmpl w:val="5D2249B6"/>
    <w:lvl w:ilvl="0" w:tplc="3DCAF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4B3B2C"/>
    <w:multiLevelType w:val="hybridMultilevel"/>
    <w:tmpl w:val="5778FEC4"/>
    <w:lvl w:ilvl="0" w:tplc="E74E56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C65F3B"/>
    <w:multiLevelType w:val="hybridMultilevel"/>
    <w:tmpl w:val="3A5E700C"/>
    <w:lvl w:ilvl="0" w:tplc="B1429D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ED362F"/>
    <w:multiLevelType w:val="hybridMultilevel"/>
    <w:tmpl w:val="E1F2B9EE"/>
    <w:lvl w:ilvl="0" w:tplc="D2DA98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2C5782"/>
    <w:multiLevelType w:val="hybridMultilevel"/>
    <w:tmpl w:val="7374BAEA"/>
    <w:lvl w:ilvl="0" w:tplc="CBB8D3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7D03CF1"/>
    <w:multiLevelType w:val="hybridMultilevel"/>
    <w:tmpl w:val="E302414C"/>
    <w:lvl w:ilvl="0" w:tplc="C92084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28"/>
  </w:num>
  <w:num w:numId="12" w16cid:durableId="1250650549">
    <w:abstractNumId w:val="29"/>
  </w:num>
  <w:num w:numId="13" w16cid:durableId="1022320758">
    <w:abstractNumId w:val="13"/>
  </w:num>
  <w:num w:numId="14" w16cid:durableId="2032485451">
    <w:abstractNumId w:val="10"/>
  </w:num>
  <w:num w:numId="15" w16cid:durableId="612706487">
    <w:abstractNumId w:val="24"/>
  </w:num>
  <w:num w:numId="16" w16cid:durableId="784620145">
    <w:abstractNumId w:val="25"/>
  </w:num>
  <w:num w:numId="17" w16cid:durableId="1600455551">
    <w:abstractNumId w:val="26"/>
  </w:num>
  <w:num w:numId="18" w16cid:durableId="1308628773">
    <w:abstractNumId w:val="15"/>
  </w:num>
  <w:num w:numId="19" w16cid:durableId="26369494">
    <w:abstractNumId w:val="16"/>
  </w:num>
  <w:num w:numId="20" w16cid:durableId="887377680">
    <w:abstractNumId w:val="30"/>
  </w:num>
  <w:num w:numId="21" w16cid:durableId="1083258600">
    <w:abstractNumId w:val="18"/>
  </w:num>
  <w:num w:numId="22" w16cid:durableId="1624188747">
    <w:abstractNumId w:val="19"/>
  </w:num>
  <w:num w:numId="23" w16cid:durableId="1175681989">
    <w:abstractNumId w:val="20"/>
  </w:num>
  <w:num w:numId="24" w16cid:durableId="1553805777">
    <w:abstractNumId w:val="27"/>
  </w:num>
  <w:num w:numId="25" w16cid:durableId="1202589812">
    <w:abstractNumId w:val="23"/>
  </w:num>
  <w:num w:numId="26" w16cid:durableId="265232035">
    <w:abstractNumId w:val="14"/>
  </w:num>
  <w:num w:numId="27" w16cid:durableId="206722793">
    <w:abstractNumId w:val="31"/>
  </w:num>
  <w:num w:numId="28" w16cid:durableId="1083648129">
    <w:abstractNumId w:val="11"/>
  </w:num>
  <w:num w:numId="29" w16cid:durableId="1291548783">
    <w:abstractNumId w:val="12"/>
  </w:num>
  <w:num w:numId="30" w16cid:durableId="392773550">
    <w:abstractNumId w:val="22"/>
  </w:num>
  <w:num w:numId="31" w16cid:durableId="1806385177">
    <w:abstractNumId w:val="21"/>
  </w:num>
  <w:num w:numId="32" w16cid:durableId="5257975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D3"/>
    <w:rsid w:val="0000700B"/>
    <w:rsid w:val="000076F8"/>
    <w:rsid w:val="00015456"/>
    <w:rsid w:val="000156A2"/>
    <w:rsid w:val="0001575D"/>
    <w:rsid w:val="00015AE7"/>
    <w:rsid w:val="00032A7E"/>
    <w:rsid w:val="00044271"/>
    <w:rsid w:val="00047ECA"/>
    <w:rsid w:val="00054392"/>
    <w:rsid w:val="00054F06"/>
    <w:rsid w:val="0005555B"/>
    <w:rsid w:val="000671E4"/>
    <w:rsid w:val="00071651"/>
    <w:rsid w:val="00077439"/>
    <w:rsid w:val="00091FBD"/>
    <w:rsid w:val="00093D73"/>
    <w:rsid w:val="000967ED"/>
    <w:rsid w:val="000A254A"/>
    <w:rsid w:val="000A5E33"/>
    <w:rsid w:val="000B4048"/>
    <w:rsid w:val="000C5A32"/>
    <w:rsid w:val="000D246D"/>
    <w:rsid w:val="000E2170"/>
    <w:rsid w:val="000E5AEE"/>
    <w:rsid w:val="000F2731"/>
    <w:rsid w:val="001045FA"/>
    <w:rsid w:val="001058D0"/>
    <w:rsid w:val="00105ADB"/>
    <w:rsid w:val="00106CBE"/>
    <w:rsid w:val="00111E1D"/>
    <w:rsid w:val="00120212"/>
    <w:rsid w:val="0012437B"/>
    <w:rsid w:val="00132C19"/>
    <w:rsid w:val="00140AB3"/>
    <w:rsid w:val="001510FE"/>
    <w:rsid w:val="00160367"/>
    <w:rsid w:val="00160CDF"/>
    <w:rsid w:val="001678AC"/>
    <w:rsid w:val="001718F2"/>
    <w:rsid w:val="001859C2"/>
    <w:rsid w:val="001A7379"/>
    <w:rsid w:val="001A7D06"/>
    <w:rsid w:val="001C0E50"/>
    <w:rsid w:val="001C1DD5"/>
    <w:rsid w:val="001D281E"/>
    <w:rsid w:val="001D2CCD"/>
    <w:rsid w:val="001E5563"/>
    <w:rsid w:val="001E55A2"/>
    <w:rsid w:val="001E5693"/>
    <w:rsid w:val="001F312C"/>
    <w:rsid w:val="001F484D"/>
    <w:rsid w:val="00211456"/>
    <w:rsid w:val="00227DCC"/>
    <w:rsid w:val="00244B07"/>
    <w:rsid w:val="00247AD2"/>
    <w:rsid w:val="00251E3F"/>
    <w:rsid w:val="002556F0"/>
    <w:rsid w:val="00256A48"/>
    <w:rsid w:val="00280896"/>
    <w:rsid w:val="00287DB3"/>
    <w:rsid w:val="002A1407"/>
    <w:rsid w:val="002A1FD4"/>
    <w:rsid w:val="002B682A"/>
    <w:rsid w:val="002C67B2"/>
    <w:rsid w:val="002E0853"/>
    <w:rsid w:val="002F3DA7"/>
    <w:rsid w:val="002F437A"/>
    <w:rsid w:val="00300910"/>
    <w:rsid w:val="00313C9F"/>
    <w:rsid w:val="003157F9"/>
    <w:rsid w:val="00331B6F"/>
    <w:rsid w:val="0036715B"/>
    <w:rsid w:val="00372C03"/>
    <w:rsid w:val="00374B97"/>
    <w:rsid w:val="00382845"/>
    <w:rsid w:val="003868BB"/>
    <w:rsid w:val="00386ECC"/>
    <w:rsid w:val="003926AC"/>
    <w:rsid w:val="00393DCE"/>
    <w:rsid w:val="003A29E7"/>
    <w:rsid w:val="003C2A9C"/>
    <w:rsid w:val="003C55F1"/>
    <w:rsid w:val="003D572C"/>
    <w:rsid w:val="003E0728"/>
    <w:rsid w:val="003E4B19"/>
    <w:rsid w:val="003F2DCC"/>
    <w:rsid w:val="003F3FE6"/>
    <w:rsid w:val="004027EB"/>
    <w:rsid w:val="004046AA"/>
    <w:rsid w:val="00404F1C"/>
    <w:rsid w:val="00412B68"/>
    <w:rsid w:val="004202FF"/>
    <w:rsid w:val="004307B8"/>
    <w:rsid w:val="00434700"/>
    <w:rsid w:val="004353EC"/>
    <w:rsid w:val="0043780F"/>
    <w:rsid w:val="0044432E"/>
    <w:rsid w:val="00445F39"/>
    <w:rsid w:val="00451B0A"/>
    <w:rsid w:val="00454A1A"/>
    <w:rsid w:val="00464F97"/>
    <w:rsid w:val="004709AE"/>
    <w:rsid w:val="0047577B"/>
    <w:rsid w:val="004760B3"/>
    <w:rsid w:val="00480407"/>
    <w:rsid w:val="0048616D"/>
    <w:rsid w:val="00495E86"/>
    <w:rsid w:val="004967BA"/>
    <w:rsid w:val="00496E7D"/>
    <w:rsid w:val="004A56A1"/>
    <w:rsid w:val="004B05EB"/>
    <w:rsid w:val="004C1ACA"/>
    <w:rsid w:val="004C2789"/>
    <w:rsid w:val="004C3F91"/>
    <w:rsid w:val="004C46FC"/>
    <w:rsid w:val="004E064F"/>
    <w:rsid w:val="004E5AE5"/>
    <w:rsid w:val="004F0442"/>
    <w:rsid w:val="0050099C"/>
    <w:rsid w:val="00515AE9"/>
    <w:rsid w:val="00515B62"/>
    <w:rsid w:val="00521EBE"/>
    <w:rsid w:val="00522E98"/>
    <w:rsid w:val="0053686B"/>
    <w:rsid w:val="005447EC"/>
    <w:rsid w:val="00547164"/>
    <w:rsid w:val="0056077D"/>
    <w:rsid w:val="00567226"/>
    <w:rsid w:val="005679AA"/>
    <w:rsid w:val="005706D2"/>
    <w:rsid w:val="00586555"/>
    <w:rsid w:val="005875A4"/>
    <w:rsid w:val="005A433D"/>
    <w:rsid w:val="005B092F"/>
    <w:rsid w:val="005B17EB"/>
    <w:rsid w:val="005D4B3F"/>
    <w:rsid w:val="005E0F63"/>
    <w:rsid w:val="005E6C88"/>
    <w:rsid w:val="005F00EB"/>
    <w:rsid w:val="005F107D"/>
    <w:rsid w:val="005F1D36"/>
    <w:rsid w:val="005F5542"/>
    <w:rsid w:val="00604426"/>
    <w:rsid w:val="00606393"/>
    <w:rsid w:val="006225D9"/>
    <w:rsid w:val="00642687"/>
    <w:rsid w:val="00665C7F"/>
    <w:rsid w:val="00672714"/>
    <w:rsid w:val="00672C2E"/>
    <w:rsid w:val="00677137"/>
    <w:rsid w:val="00677713"/>
    <w:rsid w:val="0069046E"/>
    <w:rsid w:val="006915E9"/>
    <w:rsid w:val="006A0585"/>
    <w:rsid w:val="006B07C6"/>
    <w:rsid w:val="006C762C"/>
    <w:rsid w:val="006D0616"/>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0B09"/>
    <w:rsid w:val="00772344"/>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24ED3"/>
    <w:rsid w:val="0084290E"/>
    <w:rsid w:val="00861535"/>
    <w:rsid w:val="0086273D"/>
    <w:rsid w:val="00875BC1"/>
    <w:rsid w:val="00876891"/>
    <w:rsid w:val="00877919"/>
    <w:rsid w:val="008806FF"/>
    <w:rsid w:val="008842C6"/>
    <w:rsid w:val="00891C1C"/>
    <w:rsid w:val="008A165E"/>
    <w:rsid w:val="008B2193"/>
    <w:rsid w:val="008B23EF"/>
    <w:rsid w:val="008B54E0"/>
    <w:rsid w:val="008C199A"/>
    <w:rsid w:val="009102B3"/>
    <w:rsid w:val="00910FA2"/>
    <w:rsid w:val="009118A6"/>
    <w:rsid w:val="00943E49"/>
    <w:rsid w:val="0094424A"/>
    <w:rsid w:val="009539AE"/>
    <w:rsid w:val="00972D45"/>
    <w:rsid w:val="00976588"/>
    <w:rsid w:val="00976C5F"/>
    <w:rsid w:val="00985EC6"/>
    <w:rsid w:val="00987378"/>
    <w:rsid w:val="009920AD"/>
    <w:rsid w:val="0099421F"/>
    <w:rsid w:val="00997B75"/>
    <w:rsid w:val="009B6CC2"/>
    <w:rsid w:val="009C0114"/>
    <w:rsid w:val="009D16AA"/>
    <w:rsid w:val="009E59EB"/>
    <w:rsid w:val="009E6763"/>
    <w:rsid w:val="00A06486"/>
    <w:rsid w:val="00A11D8E"/>
    <w:rsid w:val="00A21258"/>
    <w:rsid w:val="00A265A0"/>
    <w:rsid w:val="00A41E85"/>
    <w:rsid w:val="00A52B74"/>
    <w:rsid w:val="00A66BE5"/>
    <w:rsid w:val="00A95C0E"/>
    <w:rsid w:val="00AA3023"/>
    <w:rsid w:val="00AA4D96"/>
    <w:rsid w:val="00AB125B"/>
    <w:rsid w:val="00AB3973"/>
    <w:rsid w:val="00AB4F8F"/>
    <w:rsid w:val="00AC2098"/>
    <w:rsid w:val="00AD1198"/>
    <w:rsid w:val="00AD7DEA"/>
    <w:rsid w:val="00AE6BC5"/>
    <w:rsid w:val="00AF2611"/>
    <w:rsid w:val="00AF2766"/>
    <w:rsid w:val="00AF59AF"/>
    <w:rsid w:val="00B105F1"/>
    <w:rsid w:val="00B20D55"/>
    <w:rsid w:val="00B307C0"/>
    <w:rsid w:val="00B3112B"/>
    <w:rsid w:val="00B35443"/>
    <w:rsid w:val="00B4027C"/>
    <w:rsid w:val="00B40681"/>
    <w:rsid w:val="00B5279C"/>
    <w:rsid w:val="00B76C26"/>
    <w:rsid w:val="00B87C17"/>
    <w:rsid w:val="00B90686"/>
    <w:rsid w:val="00B96C7E"/>
    <w:rsid w:val="00B97936"/>
    <w:rsid w:val="00BA2D0A"/>
    <w:rsid w:val="00BA2EF2"/>
    <w:rsid w:val="00BB0ADA"/>
    <w:rsid w:val="00BB36E2"/>
    <w:rsid w:val="00BB3E98"/>
    <w:rsid w:val="00BC283A"/>
    <w:rsid w:val="00BD2D68"/>
    <w:rsid w:val="00BD773A"/>
    <w:rsid w:val="00BE065F"/>
    <w:rsid w:val="00BE62B9"/>
    <w:rsid w:val="00BF032E"/>
    <w:rsid w:val="00BF0D5E"/>
    <w:rsid w:val="00C15C0D"/>
    <w:rsid w:val="00C245AC"/>
    <w:rsid w:val="00C43A50"/>
    <w:rsid w:val="00C46790"/>
    <w:rsid w:val="00C50C30"/>
    <w:rsid w:val="00C5543A"/>
    <w:rsid w:val="00C562EA"/>
    <w:rsid w:val="00C713F5"/>
    <w:rsid w:val="00C73408"/>
    <w:rsid w:val="00C73E31"/>
    <w:rsid w:val="00C77FE4"/>
    <w:rsid w:val="00C86E67"/>
    <w:rsid w:val="00C91EEF"/>
    <w:rsid w:val="00C95A69"/>
    <w:rsid w:val="00C96772"/>
    <w:rsid w:val="00CA2FB4"/>
    <w:rsid w:val="00CA3C73"/>
    <w:rsid w:val="00CB6314"/>
    <w:rsid w:val="00CC520F"/>
    <w:rsid w:val="00CD2E38"/>
    <w:rsid w:val="00CD7C3B"/>
    <w:rsid w:val="00CE4300"/>
    <w:rsid w:val="00CE5D91"/>
    <w:rsid w:val="00D05662"/>
    <w:rsid w:val="00D05A32"/>
    <w:rsid w:val="00D22D34"/>
    <w:rsid w:val="00D27B93"/>
    <w:rsid w:val="00D471E5"/>
    <w:rsid w:val="00D52168"/>
    <w:rsid w:val="00D61251"/>
    <w:rsid w:val="00D62DEA"/>
    <w:rsid w:val="00D65810"/>
    <w:rsid w:val="00D7585D"/>
    <w:rsid w:val="00D90171"/>
    <w:rsid w:val="00D95D2A"/>
    <w:rsid w:val="00DB50EE"/>
    <w:rsid w:val="00DB5AB6"/>
    <w:rsid w:val="00DD5D3A"/>
    <w:rsid w:val="00DF0E65"/>
    <w:rsid w:val="00DF39AF"/>
    <w:rsid w:val="00DF6DA7"/>
    <w:rsid w:val="00E018DC"/>
    <w:rsid w:val="00E05521"/>
    <w:rsid w:val="00E075E7"/>
    <w:rsid w:val="00E22EB2"/>
    <w:rsid w:val="00E24639"/>
    <w:rsid w:val="00E24EC1"/>
    <w:rsid w:val="00E352AC"/>
    <w:rsid w:val="00E454C6"/>
    <w:rsid w:val="00E53A80"/>
    <w:rsid w:val="00E66C20"/>
    <w:rsid w:val="00E80126"/>
    <w:rsid w:val="00E84A72"/>
    <w:rsid w:val="00E85228"/>
    <w:rsid w:val="00EA1575"/>
    <w:rsid w:val="00EA7C06"/>
    <w:rsid w:val="00EB5D9A"/>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E77D9"/>
  <w15:chartTrackingRefBased/>
  <w15:docId w15:val="{F6778D64-622B-48C9-BD5F-C8FE44F2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link w:val="Heading1Char"/>
    <w:autoRedefine/>
    <w:uiPriority w:val="99"/>
    <w:qFormat/>
    <w:rsid w:val="00B87C17"/>
    <w:pPr>
      <w:keepNext/>
      <w:spacing w:after="240"/>
      <w:outlineLvl w:val="0"/>
    </w:pPr>
    <w:rPr>
      <w:rFonts w:cs="Arial"/>
      <w:b/>
      <w:bCs/>
      <w:kern w:val="32"/>
      <w:sz w:val="44"/>
      <w:szCs w:val="32"/>
    </w:rPr>
  </w:style>
  <w:style w:type="paragraph" w:styleId="Heading2">
    <w:name w:val="heading 2"/>
    <w:basedOn w:val="Normal"/>
    <w:next w:val="Normal"/>
    <w:link w:val="Heading2Char"/>
    <w:autoRedefine/>
    <w:uiPriority w:val="99"/>
    <w:qFormat/>
    <w:rsid w:val="00B87C17"/>
    <w:pPr>
      <w:keepNext/>
      <w:spacing w:before="240" w:after="240"/>
      <w:outlineLvl w:val="1"/>
    </w:pPr>
    <w:rPr>
      <w:rFonts w:cs="Arial"/>
      <w:b/>
      <w:bCs/>
      <w:iCs/>
      <w:sz w:val="36"/>
      <w:szCs w:val="28"/>
    </w:rPr>
  </w:style>
  <w:style w:type="paragraph" w:styleId="Heading3">
    <w:name w:val="heading 3"/>
    <w:basedOn w:val="Normal"/>
    <w:next w:val="Normal"/>
    <w:link w:val="Heading3Char"/>
    <w:autoRedefine/>
    <w:uiPriority w:val="99"/>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link w:val="Heading4Char"/>
    <w:uiPriority w:val="99"/>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1D281E"/>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link w:val="BodyTextChar"/>
    <w:uiPriority w:val="99"/>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uiPriority w:val="99"/>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uiPriority w:val="99"/>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uiPriority w:val="39"/>
    <w:rsid w:val="000F2731"/>
    <w:pPr>
      <w:tabs>
        <w:tab w:val="clear" w:pos="1066"/>
      </w:tabs>
    </w:pPr>
  </w:style>
  <w:style w:type="paragraph" w:styleId="TOC2">
    <w:name w:val="toc 2"/>
    <w:basedOn w:val="Normal"/>
    <w:next w:val="Normal"/>
    <w:autoRedefine/>
    <w:uiPriority w:val="39"/>
    <w:rsid w:val="000F2731"/>
    <w:pPr>
      <w:tabs>
        <w:tab w:val="clear" w:pos="1066"/>
      </w:tabs>
      <w:ind w:left="240"/>
    </w:pPr>
  </w:style>
  <w:style w:type="paragraph" w:styleId="TOC3">
    <w:name w:val="toc 3"/>
    <w:basedOn w:val="Normal"/>
    <w:next w:val="Normal"/>
    <w:autoRedefine/>
    <w:uiPriority w:val="39"/>
    <w:rsid w:val="000F2731"/>
    <w:pPr>
      <w:tabs>
        <w:tab w:val="clear" w:pos="1066"/>
      </w:tabs>
      <w:ind w:left="480"/>
    </w:pPr>
  </w:style>
  <w:style w:type="paragraph" w:styleId="TOC4">
    <w:name w:val="toc 4"/>
    <w:basedOn w:val="Normal"/>
    <w:next w:val="Normal"/>
    <w:autoRedefine/>
    <w:uiPriority w:val="39"/>
    <w:rsid w:val="000F2731"/>
    <w:pPr>
      <w:tabs>
        <w:tab w:val="clear" w:pos="1066"/>
      </w:tabs>
      <w:ind w:left="720"/>
    </w:pPr>
  </w:style>
  <w:style w:type="paragraph" w:styleId="TOC5">
    <w:name w:val="toc 5"/>
    <w:basedOn w:val="Normal"/>
    <w:next w:val="Normal"/>
    <w:autoRedefine/>
    <w:uiPriority w:val="39"/>
    <w:rsid w:val="000F2731"/>
    <w:pPr>
      <w:tabs>
        <w:tab w:val="clear" w:pos="1066"/>
      </w:tabs>
      <w:ind w:left="960"/>
    </w:pPr>
  </w:style>
  <w:style w:type="paragraph" w:styleId="TOC6">
    <w:name w:val="toc 6"/>
    <w:basedOn w:val="Normal"/>
    <w:next w:val="Normal"/>
    <w:autoRedefine/>
    <w:uiPriority w:val="39"/>
    <w:rsid w:val="000F2731"/>
    <w:pPr>
      <w:tabs>
        <w:tab w:val="clear" w:pos="1066"/>
      </w:tabs>
      <w:ind w:left="1200"/>
    </w:pPr>
  </w:style>
  <w:style w:type="paragraph" w:styleId="TOC7">
    <w:name w:val="toc 7"/>
    <w:basedOn w:val="Normal"/>
    <w:next w:val="Normal"/>
    <w:autoRedefine/>
    <w:uiPriority w:val="39"/>
    <w:rsid w:val="000F2731"/>
    <w:pPr>
      <w:tabs>
        <w:tab w:val="clear" w:pos="1066"/>
      </w:tabs>
      <w:ind w:left="1440"/>
    </w:pPr>
  </w:style>
  <w:style w:type="paragraph" w:styleId="TOC8">
    <w:name w:val="toc 8"/>
    <w:basedOn w:val="Normal"/>
    <w:next w:val="Normal"/>
    <w:autoRedefine/>
    <w:uiPriority w:val="39"/>
    <w:rsid w:val="000F2731"/>
    <w:pPr>
      <w:tabs>
        <w:tab w:val="clear" w:pos="1066"/>
      </w:tabs>
      <w:ind w:left="1680"/>
    </w:pPr>
  </w:style>
  <w:style w:type="paragraph" w:styleId="TOC9">
    <w:name w:val="toc 9"/>
    <w:basedOn w:val="Normal"/>
    <w:next w:val="Normal"/>
    <w:autoRedefine/>
    <w:uiPriority w:val="39"/>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paragraph" w:customStyle="1" w:styleId="Intropara">
    <w:name w:val="Intro para"/>
    <w:basedOn w:val="Normal"/>
    <w:uiPriority w:val="99"/>
    <w:rsid w:val="00077439"/>
    <w:pPr>
      <w:widowControl w:val="0"/>
      <w:pBdr>
        <w:top w:val="single" w:sz="6" w:space="28" w:color="000000"/>
        <w:bottom w:val="single" w:sz="6" w:space="14" w:color="000000"/>
      </w:pBdr>
      <w:tabs>
        <w:tab w:val="clear" w:pos="1066"/>
      </w:tabs>
      <w:suppressAutoHyphens/>
      <w:autoSpaceDE w:val="0"/>
      <w:autoSpaceDN w:val="0"/>
      <w:adjustRightInd w:val="0"/>
      <w:spacing w:before="567" w:after="567" w:line="288" w:lineRule="auto"/>
      <w:textAlignment w:val="center"/>
    </w:pPr>
    <w:rPr>
      <w:rFonts w:ascii="Roboto-Regular" w:eastAsiaTheme="minorEastAsia" w:hAnsi="Roboto-Regular" w:cs="Roboto-Regular"/>
      <w:color w:val="000000"/>
      <w:sz w:val="26"/>
      <w:szCs w:val="26"/>
      <w:lang w:val="en-GB" w:eastAsia="en-AU"/>
      <w14:ligatures w14:val="standardContextual"/>
    </w:rPr>
  </w:style>
  <w:style w:type="paragraph" w:customStyle="1" w:styleId="FigureHeader">
    <w:name w:val="Figure Header"/>
    <w:basedOn w:val="Normal"/>
    <w:uiPriority w:val="99"/>
    <w:rsid w:val="00077439"/>
    <w:pPr>
      <w:keepNext/>
      <w:widowControl w:val="0"/>
      <w:tabs>
        <w:tab w:val="clear" w:pos="1066"/>
      </w:tabs>
      <w:suppressAutoHyphens/>
      <w:autoSpaceDE w:val="0"/>
      <w:autoSpaceDN w:val="0"/>
      <w:adjustRightInd w:val="0"/>
      <w:spacing w:before="57" w:line="288" w:lineRule="auto"/>
      <w:textAlignment w:val="center"/>
    </w:pPr>
    <w:rPr>
      <w:rFonts w:ascii="Roboto-Bold" w:eastAsiaTheme="minorEastAsia" w:hAnsi="Roboto-Bold" w:cs="Roboto-Bold"/>
      <w:b/>
      <w:bCs/>
      <w:color w:val="000000"/>
      <w:sz w:val="19"/>
      <w:szCs w:val="19"/>
      <w:lang w:val="en-GB" w:eastAsia="en-AU"/>
      <w14:ligatures w14:val="standardContextual"/>
    </w:rPr>
  </w:style>
  <w:style w:type="paragraph" w:customStyle="1" w:styleId="FigureHeadernocount">
    <w:name w:val="Figure Header (no count)"/>
    <w:basedOn w:val="FigureHeader"/>
    <w:uiPriority w:val="99"/>
    <w:rsid w:val="00077439"/>
  </w:style>
  <w:style w:type="paragraph" w:customStyle="1" w:styleId="Footnote">
    <w:name w:val="Footnote"/>
    <w:basedOn w:val="Normal"/>
    <w:uiPriority w:val="99"/>
    <w:rsid w:val="00077439"/>
    <w:pPr>
      <w:widowControl w:val="0"/>
      <w:tabs>
        <w:tab w:val="clear" w:pos="1066"/>
      </w:tabs>
      <w:suppressAutoHyphens/>
      <w:autoSpaceDE w:val="0"/>
      <w:autoSpaceDN w:val="0"/>
      <w:adjustRightInd w:val="0"/>
      <w:spacing w:after="57" w:line="288" w:lineRule="auto"/>
      <w:ind w:left="283" w:hanging="283"/>
      <w:textAlignment w:val="center"/>
    </w:pPr>
    <w:rPr>
      <w:rFonts w:ascii="Roboto-Regular" w:eastAsiaTheme="minorEastAsia" w:hAnsi="Roboto-Regular" w:cs="Roboto-Regular"/>
      <w:color w:val="000000"/>
      <w:sz w:val="16"/>
      <w:szCs w:val="16"/>
      <w:lang w:val="en-GB" w:eastAsia="en-AU"/>
      <w14:ligatures w14:val="standardContextual"/>
    </w:rPr>
  </w:style>
  <w:style w:type="character" w:customStyle="1" w:styleId="Bold">
    <w:name w:val="Bold"/>
    <w:uiPriority w:val="99"/>
    <w:rsid w:val="00077439"/>
    <w:rPr>
      <w:b/>
      <w:bCs/>
      <w:color w:val="000000"/>
    </w:rPr>
  </w:style>
  <w:style w:type="character" w:customStyle="1" w:styleId="Italic">
    <w:name w:val="Italic"/>
    <w:uiPriority w:val="99"/>
    <w:rsid w:val="00077439"/>
    <w:rPr>
      <w:i/>
      <w:iCs/>
    </w:rPr>
  </w:style>
  <w:style w:type="paragraph" w:customStyle="1" w:styleId="Bullets1">
    <w:name w:val="Bullets 1"/>
    <w:basedOn w:val="Normal"/>
    <w:uiPriority w:val="99"/>
    <w:rsid w:val="00077439"/>
    <w:pPr>
      <w:widowControl w:val="0"/>
      <w:tabs>
        <w:tab w:val="clear" w:pos="1066"/>
        <w:tab w:val="left" w:pos="283"/>
      </w:tabs>
      <w:suppressAutoHyphens/>
      <w:autoSpaceDE w:val="0"/>
      <w:autoSpaceDN w:val="0"/>
      <w:adjustRightInd w:val="0"/>
      <w:spacing w:after="57" w:line="288" w:lineRule="auto"/>
      <w:ind w:left="283" w:hanging="283"/>
      <w:textAlignment w:val="center"/>
    </w:pPr>
    <w:rPr>
      <w:rFonts w:ascii="Roboto-Regular" w:eastAsiaTheme="minorEastAsia" w:hAnsi="Roboto-Regular" w:cs="Roboto-Regular"/>
      <w:color w:val="000000"/>
      <w:sz w:val="19"/>
      <w:szCs w:val="19"/>
      <w:lang w:val="en-GB" w:eastAsia="en-AU"/>
      <w14:ligatures w14:val="standardContextual"/>
    </w:rPr>
  </w:style>
  <w:style w:type="paragraph" w:customStyle="1" w:styleId="Bullet1last">
    <w:name w:val="Bullet 1 last"/>
    <w:basedOn w:val="Bullets1"/>
    <w:uiPriority w:val="99"/>
    <w:rsid w:val="00077439"/>
    <w:pPr>
      <w:spacing w:after="170"/>
    </w:pPr>
  </w:style>
  <w:style w:type="paragraph" w:customStyle="1" w:styleId="NoParagraphStyle">
    <w:name w:val="[No Paragraph Style]"/>
    <w:rsid w:val="00DD5D3A"/>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14:ligatures w14:val="standardContextual"/>
    </w:rPr>
  </w:style>
  <w:style w:type="character" w:customStyle="1" w:styleId="Heading1Char">
    <w:name w:val="Heading 1 Char"/>
    <w:basedOn w:val="DefaultParagraphFont"/>
    <w:link w:val="Heading1"/>
    <w:uiPriority w:val="99"/>
    <w:rsid w:val="00DD5D3A"/>
    <w:rPr>
      <w:rFonts w:ascii="Arial" w:hAnsi="Arial" w:cs="Arial"/>
      <w:b/>
      <w:bCs/>
      <w:kern w:val="32"/>
      <w:sz w:val="44"/>
      <w:szCs w:val="32"/>
      <w:lang w:eastAsia="en-US"/>
    </w:rPr>
  </w:style>
  <w:style w:type="character" w:customStyle="1" w:styleId="BodyTextChar">
    <w:name w:val="Body Text Char"/>
    <w:basedOn w:val="DefaultParagraphFont"/>
    <w:link w:val="BodyText"/>
    <w:uiPriority w:val="99"/>
    <w:rsid w:val="00DD5D3A"/>
    <w:rPr>
      <w:rFonts w:ascii="Arial" w:hAnsi="Arial"/>
      <w:sz w:val="24"/>
      <w:szCs w:val="24"/>
      <w:lang w:eastAsia="en-US"/>
    </w:rPr>
  </w:style>
  <w:style w:type="character" w:customStyle="1" w:styleId="Heading2Char">
    <w:name w:val="Heading 2 Char"/>
    <w:basedOn w:val="DefaultParagraphFont"/>
    <w:link w:val="Heading2"/>
    <w:uiPriority w:val="99"/>
    <w:rsid w:val="00DD5D3A"/>
    <w:rPr>
      <w:rFonts w:ascii="Arial" w:hAnsi="Arial" w:cs="Arial"/>
      <w:b/>
      <w:bCs/>
      <w:iCs/>
      <w:sz w:val="36"/>
      <w:szCs w:val="28"/>
      <w:lang w:eastAsia="en-US"/>
    </w:rPr>
  </w:style>
  <w:style w:type="character" w:customStyle="1" w:styleId="Heading3Char">
    <w:name w:val="Heading 3 Char"/>
    <w:basedOn w:val="DefaultParagraphFont"/>
    <w:link w:val="Heading3"/>
    <w:uiPriority w:val="99"/>
    <w:rsid w:val="00DD5D3A"/>
    <w:rPr>
      <w:rFonts w:ascii="Arial" w:hAnsi="Arial" w:cs="Arial"/>
      <w:b/>
      <w:bCs/>
      <w:sz w:val="32"/>
      <w:szCs w:val="26"/>
      <w:lang w:eastAsia="en-US"/>
    </w:rPr>
  </w:style>
  <w:style w:type="paragraph" w:customStyle="1" w:styleId="Bullets2">
    <w:name w:val="Bullets 2"/>
    <w:basedOn w:val="NoParagraphStyle"/>
    <w:uiPriority w:val="99"/>
    <w:rsid w:val="00DD5D3A"/>
    <w:pPr>
      <w:tabs>
        <w:tab w:val="left" w:pos="283"/>
      </w:tabs>
      <w:suppressAutoHyphens/>
      <w:spacing w:after="57"/>
      <w:ind w:left="567" w:hanging="283"/>
    </w:pPr>
    <w:rPr>
      <w:rFonts w:ascii="Roboto-Regular" w:hAnsi="Roboto-Regular" w:cs="Roboto-Regular"/>
      <w:sz w:val="19"/>
      <w:szCs w:val="19"/>
      <w:lang w:val="en-GB"/>
    </w:rPr>
  </w:style>
  <w:style w:type="paragraph" w:customStyle="1" w:styleId="Bullets2last">
    <w:name w:val="Bullets 2 last"/>
    <w:basedOn w:val="NoParagraphStyle"/>
    <w:uiPriority w:val="99"/>
    <w:rsid w:val="00DD5D3A"/>
    <w:pPr>
      <w:tabs>
        <w:tab w:val="left" w:pos="283"/>
      </w:tabs>
      <w:suppressAutoHyphens/>
      <w:spacing w:after="170"/>
      <w:ind w:left="567" w:hanging="283"/>
    </w:pPr>
    <w:rPr>
      <w:rFonts w:ascii="Roboto-Regular" w:hAnsi="Roboto-Regular" w:cs="Roboto-Regular"/>
      <w:sz w:val="19"/>
      <w:szCs w:val="19"/>
      <w:lang w:val="en-GB"/>
    </w:rPr>
  </w:style>
  <w:style w:type="paragraph" w:customStyle="1" w:styleId="Footnotenoindent">
    <w:name w:val="Footnote no indent"/>
    <w:basedOn w:val="NoParagraphStyle"/>
    <w:uiPriority w:val="99"/>
    <w:rsid w:val="00DD5D3A"/>
    <w:pPr>
      <w:suppressAutoHyphens/>
      <w:spacing w:after="57"/>
    </w:pPr>
    <w:rPr>
      <w:rFonts w:ascii="Roboto-Regular" w:hAnsi="Roboto-Regular" w:cs="Roboto-Regular"/>
      <w:sz w:val="16"/>
      <w:szCs w:val="16"/>
      <w:lang w:val="en-GB"/>
    </w:rPr>
  </w:style>
  <w:style w:type="paragraph" w:customStyle="1" w:styleId="TableHeader">
    <w:name w:val="Table Header"/>
    <w:basedOn w:val="BodyText"/>
    <w:uiPriority w:val="99"/>
    <w:rsid w:val="00DD5D3A"/>
    <w:pPr>
      <w:widowControl w:val="0"/>
      <w:tabs>
        <w:tab w:val="clear" w:pos="1066"/>
      </w:tabs>
      <w:suppressAutoHyphens/>
      <w:autoSpaceDE w:val="0"/>
      <w:autoSpaceDN w:val="0"/>
      <w:adjustRightInd w:val="0"/>
      <w:spacing w:before="0" w:after="0" w:line="288" w:lineRule="auto"/>
      <w:jc w:val="right"/>
      <w:textAlignment w:val="center"/>
    </w:pPr>
    <w:rPr>
      <w:rFonts w:ascii="Roboto-Bold" w:eastAsiaTheme="minorEastAsia" w:hAnsi="Roboto-Bold" w:cs="Roboto-Bold"/>
      <w:b/>
      <w:bCs/>
      <w:color w:val="000000"/>
      <w:sz w:val="19"/>
      <w:szCs w:val="19"/>
      <w:lang w:val="en-GB" w:eastAsia="en-AU"/>
      <w14:ligatures w14:val="standardContextual"/>
    </w:rPr>
  </w:style>
  <w:style w:type="paragraph" w:customStyle="1" w:styleId="Tabletext-LHS">
    <w:name w:val="Table text - LHS"/>
    <w:basedOn w:val="NoParagraphStyle"/>
    <w:uiPriority w:val="99"/>
    <w:rsid w:val="00DD5D3A"/>
    <w:pPr>
      <w:suppressAutoHyphens/>
      <w:spacing w:after="170"/>
    </w:pPr>
    <w:rPr>
      <w:rFonts w:ascii="Roboto-Regular" w:hAnsi="Roboto-Regular" w:cs="Roboto-Regular"/>
      <w:sz w:val="19"/>
      <w:szCs w:val="19"/>
      <w:lang w:val="en-GB"/>
    </w:rPr>
  </w:style>
  <w:style w:type="paragraph" w:customStyle="1" w:styleId="Tabletext-RHS">
    <w:name w:val="Table text - RHS"/>
    <w:basedOn w:val="BodyText"/>
    <w:uiPriority w:val="99"/>
    <w:rsid w:val="00DD5D3A"/>
    <w:pPr>
      <w:widowControl w:val="0"/>
      <w:tabs>
        <w:tab w:val="clear" w:pos="1066"/>
      </w:tabs>
      <w:suppressAutoHyphens/>
      <w:autoSpaceDE w:val="0"/>
      <w:autoSpaceDN w:val="0"/>
      <w:adjustRightInd w:val="0"/>
      <w:spacing w:before="0" w:after="170" w:line="288" w:lineRule="auto"/>
      <w:jc w:val="right"/>
      <w:textAlignment w:val="center"/>
    </w:pPr>
    <w:rPr>
      <w:rFonts w:ascii="Roboto-Regular" w:eastAsiaTheme="minorEastAsia" w:hAnsi="Roboto-Regular" w:cs="Roboto-Regular"/>
      <w:color w:val="000000"/>
      <w:sz w:val="19"/>
      <w:szCs w:val="19"/>
      <w:lang w:val="en-GB" w:eastAsia="en-AU"/>
      <w14:ligatures w14:val="standardContextual"/>
    </w:rPr>
  </w:style>
  <w:style w:type="character" w:customStyle="1" w:styleId="Bulletcolour">
    <w:name w:val="Bullet colour"/>
    <w:uiPriority w:val="99"/>
    <w:rsid w:val="00DD5D3A"/>
    <w:rPr>
      <w:color w:val="000000"/>
    </w:rPr>
  </w:style>
  <w:style w:type="paragraph" w:styleId="Header">
    <w:name w:val="header"/>
    <w:basedOn w:val="Normal"/>
    <w:link w:val="HeaderChar"/>
    <w:uiPriority w:val="99"/>
    <w:unhideWhenUsed/>
    <w:rsid w:val="00160367"/>
    <w:pPr>
      <w:tabs>
        <w:tab w:val="clear" w:pos="1066"/>
        <w:tab w:val="center" w:pos="4513"/>
        <w:tab w:val="right" w:pos="9026"/>
      </w:tabs>
    </w:pPr>
  </w:style>
  <w:style w:type="character" w:customStyle="1" w:styleId="HeaderChar">
    <w:name w:val="Header Char"/>
    <w:basedOn w:val="DefaultParagraphFont"/>
    <w:link w:val="Header"/>
    <w:uiPriority w:val="99"/>
    <w:rsid w:val="00160367"/>
    <w:rPr>
      <w:rFonts w:ascii="Arial" w:hAnsi="Arial"/>
      <w:sz w:val="24"/>
      <w:szCs w:val="24"/>
      <w:lang w:eastAsia="en-US"/>
    </w:rPr>
  </w:style>
  <w:style w:type="paragraph" w:styleId="Footer">
    <w:name w:val="footer"/>
    <w:basedOn w:val="Normal"/>
    <w:link w:val="FooterChar"/>
    <w:uiPriority w:val="99"/>
    <w:unhideWhenUsed/>
    <w:rsid w:val="00160367"/>
    <w:pPr>
      <w:tabs>
        <w:tab w:val="clear" w:pos="1066"/>
        <w:tab w:val="center" w:pos="4513"/>
        <w:tab w:val="right" w:pos="9026"/>
      </w:tabs>
    </w:pPr>
  </w:style>
  <w:style w:type="character" w:customStyle="1" w:styleId="FooterChar">
    <w:name w:val="Footer Char"/>
    <w:basedOn w:val="DefaultParagraphFont"/>
    <w:link w:val="Footer"/>
    <w:uiPriority w:val="99"/>
    <w:rsid w:val="00160367"/>
    <w:rPr>
      <w:rFonts w:ascii="Arial" w:hAnsi="Arial"/>
      <w:sz w:val="24"/>
      <w:szCs w:val="24"/>
      <w:lang w:eastAsia="en-US"/>
    </w:rPr>
  </w:style>
  <w:style w:type="character" w:styleId="Hyperlink">
    <w:name w:val="Hyperlink"/>
    <w:basedOn w:val="DefaultParagraphFont"/>
    <w:uiPriority w:val="99"/>
    <w:unhideWhenUsed/>
    <w:rsid w:val="00D52168"/>
    <w:rPr>
      <w:color w:val="0563C1" w:themeColor="hyperlink"/>
      <w:u w:val="single"/>
    </w:rPr>
  </w:style>
  <w:style w:type="character" w:styleId="UnresolvedMention">
    <w:name w:val="Unresolved Mention"/>
    <w:basedOn w:val="DefaultParagraphFont"/>
    <w:uiPriority w:val="99"/>
    <w:semiHidden/>
    <w:unhideWhenUsed/>
    <w:rsid w:val="00D52168"/>
    <w:rPr>
      <w:color w:val="605E5C"/>
      <w:shd w:val="clear" w:color="auto" w:fill="E1DFDD"/>
    </w:rPr>
  </w:style>
  <w:style w:type="paragraph" w:customStyle="1" w:styleId="BasicParagraph">
    <w:name w:val="[Basic Paragraph]"/>
    <w:basedOn w:val="NoParagraphStyle"/>
    <w:uiPriority w:val="99"/>
    <w:rsid w:val="00D52168"/>
    <w:pPr>
      <w:widowControl/>
    </w:pPr>
    <w:rPr>
      <w:rFonts w:ascii="Roboto" w:eastAsia="Times New Roman" w:hAnsi="Roboto" w:cs="Times New Roman"/>
      <w:lang w:val="en-GB"/>
      <w14:ligatures w14:val="none"/>
    </w:rPr>
  </w:style>
  <w:style w:type="table" w:styleId="TableGridLight">
    <w:name w:val="Grid Table Light"/>
    <w:basedOn w:val="TableNormal"/>
    <w:uiPriority w:val="40"/>
    <w:rsid w:val="00C562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9"/>
    <w:rsid w:val="00247AD2"/>
    <w:rPr>
      <w:rFonts w:ascii="Arial" w:hAnsi="Arial"/>
      <w:b/>
      <w:bCs/>
      <w:sz w:val="28"/>
      <w:szCs w:val="28"/>
      <w:lang w:eastAsia="en-US"/>
    </w:rPr>
  </w:style>
  <w:style w:type="paragraph" w:customStyle="1" w:styleId="IndexBodyL1">
    <w:name w:val="Index Body L1"/>
    <w:basedOn w:val="NoParagraphStyle"/>
    <w:uiPriority w:val="99"/>
    <w:rsid w:val="00247AD2"/>
    <w:pPr>
      <w:tabs>
        <w:tab w:val="left" w:pos="283"/>
      </w:tabs>
      <w:suppressAutoHyphens/>
      <w:spacing w:before="6" w:after="14"/>
      <w:ind w:left="283" w:hanging="283"/>
    </w:pPr>
    <w:rPr>
      <w:rFonts w:ascii="Roboto-Regular" w:hAnsi="Roboto-Regular" w:cs="Roboto-Regular"/>
      <w:sz w:val="19"/>
      <w:szCs w:val="19"/>
    </w:rPr>
  </w:style>
  <w:style w:type="paragraph" w:customStyle="1" w:styleId="IndexBodyL2">
    <w:name w:val="Index Body L2"/>
    <w:basedOn w:val="NoParagraphStyle"/>
    <w:uiPriority w:val="99"/>
    <w:rsid w:val="00247AD2"/>
    <w:pPr>
      <w:tabs>
        <w:tab w:val="left" w:pos="283"/>
      </w:tabs>
      <w:suppressAutoHyphens/>
      <w:spacing w:before="6" w:after="14"/>
      <w:ind w:left="567" w:hanging="283"/>
    </w:pPr>
    <w:rPr>
      <w:rFonts w:ascii="Roboto-Regular" w:hAnsi="Roboto-Regular" w:cs="Roboto-Regular"/>
      <w:sz w:val="19"/>
      <w:szCs w:val="19"/>
    </w:rPr>
  </w:style>
  <w:style w:type="character" w:customStyle="1" w:styleId="01bodybold">
    <w:name w:val="01 body bold"/>
    <w:uiPriority w:val="99"/>
    <w:rsid w:val="00247AD2"/>
    <w:rPr>
      <w:b/>
      <w:bCs/>
      <w:color w:val="000000"/>
    </w:rPr>
  </w:style>
  <w:style w:type="paragraph" w:styleId="TOCHeading">
    <w:name w:val="TOC Heading"/>
    <w:basedOn w:val="Heading1"/>
    <w:next w:val="Normal"/>
    <w:uiPriority w:val="39"/>
    <w:unhideWhenUsed/>
    <w:qFormat/>
    <w:rsid w:val="001F484D"/>
    <w:pPr>
      <w:keepLines/>
      <w:tabs>
        <w:tab w:val="clear" w:pos="1066"/>
      </w:tabs>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va.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c1b9cb-fd43-40b1-9848-dc2637201129">
      <Terms xmlns="http://schemas.microsoft.com/office/infopath/2007/PartnerControls"/>
    </lcf76f155ced4ddcb4097134ff3c332f>
    <TaxCatchAll xmlns="c51aaf75-930a-414f-a991-bc765086d780" xsi:nil="true"/>
    <SharedWithUsers xmlns="c51aaf75-930a-414f-a991-bc765086d78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7" ma:contentTypeDescription="Create a new document." ma:contentTypeScope="" ma:versionID="4eb300bf61fe804a57e4c8b5f88d8296">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c1dd12833fb5532236c818396d0e67b0"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4D4B9-E08B-4D48-A803-7CFD2BE3E89A}">
  <ds:schemaRefs>
    <ds:schemaRef ds:uri="http://schemas.openxmlformats.org/officeDocument/2006/bibliography"/>
  </ds:schemaRefs>
</ds:datastoreItem>
</file>

<file path=customXml/itemProps2.xml><?xml version="1.0" encoding="utf-8"?>
<ds:datastoreItem xmlns:ds="http://schemas.openxmlformats.org/officeDocument/2006/customXml" ds:itemID="{16BC958C-541E-4291-AFF6-C0A0D07A8736}">
  <ds:schemaRefs>
    <ds:schemaRef ds:uri="http://schemas.microsoft.com/sharepoint/v3/contenttype/forms"/>
  </ds:schemaRefs>
</ds:datastoreItem>
</file>

<file path=customXml/itemProps3.xml><?xml version="1.0" encoding="utf-8"?>
<ds:datastoreItem xmlns:ds="http://schemas.openxmlformats.org/officeDocument/2006/customXml" ds:itemID="{4640E16D-AB05-41C2-A1B5-5FBCB66CA3B7}">
  <ds:schemaRefs>
    <ds:schemaRef ds:uri="http://schemas.microsoft.com/office/2006/metadata/properties"/>
    <ds:schemaRef ds:uri="http://schemas.microsoft.com/office/infopath/2007/PartnerControls"/>
    <ds:schemaRef ds:uri="http://schemas.microsoft.com/sharepoint/v3"/>
    <ds:schemaRef ds:uri="33c1b9cb-fd43-40b1-9848-dc2637201129"/>
    <ds:schemaRef ds:uri="c51aaf75-930a-414f-a991-bc765086d780"/>
  </ds:schemaRefs>
</ds:datastoreItem>
</file>

<file path=customXml/itemProps4.xml><?xml version="1.0" encoding="utf-8"?>
<ds:datastoreItem xmlns:ds="http://schemas.openxmlformats.org/officeDocument/2006/customXml" ds:itemID="{8144C8F1-E153-4835-8E0A-9B57F72BF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c1b9cb-fd43-40b1-9848-dc2637201129"/>
    <ds:schemaRef ds:uri="c51aaf75-930a-414f-a991-bc765086d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173</Pages>
  <Words>52675</Words>
  <Characters>300248</Characters>
  <Application>Microsoft Office Word</Application>
  <DocSecurity>0</DocSecurity>
  <Lines>2502</Lines>
  <Paragraphs>704</Paragraphs>
  <ScaleCrop>false</ScaleCrop>
  <HeadingPairs>
    <vt:vector size="2" baseType="variant">
      <vt:variant>
        <vt:lpstr>Title</vt:lpstr>
      </vt:variant>
      <vt:variant>
        <vt:i4>1</vt:i4>
      </vt:variant>
    </vt:vector>
  </HeadingPairs>
  <TitlesOfParts>
    <vt:vector size="1" baseType="lpstr">
      <vt:lpstr>Services Australia Annual Report 2024-25</vt:lpstr>
    </vt:vector>
  </TitlesOfParts>
  <Company/>
  <LinksUpToDate>false</LinksUpToDate>
  <CharactersWithSpaces>352219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Australia Annual Report 2024-25</dc:title>
  <dc:subject/>
  <dc:creator>Services Australia</dc:creator>
  <cp:keywords>8802.2510</cp:keywords>
  <dc:description/>
  <cp:revision>3</cp:revision>
  <dcterms:created xsi:type="dcterms:W3CDTF">2025-10-07T02:41:00Z</dcterms:created>
  <dcterms:modified xsi:type="dcterms:W3CDTF">2025-10-16T05:46:00Z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y fmtid="{D5CDD505-2E9C-101B-9397-08002B2CF9AE}" pid="3" name="MediaServiceImageTags">
    <vt:lpwstr/>
  </property>
  <property fmtid="{D5CDD505-2E9C-101B-9397-08002B2CF9AE}" pid="4" name="Order">
    <vt:r8>4625000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