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24CD0" w14:textId="77777777" w:rsidR="00A61223" w:rsidRDefault="00A61223" w:rsidP="00A61223">
      <w:pPr>
        <w:pStyle w:val="Heading1"/>
      </w:pPr>
      <w:r>
        <w:t>Australian Pension News</w:t>
      </w:r>
    </w:p>
    <w:p w14:paraId="79F536C7" w14:textId="70C99975" w:rsidR="00A61223" w:rsidRPr="00400D3F" w:rsidRDefault="00A61223" w:rsidP="00A61223">
      <w:pPr>
        <w:pStyle w:val="BodyText"/>
        <w:rPr>
          <w:rStyle w:val="Bodybold"/>
        </w:rPr>
      </w:pPr>
      <w:r w:rsidRPr="00400D3F">
        <w:rPr>
          <w:rStyle w:val="Bodybold"/>
        </w:rPr>
        <w:t>Issue 49</w:t>
      </w:r>
    </w:p>
    <w:p w14:paraId="68774BAA" w14:textId="77777777" w:rsidR="00400D3F" w:rsidRPr="00400D3F" w:rsidRDefault="00400D3F" w:rsidP="00400D3F">
      <w:pPr>
        <w:pStyle w:val="Heading2"/>
        <w:rPr>
          <w:lang w:val="en-US"/>
        </w:rPr>
      </w:pPr>
      <w:r w:rsidRPr="00400D3F">
        <w:rPr>
          <w:lang w:val="en-US"/>
        </w:rPr>
        <w:t xml:space="preserve">Contacting Centrelink using your online account </w:t>
      </w:r>
    </w:p>
    <w:p w14:paraId="439EABD9" w14:textId="77777777" w:rsidR="00400D3F" w:rsidRPr="00400D3F" w:rsidRDefault="00400D3F" w:rsidP="00400D3F">
      <w:pPr>
        <w:pStyle w:val="BodyText"/>
        <w:rPr>
          <w:lang w:val="en-US"/>
        </w:rPr>
      </w:pPr>
      <w:proofErr w:type="spellStart"/>
      <w:r w:rsidRPr="00400D3F">
        <w:rPr>
          <w:lang w:val="en-US"/>
        </w:rPr>
        <w:t>myGov</w:t>
      </w:r>
      <w:proofErr w:type="spellEnd"/>
      <w:r w:rsidRPr="00400D3F">
        <w:rPr>
          <w:lang w:val="en-US"/>
        </w:rPr>
        <w:t xml:space="preserve"> is a simple and secure way to access Australian Government services, such as Centrelink, online and in one place. You can manage most of your Centrelink information online saving you time and you may not have to call us. </w:t>
      </w:r>
    </w:p>
    <w:p w14:paraId="39337DAC" w14:textId="77777777" w:rsidR="00400D3F" w:rsidRPr="00400D3F" w:rsidRDefault="00400D3F" w:rsidP="00400D3F">
      <w:pPr>
        <w:pStyle w:val="BodyText"/>
        <w:rPr>
          <w:lang w:val="en-US"/>
        </w:rPr>
      </w:pPr>
      <w:r w:rsidRPr="00400D3F">
        <w:rPr>
          <w:lang w:val="en-US"/>
        </w:rPr>
        <w:t xml:space="preserve">To access Centrelink using </w:t>
      </w:r>
      <w:proofErr w:type="spellStart"/>
      <w:r w:rsidRPr="00400D3F">
        <w:rPr>
          <w:lang w:val="en-US"/>
        </w:rPr>
        <w:t>myGov</w:t>
      </w:r>
      <w:proofErr w:type="spellEnd"/>
      <w:r w:rsidRPr="00400D3F">
        <w:rPr>
          <w:lang w:val="en-US"/>
        </w:rPr>
        <w:t xml:space="preserve"> you will need to create a </w:t>
      </w:r>
      <w:proofErr w:type="spellStart"/>
      <w:r w:rsidRPr="00400D3F">
        <w:rPr>
          <w:lang w:val="en-US"/>
        </w:rPr>
        <w:t>myGov</w:t>
      </w:r>
      <w:proofErr w:type="spellEnd"/>
      <w:r w:rsidRPr="00400D3F">
        <w:rPr>
          <w:lang w:val="en-US"/>
        </w:rPr>
        <w:t xml:space="preserve"> account. Once you have created your </w:t>
      </w:r>
      <w:proofErr w:type="spellStart"/>
      <w:r w:rsidRPr="00400D3F">
        <w:rPr>
          <w:lang w:val="en-US"/>
        </w:rPr>
        <w:t>myGov</w:t>
      </w:r>
      <w:proofErr w:type="spellEnd"/>
      <w:r w:rsidRPr="00400D3F">
        <w:rPr>
          <w:lang w:val="en-US"/>
        </w:rPr>
        <w:t xml:space="preserve"> account you can link Centrelink to it. You generally need to verify your identity using documents such as an Australian passport. If you do not have the required documents, you can call us (see page 4</w:t>
      </w:r>
      <w:proofErr w:type="gramStart"/>
      <w:r w:rsidRPr="00400D3F">
        <w:rPr>
          <w:lang w:val="en-US"/>
        </w:rPr>
        <w:t>)</w:t>
      </w:r>
      <w:proofErr w:type="gramEnd"/>
      <w:r w:rsidRPr="00400D3F">
        <w:rPr>
          <w:lang w:val="en-US"/>
        </w:rPr>
        <w:t xml:space="preserve"> and we will help you. </w:t>
      </w:r>
    </w:p>
    <w:p w14:paraId="07690129" w14:textId="77777777" w:rsidR="00400D3F" w:rsidRPr="00400D3F" w:rsidRDefault="00400D3F" w:rsidP="00400D3F">
      <w:pPr>
        <w:pStyle w:val="BodyText"/>
        <w:rPr>
          <w:lang w:val="en-US"/>
        </w:rPr>
      </w:pPr>
      <w:r w:rsidRPr="00400D3F">
        <w:rPr>
          <w:lang w:val="en-US"/>
        </w:rPr>
        <w:t xml:space="preserve">You can use </w:t>
      </w:r>
      <w:proofErr w:type="spellStart"/>
      <w:r w:rsidRPr="00400D3F">
        <w:rPr>
          <w:lang w:val="en-US"/>
        </w:rPr>
        <w:t>myGov</w:t>
      </w:r>
      <w:proofErr w:type="spellEnd"/>
      <w:r w:rsidRPr="00400D3F">
        <w:rPr>
          <w:lang w:val="en-US"/>
        </w:rPr>
        <w:t xml:space="preserve"> to view and update your details, receive letters electronically and send us documents securely. Once you have created your </w:t>
      </w:r>
      <w:proofErr w:type="spellStart"/>
      <w:r w:rsidRPr="00400D3F">
        <w:rPr>
          <w:lang w:val="en-US"/>
        </w:rPr>
        <w:t>myGov</w:t>
      </w:r>
      <w:proofErr w:type="spellEnd"/>
      <w:r w:rsidRPr="00400D3F">
        <w:rPr>
          <w:lang w:val="en-US"/>
        </w:rPr>
        <w:t xml:space="preserve"> account you can download the </w:t>
      </w:r>
      <w:proofErr w:type="spellStart"/>
      <w:r w:rsidRPr="00400D3F">
        <w:rPr>
          <w:lang w:val="en-US"/>
        </w:rPr>
        <w:t>myGov</w:t>
      </w:r>
      <w:proofErr w:type="spellEnd"/>
      <w:r w:rsidRPr="00400D3F">
        <w:rPr>
          <w:lang w:val="en-US"/>
        </w:rPr>
        <w:t xml:space="preserve"> app. </w:t>
      </w:r>
    </w:p>
    <w:p w14:paraId="625E34EB" w14:textId="77777777" w:rsidR="00400D3F" w:rsidRPr="00400D3F" w:rsidRDefault="00400D3F" w:rsidP="00400D3F">
      <w:pPr>
        <w:pStyle w:val="BodyText"/>
        <w:rPr>
          <w:lang w:val="en-US"/>
        </w:rPr>
      </w:pPr>
      <w:r w:rsidRPr="00400D3F">
        <w:rPr>
          <w:lang w:val="en-US"/>
        </w:rPr>
        <w:t>The app makes it simple to sign in to your account to view and manage your Inbox messages and access your linked services.</w:t>
      </w:r>
    </w:p>
    <w:p w14:paraId="53210FF5" w14:textId="77777777" w:rsidR="00400D3F" w:rsidRPr="00400D3F" w:rsidRDefault="00400D3F" w:rsidP="00400D3F">
      <w:pPr>
        <w:pStyle w:val="BodyText"/>
        <w:rPr>
          <w:b/>
          <w:bCs/>
          <w:lang w:val="en-US"/>
        </w:rPr>
      </w:pPr>
      <w:r w:rsidRPr="00400D3F">
        <w:rPr>
          <w:lang w:val="en-US"/>
        </w:rPr>
        <w:t xml:space="preserve">For more information about </w:t>
      </w:r>
      <w:proofErr w:type="spellStart"/>
      <w:r w:rsidRPr="00400D3F">
        <w:rPr>
          <w:lang w:val="en-US"/>
        </w:rPr>
        <w:t>myGov</w:t>
      </w:r>
      <w:proofErr w:type="spellEnd"/>
      <w:r w:rsidRPr="00400D3F">
        <w:rPr>
          <w:lang w:val="en-US"/>
        </w:rPr>
        <w:t xml:space="preserve">, go to </w:t>
      </w:r>
      <w:hyperlink r:id="rId7" w:history="1">
        <w:r w:rsidRPr="00400D3F">
          <w:rPr>
            <w:rStyle w:val="Bodybold"/>
            <w:lang w:val="en-US"/>
          </w:rPr>
          <w:t>servicesaustralia.gov.au/</w:t>
        </w:r>
        <w:proofErr w:type="spellStart"/>
        <w:r w:rsidRPr="00400D3F">
          <w:rPr>
            <w:rStyle w:val="Bodybold"/>
            <w:lang w:val="en-US"/>
          </w:rPr>
          <w:t>mygov</w:t>
        </w:r>
        <w:proofErr w:type="spellEnd"/>
      </w:hyperlink>
    </w:p>
    <w:p w14:paraId="366E1C1F" w14:textId="77777777" w:rsidR="00400D3F" w:rsidRPr="00400D3F" w:rsidRDefault="00400D3F" w:rsidP="00400D3F">
      <w:pPr>
        <w:pStyle w:val="Heading2"/>
        <w:rPr>
          <w:lang w:val="en-US"/>
        </w:rPr>
      </w:pPr>
      <w:r w:rsidRPr="00400D3F">
        <w:rPr>
          <w:lang w:val="en-US"/>
        </w:rPr>
        <w:t>Are your contact details up to date?</w:t>
      </w:r>
    </w:p>
    <w:p w14:paraId="39399D3D" w14:textId="7B33FFB9" w:rsidR="00400D3F" w:rsidRPr="00400D3F" w:rsidRDefault="00400D3F" w:rsidP="00400D3F">
      <w:pPr>
        <w:pStyle w:val="BodyText"/>
        <w:rPr>
          <w:lang w:val="en-US"/>
        </w:rPr>
      </w:pPr>
      <w:r w:rsidRPr="00400D3F">
        <w:rPr>
          <w:lang w:val="en-US"/>
        </w:rPr>
        <w:t xml:space="preserve">It is important you keep your contact details up to date with us as there may be times we need to contact you about your Centrelink payment. You can update your details using your Centrelink online account through </w:t>
      </w:r>
      <w:proofErr w:type="spellStart"/>
      <w:r w:rsidRPr="00400D3F">
        <w:rPr>
          <w:lang w:val="en-US"/>
        </w:rPr>
        <w:t>myGov</w:t>
      </w:r>
      <w:proofErr w:type="spellEnd"/>
      <w:r w:rsidRPr="00400D3F">
        <w:rPr>
          <w:lang w:val="en-US"/>
        </w:rPr>
        <w:t xml:space="preserve">, or you can call us. You can find the numbers on page 4. </w:t>
      </w:r>
    </w:p>
    <w:p w14:paraId="72520E0A" w14:textId="77777777" w:rsidR="00400D3F" w:rsidRPr="00400D3F" w:rsidRDefault="00400D3F" w:rsidP="00400D3F">
      <w:pPr>
        <w:pStyle w:val="BodyText"/>
        <w:rPr>
          <w:b/>
          <w:bCs/>
          <w:lang w:val="en-US"/>
        </w:rPr>
      </w:pPr>
      <w:r w:rsidRPr="00400D3F">
        <w:rPr>
          <w:lang w:val="en-US"/>
        </w:rPr>
        <w:t xml:space="preserve">For more information, go to </w:t>
      </w:r>
      <w:hyperlink r:id="rId8" w:history="1">
        <w:r w:rsidRPr="00400D3F">
          <w:rPr>
            <w:rStyle w:val="Bodybold"/>
            <w:lang w:val="en-US"/>
          </w:rPr>
          <w:t>servicesaustralia.gov.au/phone-us</w:t>
        </w:r>
      </w:hyperlink>
    </w:p>
    <w:p w14:paraId="50F19084" w14:textId="77777777" w:rsidR="00400D3F" w:rsidRPr="00400D3F" w:rsidRDefault="00400D3F" w:rsidP="00400D3F">
      <w:pPr>
        <w:pStyle w:val="Heading2"/>
        <w:rPr>
          <w:lang w:val="en-US"/>
        </w:rPr>
      </w:pPr>
      <w:r w:rsidRPr="00400D3F">
        <w:rPr>
          <w:lang w:val="en-US"/>
        </w:rPr>
        <w:t>Australia now has 32 Social Security Agreements</w:t>
      </w:r>
    </w:p>
    <w:p w14:paraId="5E41ED98" w14:textId="77777777" w:rsidR="00400D3F" w:rsidRPr="00400D3F" w:rsidRDefault="00400D3F" w:rsidP="00400D3F">
      <w:pPr>
        <w:pStyle w:val="BodyText"/>
        <w:rPr>
          <w:lang w:val="en-US"/>
        </w:rPr>
      </w:pPr>
      <w:r w:rsidRPr="00400D3F">
        <w:rPr>
          <w:lang w:val="en-US"/>
        </w:rPr>
        <w:t xml:space="preserve">On 1 February 2024, a new Social Security Agreement between Australia and Serbia commenced. </w:t>
      </w:r>
    </w:p>
    <w:p w14:paraId="2244D1AA" w14:textId="77777777" w:rsidR="00400D3F" w:rsidRPr="00400D3F" w:rsidRDefault="00400D3F" w:rsidP="00400D3F">
      <w:pPr>
        <w:pStyle w:val="BodyText"/>
        <w:rPr>
          <w:lang w:val="en-US"/>
        </w:rPr>
      </w:pPr>
      <w:r w:rsidRPr="00400D3F">
        <w:rPr>
          <w:lang w:val="en-US"/>
        </w:rPr>
        <w:t>The agreement generally allows a person living in Serbia to submit a claim for an Australian Age Pension. It also allows periods of residence in Australia and periods of social security coverage in Serbia to be added together, if needed, to meet any minimum requirements for payment.</w:t>
      </w:r>
    </w:p>
    <w:p w14:paraId="452C1A62" w14:textId="7BBF768D" w:rsidR="00400D3F" w:rsidRPr="00400D3F" w:rsidRDefault="00400D3F" w:rsidP="00400D3F">
      <w:pPr>
        <w:pStyle w:val="BodyText"/>
        <w:rPr>
          <w:lang w:val="en-US"/>
        </w:rPr>
      </w:pPr>
      <w:r w:rsidRPr="00400D3F">
        <w:rPr>
          <w:lang w:val="en-US"/>
        </w:rPr>
        <w:t xml:space="preserve">For more information, go to </w:t>
      </w:r>
      <w:hyperlink r:id="rId9" w:history="1">
        <w:r w:rsidRPr="00400D3F">
          <w:rPr>
            <w:rStyle w:val="Bodybold"/>
            <w:lang w:val="en-US"/>
          </w:rPr>
          <w:t>servicesaustralia.gov.au/international-social-security-agreements</w:t>
        </w:r>
      </w:hyperlink>
    </w:p>
    <w:p w14:paraId="47FD0136" w14:textId="77777777" w:rsidR="00400D3F" w:rsidRPr="00400D3F" w:rsidRDefault="00400D3F" w:rsidP="00400D3F">
      <w:pPr>
        <w:pStyle w:val="Heading2"/>
        <w:rPr>
          <w:lang w:val="en-US"/>
        </w:rPr>
      </w:pPr>
      <w:r w:rsidRPr="00400D3F">
        <w:rPr>
          <w:lang w:val="en-US"/>
        </w:rPr>
        <w:t>Foreign currency cheques</w:t>
      </w:r>
    </w:p>
    <w:p w14:paraId="502445C4" w14:textId="77777777" w:rsidR="00400D3F" w:rsidRPr="00400D3F" w:rsidRDefault="00400D3F" w:rsidP="00400D3F">
      <w:pPr>
        <w:pStyle w:val="BodyText"/>
        <w:rPr>
          <w:lang w:val="en-US"/>
        </w:rPr>
      </w:pPr>
      <w:r w:rsidRPr="00400D3F">
        <w:rPr>
          <w:lang w:val="en-US"/>
        </w:rPr>
        <w:t xml:space="preserve">From 19 December 2024, Services Australia will no longer accept Centrelink debt repayments made by foreign currency cheques or money orders.  If you need to repay a Centrelink debt you will now need to use a different repayment method, outlined in your debt letter. </w:t>
      </w:r>
    </w:p>
    <w:p w14:paraId="1A953F2E" w14:textId="77777777" w:rsidR="00400D3F" w:rsidRPr="00400D3F" w:rsidRDefault="00400D3F" w:rsidP="00400D3F">
      <w:pPr>
        <w:pStyle w:val="BodyText"/>
        <w:rPr>
          <w:lang w:val="en-US"/>
        </w:rPr>
      </w:pPr>
      <w:r w:rsidRPr="00400D3F">
        <w:rPr>
          <w:lang w:val="en-US"/>
        </w:rPr>
        <w:t>There are no changes to how your Centrelink payment is paid to you.</w:t>
      </w:r>
    </w:p>
    <w:p w14:paraId="6AA58C6B" w14:textId="77777777" w:rsidR="00400D3F" w:rsidRPr="00400D3F" w:rsidRDefault="00400D3F" w:rsidP="00400D3F">
      <w:pPr>
        <w:pStyle w:val="Heading2"/>
        <w:rPr>
          <w:lang w:val="en-US"/>
        </w:rPr>
      </w:pPr>
      <w:r w:rsidRPr="00400D3F">
        <w:rPr>
          <w:lang w:val="en-US"/>
        </w:rPr>
        <w:t>Proof of Life Certificates</w:t>
      </w:r>
    </w:p>
    <w:p w14:paraId="6C08D45D" w14:textId="77777777" w:rsidR="00400D3F" w:rsidRPr="00400D3F" w:rsidRDefault="00400D3F" w:rsidP="00400D3F">
      <w:pPr>
        <w:pStyle w:val="BodyText"/>
        <w:rPr>
          <w:lang w:val="en-US"/>
        </w:rPr>
      </w:pPr>
      <w:r w:rsidRPr="00400D3F">
        <w:rPr>
          <w:lang w:val="en-US"/>
        </w:rPr>
        <w:t xml:space="preserve">If you are older than 80 and live outside Australia, you may need to complete a Proof of Life Certificate to continue getting your Australian payment. </w:t>
      </w:r>
    </w:p>
    <w:p w14:paraId="29C7D86A" w14:textId="77777777" w:rsidR="00400D3F" w:rsidRPr="00400D3F" w:rsidRDefault="00400D3F" w:rsidP="00400D3F">
      <w:pPr>
        <w:pStyle w:val="BodyText"/>
        <w:rPr>
          <w:lang w:val="en-US"/>
        </w:rPr>
      </w:pPr>
      <w:r w:rsidRPr="00400D3F">
        <w:rPr>
          <w:lang w:val="en-US"/>
        </w:rPr>
        <w:lastRenderedPageBreak/>
        <w:t xml:space="preserve">In February 2024 the list of people </w:t>
      </w:r>
      <w:proofErr w:type="spellStart"/>
      <w:r w:rsidRPr="00400D3F">
        <w:rPr>
          <w:lang w:val="en-US"/>
        </w:rPr>
        <w:t>authorised</w:t>
      </w:r>
      <w:proofErr w:type="spellEnd"/>
      <w:r w:rsidRPr="00400D3F">
        <w:rPr>
          <w:lang w:val="en-US"/>
        </w:rPr>
        <w:t xml:space="preserve"> to sign a Proof of Life form was updated to include:</w:t>
      </w:r>
    </w:p>
    <w:p w14:paraId="72C6323F" w14:textId="77777777" w:rsidR="00400D3F" w:rsidRPr="00400D3F" w:rsidRDefault="00400D3F" w:rsidP="00400D3F">
      <w:pPr>
        <w:pStyle w:val="ListBullet"/>
        <w:rPr>
          <w:lang w:val="en-US"/>
        </w:rPr>
      </w:pPr>
      <w:r w:rsidRPr="00400D3F">
        <w:rPr>
          <w:lang w:val="en-US"/>
        </w:rPr>
        <w:t>a local municipality official</w:t>
      </w:r>
    </w:p>
    <w:p w14:paraId="38828FA0" w14:textId="77777777" w:rsidR="00400D3F" w:rsidRPr="00400D3F" w:rsidRDefault="00400D3F" w:rsidP="00400D3F">
      <w:pPr>
        <w:pStyle w:val="ListBullet"/>
        <w:rPr>
          <w:lang w:val="en-US"/>
        </w:rPr>
      </w:pPr>
      <w:r w:rsidRPr="00400D3F">
        <w:rPr>
          <w:lang w:val="en-US"/>
        </w:rPr>
        <w:t>an employee of the local pension authority.</w:t>
      </w:r>
    </w:p>
    <w:p w14:paraId="03CCC6F8" w14:textId="77777777" w:rsidR="00400D3F" w:rsidRPr="00400D3F" w:rsidRDefault="00400D3F" w:rsidP="00400D3F">
      <w:pPr>
        <w:pStyle w:val="Heading2"/>
        <w:rPr>
          <w:lang w:val="en-US"/>
        </w:rPr>
      </w:pPr>
      <w:r w:rsidRPr="00400D3F">
        <w:rPr>
          <w:lang w:val="en-US"/>
        </w:rPr>
        <w:t>Information about your payments</w:t>
      </w:r>
    </w:p>
    <w:p w14:paraId="3C07C1FE" w14:textId="5636E1AB" w:rsidR="005E446C" w:rsidRDefault="00400D3F" w:rsidP="00400D3F">
      <w:pPr>
        <w:pStyle w:val="BodyText"/>
        <w:rPr>
          <w:lang w:val="en-US"/>
        </w:rPr>
      </w:pPr>
      <w:r w:rsidRPr="00400D3F">
        <w:rPr>
          <w:lang w:val="en-US"/>
        </w:rPr>
        <w:t>You will get 13 regular 4-weekly payments each year.</w:t>
      </w:r>
    </w:p>
    <w:p w14:paraId="1D0C090E" w14:textId="71C43034" w:rsidR="00247100" w:rsidRPr="00400D3F" w:rsidRDefault="00247100" w:rsidP="00247100">
      <w:pPr>
        <w:pStyle w:val="Heading3"/>
        <w:rPr>
          <w:lang w:val="en-US"/>
        </w:rPr>
      </w:pPr>
      <w:r w:rsidRPr="005E446C">
        <w:t>4-weekly pension payment calendar – October 2024 to December 2025</w:t>
      </w:r>
    </w:p>
    <w:tbl>
      <w:tblPr>
        <w:tblStyle w:val="TableGrid"/>
        <w:tblW w:w="5000" w:type="pct"/>
        <w:tblLook w:val="04A0" w:firstRow="1" w:lastRow="0" w:firstColumn="1" w:lastColumn="0" w:noHBand="0" w:noVBand="1"/>
        <w:tblCaption w:val="4-weekly pension payment calendar – October 2024 to December 2025"/>
        <w:tblDescription w:val="4-weekly pension payment calendar – October 2024 to December 2025"/>
      </w:tblPr>
      <w:tblGrid>
        <w:gridCol w:w="2435"/>
        <w:gridCol w:w="2434"/>
        <w:gridCol w:w="2434"/>
        <w:gridCol w:w="3793"/>
      </w:tblGrid>
      <w:tr w:rsidR="005A59CA" w14:paraId="6B5B8B21" w14:textId="5822885F" w:rsidTr="00247100">
        <w:trPr>
          <w:cantSplit/>
          <w:tblHeader/>
        </w:trPr>
        <w:tc>
          <w:tcPr>
            <w:tcW w:w="1097" w:type="pct"/>
          </w:tcPr>
          <w:p w14:paraId="3190BE79" w14:textId="45D96875" w:rsidR="005A59CA" w:rsidRPr="005A59CA" w:rsidRDefault="005A59CA" w:rsidP="005A59CA">
            <w:pPr>
              <w:pStyle w:val="BodyText"/>
              <w:rPr>
                <w:b/>
                <w:bCs/>
              </w:rPr>
            </w:pPr>
            <w:r w:rsidRPr="005A59CA">
              <w:rPr>
                <w:b/>
                <w:bCs/>
              </w:rPr>
              <w:t>Date we’ll issue your payment</w:t>
            </w:r>
          </w:p>
        </w:tc>
        <w:tc>
          <w:tcPr>
            <w:tcW w:w="1097" w:type="pct"/>
          </w:tcPr>
          <w:p w14:paraId="18E7EDDE" w14:textId="67F6B17A" w:rsidR="005A59CA" w:rsidRPr="005A59CA" w:rsidRDefault="005A59CA" w:rsidP="005A59CA">
            <w:pPr>
              <w:pStyle w:val="BodyText"/>
              <w:rPr>
                <w:b/>
                <w:bCs/>
              </w:rPr>
            </w:pPr>
            <w:r w:rsidRPr="005A59CA">
              <w:rPr>
                <w:b/>
                <w:bCs/>
              </w:rPr>
              <w:t xml:space="preserve">Direct deposit customers should get payment by </w:t>
            </w:r>
          </w:p>
        </w:tc>
        <w:tc>
          <w:tcPr>
            <w:tcW w:w="1097" w:type="pct"/>
          </w:tcPr>
          <w:p w14:paraId="149D232F" w14:textId="6792499F" w:rsidR="005A59CA" w:rsidRPr="005A59CA" w:rsidRDefault="005A59CA" w:rsidP="005A59CA">
            <w:pPr>
              <w:pStyle w:val="BodyText"/>
              <w:rPr>
                <w:b/>
                <w:bCs/>
              </w:rPr>
            </w:pPr>
            <w:r w:rsidRPr="005A59CA">
              <w:rPr>
                <w:b/>
                <w:bCs/>
              </w:rPr>
              <w:t>Cheque customers should get payment by</w:t>
            </w:r>
          </w:p>
        </w:tc>
        <w:tc>
          <w:tcPr>
            <w:tcW w:w="1709" w:type="pct"/>
          </w:tcPr>
          <w:p w14:paraId="3FD68B3D" w14:textId="721F4422" w:rsidR="005A59CA" w:rsidRPr="005A59CA" w:rsidRDefault="005A59CA" w:rsidP="005A59CA">
            <w:pPr>
              <w:pStyle w:val="BodyText"/>
              <w:rPr>
                <w:b/>
                <w:bCs/>
              </w:rPr>
            </w:pPr>
            <w:r w:rsidRPr="005A59CA">
              <w:rPr>
                <w:b/>
                <w:bCs/>
              </w:rPr>
              <w:t>Payment covers the period</w:t>
            </w:r>
          </w:p>
        </w:tc>
      </w:tr>
      <w:tr w:rsidR="005A59CA" w14:paraId="13EA1FDE" w14:textId="24A87E20" w:rsidTr="005E446C">
        <w:trPr>
          <w:cantSplit/>
        </w:trPr>
        <w:tc>
          <w:tcPr>
            <w:tcW w:w="1097" w:type="pct"/>
          </w:tcPr>
          <w:p w14:paraId="31F54EA6" w14:textId="07F1C435" w:rsidR="005A59CA" w:rsidRDefault="005A59CA" w:rsidP="005A59CA">
            <w:pPr>
              <w:pStyle w:val="BodyText"/>
            </w:pPr>
            <w:r>
              <w:t>17 October 2024</w:t>
            </w:r>
          </w:p>
        </w:tc>
        <w:tc>
          <w:tcPr>
            <w:tcW w:w="1097" w:type="pct"/>
          </w:tcPr>
          <w:p w14:paraId="2AD7123E" w14:textId="786D70C4" w:rsidR="005A59CA" w:rsidRDefault="005A59CA" w:rsidP="005A59CA">
            <w:pPr>
              <w:pStyle w:val="BodyText"/>
            </w:pPr>
            <w:r>
              <w:t>23 October 2024</w:t>
            </w:r>
          </w:p>
        </w:tc>
        <w:tc>
          <w:tcPr>
            <w:tcW w:w="1097" w:type="pct"/>
          </w:tcPr>
          <w:p w14:paraId="17E3A97F" w14:textId="2CF5BD6E" w:rsidR="005A59CA" w:rsidRDefault="005A59CA" w:rsidP="005A59CA">
            <w:pPr>
              <w:pStyle w:val="BodyText"/>
            </w:pPr>
            <w:r>
              <w:t>6 November 2024</w:t>
            </w:r>
          </w:p>
        </w:tc>
        <w:tc>
          <w:tcPr>
            <w:tcW w:w="1709" w:type="pct"/>
          </w:tcPr>
          <w:p w14:paraId="6EFB58BB" w14:textId="6A70EA0B" w:rsidR="005A59CA" w:rsidRDefault="005A59CA" w:rsidP="005A59CA">
            <w:pPr>
              <w:pStyle w:val="BodyText"/>
            </w:pPr>
            <w:r>
              <w:t>19 September to 16 October 2024</w:t>
            </w:r>
          </w:p>
        </w:tc>
      </w:tr>
      <w:tr w:rsidR="005A59CA" w14:paraId="6D6FB02E" w14:textId="3B87E63C" w:rsidTr="005E446C">
        <w:trPr>
          <w:cantSplit/>
        </w:trPr>
        <w:tc>
          <w:tcPr>
            <w:tcW w:w="1097" w:type="pct"/>
          </w:tcPr>
          <w:p w14:paraId="17D53A01" w14:textId="1E6C611F" w:rsidR="005A59CA" w:rsidRDefault="005A59CA" w:rsidP="005A59CA">
            <w:pPr>
              <w:pStyle w:val="BodyText"/>
            </w:pPr>
            <w:r>
              <w:t>14 November 2024</w:t>
            </w:r>
          </w:p>
        </w:tc>
        <w:tc>
          <w:tcPr>
            <w:tcW w:w="1097" w:type="pct"/>
          </w:tcPr>
          <w:p w14:paraId="6A1EEE3C" w14:textId="492FC5D9" w:rsidR="005A59CA" w:rsidRDefault="005A59CA" w:rsidP="005A59CA">
            <w:pPr>
              <w:pStyle w:val="BodyText"/>
            </w:pPr>
            <w:r>
              <w:t>20 November 2024</w:t>
            </w:r>
          </w:p>
        </w:tc>
        <w:tc>
          <w:tcPr>
            <w:tcW w:w="1097" w:type="pct"/>
          </w:tcPr>
          <w:p w14:paraId="3FA664A4" w14:textId="6EEF8F7A" w:rsidR="005A59CA" w:rsidRDefault="005A59CA" w:rsidP="005A59CA">
            <w:pPr>
              <w:pStyle w:val="BodyText"/>
            </w:pPr>
            <w:r>
              <w:t>4 December 2024</w:t>
            </w:r>
          </w:p>
        </w:tc>
        <w:tc>
          <w:tcPr>
            <w:tcW w:w="1709" w:type="pct"/>
          </w:tcPr>
          <w:p w14:paraId="67985FA4" w14:textId="77603B85" w:rsidR="005A59CA" w:rsidRDefault="005A59CA" w:rsidP="005A59CA">
            <w:pPr>
              <w:pStyle w:val="BodyText"/>
            </w:pPr>
            <w:r>
              <w:t>17 October to 13 November 2024</w:t>
            </w:r>
          </w:p>
        </w:tc>
      </w:tr>
      <w:tr w:rsidR="005A59CA" w14:paraId="29D409D1" w14:textId="77777777" w:rsidTr="005E446C">
        <w:trPr>
          <w:cantSplit/>
        </w:trPr>
        <w:tc>
          <w:tcPr>
            <w:tcW w:w="1097" w:type="pct"/>
          </w:tcPr>
          <w:p w14:paraId="18BE73D0" w14:textId="41D8556D" w:rsidR="005A59CA" w:rsidRDefault="005A59CA" w:rsidP="005A59CA">
            <w:pPr>
              <w:pStyle w:val="BodyText"/>
            </w:pPr>
            <w:r>
              <w:t>12 December 2024</w:t>
            </w:r>
          </w:p>
        </w:tc>
        <w:tc>
          <w:tcPr>
            <w:tcW w:w="1097" w:type="pct"/>
          </w:tcPr>
          <w:p w14:paraId="5D6DABF5" w14:textId="23521708" w:rsidR="005A59CA" w:rsidRDefault="005A59CA" w:rsidP="005A59CA">
            <w:pPr>
              <w:pStyle w:val="BodyText"/>
            </w:pPr>
            <w:r>
              <w:t>18 December 2024</w:t>
            </w:r>
          </w:p>
        </w:tc>
        <w:tc>
          <w:tcPr>
            <w:tcW w:w="1097" w:type="pct"/>
          </w:tcPr>
          <w:p w14:paraId="536AB516" w14:textId="1F4A5EFB" w:rsidR="005A59CA" w:rsidRDefault="005A59CA" w:rsidP="005A59CA">
            <w:pPr>
              <w:pStyle w:val="BodyText"/>
            </w:pPr>
            <w:r>
              <w:t>1 January 2025*</w:t>
            </w:r>
          </w:p>
        </w:tc>
        <w:tc>
          <w:tcPr>
            <w:tcW w:w="1709" w:type="pct"/>
          </w:tcPr>
          <w:p w14:paraId="3FB1FA17" w14:textId="032A8B32" w:rsidR="005A59CA" w:rsidRDefault="005A59CA" w:rsidP="005A59CA">
            <w:pPr>
              <w:pStyle w:val="BodyText"/>
            </w:pPr>
            <w:r>
              <w:t>14 November to 11 December 2024</w:t>
            </w:r>
          </w:p>
        </w:tc>
      </w:tr>
      <w:tr w:rsidR="005A59CA" w14:paraId="6168F0BF" w14:textId="77777777" w:rsidTr="005E446C">
        <w:trPr>
          <w:cantSplit/>
        </w:trPr>
        <w:tc>
          <w:tcPr>
            <w:tcW w:w="1097" w:type="pct"/>
          </w:tcPr>
          <w:p w14:paraId="4B4EC57A" w14:textId="122A9FA2" w:rsidR="005A59CA" w:rsidRDefault="005A59CA" w:rsidP="005A59CA">
            <w:pPr>
              <w:pStyle w:val="BodyText"/>
            </w:pPr>
            <w:r>
              <w:t>9 January 2025</w:t>
            </w:r>
          </w:p>
        </w:tc>
        <w:tc>
          <w:tcPr>
            <w:tcW w:w="1097" w:type="pct"/>
          </w:tcPr>
          <w:p w14:paraId="27FAAC45" w14:textId="083AD29D" w:rsidR="005A59CA" w:rsidRDefault="005A59CA" w:rsidP="005A59CA">
            <w:pPr>
              <w:pStyle w:val="BodyText"/>
            </w:pPr>
            <w:r>
              <w:t>15 January 2025</w:t>
            </w:r>
          </w:p>
        </w:tc>
        <w:tc>
          <w:tcPr>
            <w:tcW w:w="1097" w:type="pct"/>
          </w:tcPr>
          <w:p w14:paraId="56AF8977" w14:textId="53AE8376" w:rsidR="005A59CA" w:rsidRDefault="005A59CA" w:rsidP="005A59CA">
            <w:pPr>
              <w:pStyle w:val="BodyText"/>
            </w:pPr>
            <w:r>
              <w:t>29 January 2025</w:t>
            </w:r>
          </w:p>
        </w:tc>
        <w:tc>
          <w:tcPr>
            <w:tcW w:w="1709" w:type="pct"/>
          </w:tcPr>
          <w:p w14:paraId="27396F20" w14:textId="68F62912" w:rsidR="005A59CA" w:rsidRDefault="005A59CA" w:rsidP="005A59CA">
            <w:pPr>
              <w:pStyle w:val="BodyText"/>
            </w:pPr>
            <w:r>
              <w:t>12 December 2024 to 8 January 2025</w:t>
            </w:r>
          </w:p>
        </w:tc>
      </w:tr>
      <w:tr w:rsidR="005A59CA" w14:paraId="06BB81C8" w14:textId="77777777" w:rsidTr="005E446C">
        <w:trPr>
          <w:cantSplit/>
        </w:trPr>
        <w:tc>
          <w:tcPr>
            <w:tcW w:w="1097" w:type="pct"/>
          </w:tcPr>
          <w:p w14:paraId="283D8ABE" w14:textId="46928443" w:rsidR="005A59CA" w:rsidRDefault="005A59CA" w:rsidP="005A59CA">
            <w:pPr>
              <w:pStyle w:val="BodyText"/>
            </w:pPr>
            <w:r>
              <w:t>6 February 2025</w:t>
            </w:r>
          </w:p>
        </w:tc>
        <w:tc>
          <w:tcPr>
            <w:tcW w:w="1097" w:type="pct"/>
          </w:tcPr>
          <w:p w14:paraId="5C00711D" w14:textId="7DE8C751" w:rsidR="005A59CA" w:rsidRDefault="005A59CA" w:rsidP="005A59CA">
            <w:pPr>
              <w:pStyle w:val="BodyText"/>
            </w:pPr>
            <w:r>
              <w:t>12 February 2025</w:t>
            </w:r>
          </w:p>
        </w:tc>
        <w:tc>
          <w:tcPr>
            <w:tcW w:w="1097" w:type="pct"/>
          </w:tcPr>
          <w:p w14:paraId="18005A6D" w14:textId="66336B7B" w:rsidR="005A59CA" w:rsidRDefault="005A59CA" w:rsidP="005A59CA">
            <w:pPr>
              <w:pStyle w:val="BodyText"/>
            </w:pPr>
            <w:r>
              <w:t>26 February 2025</w:t>
            </w:r>
          </w:p>
        </w:tc>
        <w:tc>
          <w:tcPr>
            <w:tcW w:w="1709" w:type="pct"/>
          </w:tcPr>
          <w:p w14:paraId="6099C8DC" w14:textId="5DAF2DAA" w:rsidR="005A59CA" w:rsidRDefault="005A59CA" w:rsidP="005A59CA">
            <w:pPr>
              <w:pStyle w:val="BodyText"/>
            </w:pPr>
            <w:r>
              <w:t>9 January to 5 February 2025</w:t>
            </w:r>
          </w:p>
        </w:tc>
      </w:tr>
      <w:tr w:rsidR="005A59CA" w14:paraId="4E9ED985" w14:textId="77777777" w:rsidTr="005E446C">
        <w:trPr>
          <w:cantSplit/>
        </w:trPr>
        <w:tc>
          <w:tcPr>
            <w:tcW w:w="1097" w:type="pct"/>
          </w:tcPr>
          <w:p w14:paraId="626E91AC" w14:textId="2477C6C0" w:rsidR="005A59CA" w:rsidRDefault="005A59CA" w:rsidP="005A59CA">
            <w:pPr>
              <w:pStyle w:val="BodyText"/>
            </w:pPr>
            <w:r>
              <w:t>6 March 2025</w:t>
            </w:r>
          </w:p>
        </w:tc>
        <w:tc>
          <w:tcPr>
            <w:tcW w:w="1097" w:type="pct"/>
          </w:tcPr>
          <w:p w14:paraId="46D76048" w14:textId="22106E1F" w:rsidR="005A59CA" w:rsidRDefault="005A59CA" w:rsidP="005A59CA">
            <w:pPr>
              <w:pStyle w:val="BodyText"/>
            </w:pPr>
            <w:r>
              <w:t>12 March 2025</w:t>
            </w:r>
          </w:p>
        </w:tc>
        <w:tc>
          <w:tcPr>
            <w:tcW w:w="1097" w:type="pct"/>
          </w:tcPr>
          <w:p w14:paraId="4F957A1B" w14:textId="6B5D61D8" w:rsidR="005A59CA" w:rsidRDefault="005A59CA" w:rsidP="005A59CA">
            <w:pPr>
              <w:pStyle w:val="BodyText"/>
            </w:pPr>
            <w:r>
              <w:t>26 March 2025</w:t>
            </w:r>
          </w:p>
        </w:tc>
        <w:tc>
          <w:tcPr>
            <w:tcW w:w="1709" w:type="pct"/>
          </w:tcPr>
          <w:p w14:paraId="347A3061" w14:textId="787F795A" w:rsidR="005A59CA" w:rsidRDefault="005A59CA" w:rsidP="005A59CA">
            <w:pPr>
              <w:pStyle w:val="BodyText"/>
            </w:pPr>
            <w:r>
              <w:t>6 February to 5 March 2025</w:t>
            </w:r>
          </w:p>
        </w:tc>
      </w:tr>
      <w:tr w:rsidR="005A59CA" w14:paraId="4652CDB2" w14:textId="77777777" w:rsidTr="005E446C">
        <w:trPr>
          <w:cantSplit/>
        </w:trPr>
        <w:tc>
          <w:tcPr>
            <w:tcW w:w="1097" w:type="pct"/>
          </w:tcPr>
          <w:p w14:paraId="275A888D" w14:textId="4D5F6276" w:rsidR="005A59CA" w:rsidRDefault="005A59CA" w:rsidP="005A59CA">
            <w:pPr>
              <w:pStyle w:val="BodyText"/>
            </w:pPr>
            <w:r>
              <w:t>3 April 2025</w:t>
            </w:r>
          </w:p>
        </w:tc>
        <w:tc>
          <w:tcPr>
            <w:tcW w:w="1097" w:type="pct"/>
          </w:tcPr>
          <w:p w14:paraId="5735525A" w14:textId="5F5130F1" w:rsidR="005A59CA" w:rsidRDefault="005A59CA" w:rsidP="005A59CA">
            <w:pPr>
              <w:pStyle w:val="BodyText"/>
            </w:pPr>
            <w:r>
              <w:t>9 April 2025</w:t>
            </w:r>
          </w:p>
        </w:tc>
        <w:tc>
          <w:tcPr>
            <w:tcW w:w="1097" w:type="pct"/>
          </w:tcPr>
          <w:p w14:paraId="33A52B53" w14:textId="48CF72DB" w:rsidR="005A59CA" w:rsidRDefault="005A59CA" w:rsidP="005A59CA">
            <w:pPr>
              <w:pStyle w:val="BodyText"/>
            </w:pPr>
            <w:r>
              <w:t>23 April 2025</w:t>
            </w:r>
          </w:p>
        </w:tc>
        <w:tc>
          <w:tcPr>
            <w:tcW w:w="1709" w:type="pct"/>
          </w:tcPr>
          <w:p w14:paraId="627BE6D1" w14:textId="59760536" w:rsidR="005A59CA" w:rsidRDefault="005A59CA" w:rsidP="005A59CA">
            <w:pPr>
              <w:pStyle w:val="BodyText"/>
            </w:pPr>
            <w:r>
              <w:t>6 March to 2 April 2025</w:t>
            </w:r>
          </w:p>
        </w:tc>
      </w:tr>
      <w:tr w:rsidR="005A59CA" w14:paraId="681DCE76" w14:textId="77777777" w:rsidTr="005E446C">
        <w:trPr>
          <w:cantSplit/>
        </w:trPr>
        <w:tc>
          <w:tcPr>
            <w:tcW w:w="1097" w:type="pct"/>
          </w:tcPr>
          <w:p w14:paraId="71AA0379" w14:textId="1FB2D7AA" w:rsidR="005A59CA" w:rsidRDefault="005A59CA" w:rsidP="005A59CA">
            <w:pPr>
              <w:pStyle w:val="BodyText"/>
            </w:pPr>
            <w:r>
              <w:t>1 May 2025</w:t>
            </w:r>
          </w:p>
        </w:tc>
        <w:tc>
          <w:tcPr>
            <w:tcW w:w="1097" w:type="pct"/>
          </w:tcPr>
          <w:p w14:paraId="225422AF" w14:textId="2B084F94" w:rsidR="005A59CA" w:rsidRDefault="005A59CA" w:rsidP="005A59CA">
            <w:pPr>
              <w:pStyle w:val="BodyText"/>
            </w:pPr>
            <w:r>
              <w:t>7 May 2025</w:t>
            </w:r>
          </w:p>
        </w:tc>
        <w:tc>
          <w:tcPr>
            <w:tcW w:w="1097" w:type="pct"/>
          </w:tcPr>
          <w:p w14:paraId="10C35271" w14:textId="78E1AACB" w:rsidR="005A59CA" w:rsidRDefault="005A59CA" w:rsidP="005A59CA">
            <w:pPr>
              <w:pStyle w:val="BodyText"/>
            </w:pPr>
            <w:r>
              <w:t>21 May 2025</w:t>
            </w:r>
          </w:p>
        </w:tc>
        <w:tc>
          <w:tcPr>
            <w:tcW w:w="1709" w:type="pct"/>
          </w:tcPr>
          <w:p w14:paraId="303E7BBD" w14:textId="04621946" w:rsidR="005A59CA" w:rsidRDefault="005A59CA" w:rsidP="005A59CA">
            <w:pPr>
              <w:pStyle w:val="BodyText"/>
            </w:pPr>
            <w:r>
              <w:t>3 April to 30 April 2025</w:t>
            </w:r>
          </w:p>
        </w:tc>
      </w:tr>
      <w:tr w:rsidR="005A59CA" w14:paraId="29B67087" w14:textId="77777777" w:rsidTr="005E446C">
        <w:trPr>
          <w:cantSplit/>
        </w:trPr>
        <w:tc>
          <w:tcPr>
            <w:tcW w:w="1097" w:type="pct"/>
          </w:tcPr>
          <w:p w14:paraId="5A8665AC" w14:textId="427038B8" w:rsidR="005A59CA" w:rsidRDefault="005A59CA" w:rsidP="005A59CA">
            <w:pPr>
              <w:pStyle w:val="BodyText"/>
            </w:pPr>
            <w:r>
              <w:t>29 May 2025</w:t>
            </w:r>
          </w:p>
        </w:tc>
        <w:tc>
          <w:tcPr>
            <w:tcW w:w="1097" w:type="pct"/>
          </w:tcPr>
          <w:p w14:paraId="70F76B65" w14:textId="663CBDB6" w:rsidR="005A59CA" w:rsidRDefault="005A59CA" w:rsidP="005A59CA">
            <w:pPr>
              <w:pStyle w:val="BodyText"/>
            </w:pPr>
            <w:r>
              <w:t>4 June 2025</w:t>
            </w:r>
          </w:p>
        </w:tc>
        <w:tc>
          <w:tcPr>
            <w:tcW w:w="1097" w:type="pct"/>
          </w:tcPr>
          <w:p w14:paraId="5EE001D1" w14:textId="4346EB46" w:rsidR="005A59CA" w:rsidRDefault="005A59CA" w:rsidP="005A59CA">
            <w:pPr>
              <w:pStyle w:val="BodyText"/>
            </w:pPr>
            <w:r>
              <w:t>18 June 2025</w:t>
            </w:r>
          </w:p>
        </w:tc>
        <w:tc>
          <w:tcPr>
            <w:tcW w:w="1709" w:type="pct"/>
          </w:tcPr>
          <w:p w14:paraId="52B2A024" w14:textId="12BCB573" w:rsidR="005A59CA" w:rsidRDefault="005A59CA" w:rsidP="005A59CA">
            <w:pPr>
              <w:pStyle w:val="BodyText"/>
            </w:pPr>
            <w:r>
              <w:t>01 May to 28 May 2025</w:t>
            </w:r>
          </w:p>
        </w:tc>
      </w:tr>
      <w:tr w:rsidR="005A59CA" w14:paraId="0D7FD395" w14:textId="77777777" w:rsidTr="005E446C">
        <w:trPr>
          <w:cantSplit/>
        </w:trPr>
        <w:tc>
          <w:tcPr>
            <w:tcW w:w="1097" w:type="pct"/>
          </w:tcPr>
          <w:p w14:paraId="5707B0A6" w14:textId="6C89A829" w:rsidR="005A59CA" w:rsidRDefault="005A59CA" w:rsidP="005A59CA">
            <w:pPr>
              <w:pStyle w:val="BodyText"/>
            </w:pPr>
            <w:r>
              <w:t>26 June 2025</w:t>
            </w:r>
          </w:p>
        </w:tc>
        <w:tc>
          <w:tcPr>
            <w:tcW w:w="1097" w:type="pct"/>
          </w:tcPr>
          <w:p w14:paraId="5D10C6B1" w14:textId="78050D40" w:rsidR="005A59CA" w:rsidRDefault="005A59CA" w:rsidP="005A59CA">
            <w:pPr>
              <w:pStyle w:val="BodyText"/>
            </w:pPr>
            <w:r>
              <w:t>2 July 2025</w:t>
            </w:r>
          </w:p>
        </w:tc>
        <w:tc>
          <w:tcPr>
            <w:tcW w:w="1097" w:type="pct"/>
          </w:tcPr>
          <w:p w14:paraId="67A34DD7" w14:textId="74DA40DD" w:rsidR="005A59CA" w:rsidRDefault="005A59CA" w:rsidP="005A59CA">
            <w:pPr>
              <w:pStyle w:val="BodyText"/>
            </w:pPr>
            <w:r>
              <w:t>16 July 2025</w:t>
            </w:r>
          </w:p>
        </w:tc>
        <w:tc>
          <w:tcPr>
            <w:tcW w:w="1709" w:type="pct"/>
          </w:tcPr>
          <w:p w14:paraId="7EEE0D44" w14:textId="73F75EC9" w:rsidR="005A59CA" w:rsidRDefault="005A59CA" w:rsidP="005A59CA">
            <w:pPr>
              <w:pStyle w:val="BodyText"/>
            </w:pPr>
            <w:r>
              <w:t>29 May to 25 June 2025</w:t>
            </w:r>
          </w:p>
        </w:tc>
      </w:tr>
      <w:tr w:rsidR="005A59CA" w14:paraId="35EE2B15" w14:textId="77777777" w:rsidTr="005E446C">
        <w:trPr>
          <w:cantSplit/>
        </w:trPr>
        <w:tc>
          <w:tcPr>
            <w:tcW w:w="1097" w:type="pct"/>
          </w:tcPr>
          <w:p w14:paraId="6FD4D608" w14:textId="73FC32A3" w:rsidR="005A59CA" w:rsidRDefault="005A59CA" w:rsidP="005A59CA">
            <w:pPr>
              <w:pStyle w:val="BodyText"/>
            </w:pPr>
            <w:r>
              <w:t>24 July 2025</w:t>
            </w:r>
          </w:p>
        </w:tc>
        <w:tc>
          <w:tcPr>
            <w:tcW w:w="1097" w:type="pct"/>
          </w:tcPr>
          <w:p w14:paraId="5323F4C7" w14:textId="2D2F8D87" w:rsidR="005A59CA" w:rsidRDefault="005A59CA" w:rsidP="005A59CA">
            <w:pPr>
              <w:pStyle w:val="BodyText"/>
            </w:pPr>
            <w:r>
              <w:t>30 July 2025</w:t>
            </w:r>
          </w:p>
        </w:tc>
        <w:tc>
          <w:tcPr>
            <w:tcW w:w="1097" w:type="pct"/>
          </w:tcPr>
          <w:p w14:paraId="25726A82" w14:textId="145546B1" w:rsidR="005A59CA" w:rsidRDefault="005A59CA" w:rsidP="005A59CA">
            <w:pPr>
              <w:pStyle w:val="BodyText"/>
            </w:pPr>
            <w:r>
              <w:t>13 August 2025</w:t>
            </w:r>
          </w:p>
        </w:tc>
        <w:tc>
          <w:tcPr>
            <w:tcW w:w="1709" w:type="pct"/>
          </w:tcPr>
          <w:p w14:paraId="316CCC80" w14:textId="2685B531" w:rsidR="005A59CA" w:rsidRDefault="005A59CA" w:rsidP="005A59CA">
            <w:pPr>
              <w:pStyle w:val="BodyText"/>
            </w:pPr>
            <w:r>
              <w:t>26 June to 23 July 2025</w:t>
            </w:r>
          </w:p>
        </w:tc>
      </w:tr>
      <w:tr w:rsidR="005A59CA" w14:paraId="6B990320" w14:textId="77777777" w:rsidTr="005E446C">
        <w:trPr>
          <w:cantSplit/>
        </w:trPr>
        <w:tc>
          <w:tcPr>
            <w:tcW w:w="1097" w:type="pct"/>
          </w:tcPr>
          <w:p w14:paraId="0CF7A3A4" w14:textId="7284D7D0" w:rsidR="005A59CA" w:rsidRDefault="005A59CA" w:rsidP="005A59CA">
            <w:pPr>
              <w:pStyle w:val="BodyText"/>
            </w:pPr>
            <w:r>
              <w:t>21 August 2025</w:t>
            </w:r>
          </w:p>
        </w:tc>
        <w:tc>
          <w:tcPr>
            <w:tcW w:w="1097" w:type="pct"/>
          </w:tcPr>
          <w:p w14:paraId="134D8A58" w14:textId="6D583D8C" w:rsidR="005A59CA" w:rsidRDefault="005A59CA" w:rsidP="005A59CA">
            <w:pPr>
              <w:pStyle w:val="BodyText"/>
            </w:pPr>
            <w:r>
              <w:t>27 August 2025</w:t>
            </w:r>
          </w:p>
        </w:tc>
        <w:tc>
          <w:tcPr>
            <w:tcW w:w="1097" w:type="pct"/>
          </w:tcPr>
          <w:p w14:paraId="20C11B8D" w14:textId="6D3E0EC8" w:rsidR="005A59CA" w:rsidRDefault="005A59CA" w:rsidP="005A59CA">
            <w:pPr>
              <w:pStyle w:val="BodyText"/>
            </w:pPr>
            <w:r>
              <w:t>10 September 2025</w:t>
            </w:r>
          </w:p>
        </w:tc>
        <w:tc>
          <w:tcPr>
            <w:tcW w:w="1709" w:type="pct"/>
          </w:tcPr>
          <w:p w14:paraId="2B4AB1F0" w14:textId="00C9F04B" w:rsidR="005A59CA" w:rsidRDefault="005A59CA" w:rsidP="005A59CA">
            <w:pPr>
              <w:pStyle w:val="BodyText"/>
            </w:pPr>
            <w:r>
              <w:t>24 July to 20 August 2025</w:t>
            </w:r>
          </w:p>
        </w:tc>
      </w:tr>
      <w:tr w:rsidR="005A59CA" w14:paraId="17D06247" w14:textId="77777777" w:rsidTr="005E446C">
        <w:trPr>
          <w:cantSplit/>
        </w:trPr>
        <w:tc>
          <w:tcPr>
            <w:tcW w:w="1097" w:type="pct"/>
          </w:tcPr>
          <w:p w14:paraId="6819D2A4" w14:textId="5E14146F" w:rsidR="005A59CA" w:rsidRDefault="005A59CA" w:rsidP="005A59CA">
            <w:pPr>
              <w:pStyle w:val="BodyText"/>
            </w:pPr>
            <w:r>
              <w:t>18 September 2025</w:t>
            </w:r>
          </w:p>
        </w:tc>
        <w:tc>
          <w:tcPr>
            <w:tcW w:w="1097" w:type="pct"/>
          </w:tcPr>
          <w:p w14:paraId="41B2CCB2" w14:textId="4360C017" w:rsidR="005A59CA" w:rsidRDefault="005A59CA" w:rsidP="005A59CA">
            <w:pPr>
              <w:pStyle w:val="BodyText"/>
            </w:pPr>
            <w:r>
              <w:t>24 September 2025</w:t>
            </w:r>
          </w:p>
        </w:tc>
        <w:tc>
          <w:tcPr>
            <w:tcW w:w="1097" w:type="pct"/>
          </w:tcPr>
          <w:p w14:paraId="0363B0D2" w14:textId="71B60885" w:rsidR="005A59CA" w:rsidRDefault="005A59CA" w:rsidP="005A59CA">
            <w:pPr>
              <w:pStyle w:val="BodyText"/>
            </w:pPr>
            <w:r>
              <w:t>8 October 2025</w:t>
            </w:r>
          </w:p>
        </w:tc>
        <w:tc>
          <w:tcPr>
            <w:tcW w:w="1709" w:type="pct"/>
          </w:tcPr>
          <w:p w14:paraId="228307D6" w14:textId="6F71D22C" w:rsidR="005A59CA" w:rsidRDefault="005A59CA" w:rsidP="005A59CA">
            <w:pPr>
              <w:pStyle w:val="BodyText"/>
            </w:pPr>
            <w:r>
              <w:t>21 August to 17 September 2025</w:t>
            </w:r>
          </w:p>
        </w:tc>
      </w:tr>
      <w:tr w:rsidR="005A59CA" w14:paraId="4A74554D" w14:textId="77777777" w:rsidTr="005E446C">
        <w:trPr>
          <w:cantSplit/>
        </w:trPr>
        <w:tc>
          <w:tcPr>
            <w:tcW w:w="1097" w:type="pct"/>
          </w:tcPr>
          <w:p w14:paraId="305706D9" w14:textId="7C98C590" w:rsidR="005A59CA" w:rsidRDefault="005A59CA" w:rsidP="005A59CA">
            <w:pPr>
              <w:pStyle w:val="BodyText"/>
            </w:pPr>
            <w:r>
              <w:t>16 October 2025</w:t>
            </w:r>
          </w:p>
        </w:tc>
        <w:tc>
          <w:tcPr>
            <w:tcW w:w="1097" w:type="pct"/>
          </w:tcPr>
          <w:p w14:paraId="15AE907F" w14:textId="0BE00E97" w:rsidR="005A59CA" w:rsidRDefault="005A59CA" w:rsidP="005A59CA">
            <w:pPr>
              <w:pStyle w:val="BodyText"/>
            </w:pPr>
            <w:r>
              <w:t>22 October 2025</w:t>
            </w:r>
          </w:p>
        </w:tc>
        <w:tc>
          <w:tcPr>
            <w:tcW w:w="1097" w:type="pct"/>
          </w:tcPr>
          <w:p w14:paraId="64EA0D8F" w14:textId="2D9C7246" w:rsidR="005A59CA" w:rsidRDefault="005A59CA" w:rsidP="005A59CA">
            <w:pPr>
              <w:pStyle w:val="BodyText"/>
            </w:pPr>
            <w:r>
              <w:t>5 November 2025</w:t>
            </w:r>
          </w:p>
        </w:tc>
        <w:tc>
          <w:tcPr>
            <w:tcW w:w="1709" w:type="pct"/>
          </w:tcPr>
          <w:p w14:paraId="02171459" w14:textId="65D8C2D7" w:rsidR="005A59CA" w:rsidRDefault="005A59CA" w:rsidP="005A59CA">
            <w:pPr>
              <w:pStyle w:val="BodyText"/>
            </w:pPr>
            <w:r>
              <w:t>18 September to 15 October 2025</w:t>
            </w:r>
          </w:p>
        </w:tc>
      </w:tr>
      <w:tr w:rsidR="005A59CA" w14:paraId="66E879AF" w14:textId="77777777" w:rsidTr="005E446C">
        <w:trPr>
          <w:cantSplit/>
        </w:trPr>
        <w:tc>
          <w:tcPr>
            <w:tcW w:w="1097" w:type="pct"/>
          </w:tcPr>
          <w:p w14:paraId="62545288" w14:textId="47B7A306" w:rsidR="005A59CA" w:rsidRDefault="005A59CA" w:rsidP="005A59CA">
            <w:pPr>
              <w:pStyle w:val="BodyText"/>
            </w:pPr>
            <w:r>
              <w:t>13 November 2025</w:t>
            </w:r>
          </w:p>
        </w:tc>
        <w:tc>
          <w:tcPr>
            <w:tcW w:w="1097" w:type="pct"/>
          </w:tcPr>
          <w:p w14:paraId="57EF2730" w14:textId="6AF5ECC0" w:rsidR="005A59CA" w:rsidRDefault="005A59CA" w:rsidP="005A59CA">
            <w:pPr>
              <w:pStyle w:val="BodyText"/>
            </w:pPr>
            <w:r>
              <w:t>19 November 2025</w:t>
            </w:r>
          </w:p>
        </w:tc>
        <w:tc>
          <w:tcPr>
            <w:tcW w:w="1097" w:type="pct"/>
          </w:tcPr>
          <w:p w14:paraId="0CBF38FA" w14:textId="77887E34" w:rsidR="005A59CA" w:rsidRDefault="005A59CA" w:rsidP="005A59CA">
            <w:pPr>
              <w:pStyle w:val="BodyText"/>
            </w:pPr>
            <w:r>
              <w:t>3 December 2025</w:t>
            </w:r>
          </w:p>
        </w:tc>
        <w:tc>
          <w:tcPr>
            <w:tcW w:w="1709" w:type="pct"/>
          </w:tcPr>
          <w:p w14:paraId="1EF98ED0" w14:textId="4A5E85DA" w:rsidR="005A59CA" w:rsidRDefault="005A59CA" w:rsidP="005A59CA">
            <w:pPr>
              <w:pStyle w:val="BodyText"/>
            </w:pPr>
            <w:r>
              <w:t>16 October to 12 November 2025</w:t>
            </w:r>
          </w:p>
        </w:tc>
      </w:tr>
      <w:tr w:rsidR="005A59CA" w14:paraId="665D2539" w14:textId="77777777" w:rsidTr="005E446C">
        <w:trPr>
          <w:cantSplit/>
        </w:trPr>
        <w:tc>
          <w:tcPr>
            <w:tcW w:w="1097" w:type="pct"/>
          </w:tcPr>
          <w:p w14:paraId="7F910A48" w14:textId="2741EADE" w:rsidR="005A59CA" w:rsidRDefault="005A59CA" w:rsidP="005A59CA">
            <w:pPr>
              <w:pStyle w:val="BodyText"/>
            </w:pPr>
            <w:r>
              <w:lastRenderedPageBreak/>
              <w:t>11 December 2025</w:t>
            </w:r>
          </w:p>
        </w:tc>
        <w:tc>
          <w:tcPr>
            <w:tcW w:w="1097" w:type="pct"/>
          </w:tcPr>
          <w:p w14:paraId="7A4478F1" w14:textId="26DC04FE" w:rsidR="005A59CA" w:rsidRDefault="005A59CA" w:rsidP="005A59CA">
            <w:pPr>
              <w:pStyle w:val="BodyText"/>
            </w:pPr>
            <w:r>
              <w:t>17 December 2025</w:t>
            </w:r>
          </w:p>
        </w:tc>
        <w:tc>
          <w:tcPr>
            <w:tcW w:w="1097" w:type="pct"/>
          </w:tcPr>
          <w:p w14:paraId="2FE0C171" w14:textId="61B83C8B" w:rsidR="005A59CA" w:rsidRDefault="005A59CA" w:rsidP="005A59CA">
            <w:pPr>
              <w:pStyle w:val="BodyText"/>
            </w:pPr>
            <w:r>
              <w:t>31 December 2025</w:t>
            </w:r>
          </w:p>
        </w:tc>
        <w:tc>
          <w:tcPr>
            <w:tcW w:w="1709" w:type="pct"/>
          </w:tcPr>
          <w:p w14:paraId="5C69EAAF" w14:textId="73F78A24" w:rsidR="005A59CA" w:rsidRDefault="005A59CA" w:rsidP="005A59CA">
            <w:pPr>
              <w:pStyle w:val="BodyText"/>
            </w:pPr>
            <w:r>
              <w:t>13 November to 10 December 2025</w:t>
            </w:r>
          </w:p>
        </w:tc>
      </w:tr>
    </w:tbl>
    <w:p w14:paraId="04F7FEBD" w14:textId="77777777" w:rsidR="00D91CC3" w:rsidRPr="00D91CC3" w:rsidRDefault="00D91CC3" w:rsidP="00D91CC3">
      <w:pPr>
        <w:pStyle w:val="BodyText"/>
        <w:rPr>
          <w:lang w:val="en-US"/>
        </w:rPr>
      </w:pPr>
      <w:r w:rsidRPr="00D91CC3">
        <w:rPr>
          <w:lang w:val="en-US"/>
        </w:rPr>
        <w:t>* Cheque delivery may be later than these dates due to delays in mail delivery.</w:t>
      </w:r>
    </w:p>
    <w:p w14:paraId="38F43A3B" w14:textId="77777777" w:rsidR="00D91CC3" w:rsidRPr="00D91CC3" w:rsidRDefault="00D91CC3" w:rsidP="00D91CC3">
      <w:pPr>
        <w:pStyle w:val="Heading2"/>
        <w:rPr>
          <w:lang w:val="en-US"/>
        </w:rPr>
      </w:pPr>
      <w:r w:rsidRPr="00D91CC3">
        <w:rPr>
          <w:lang w:val="en-US"/>
        </w:rPr>
        <w:t>Direct deposit payments</w:t>
      </w:r>
    </w:p>
    <w:p w14:paraId="0C6AAB4D" w14:textId="77777777" w:rsidR="00D91CC3" w:rsidRPr="00D91CC3" w:rsidRDefault="00D91CC3" w:rsidP="00D91CC3">
      <w:pPr>
        <w:pStyle w:val="BodyText"/>
        <w:rPr>
          <w:lang w:val="en-US"/>
        </w:rPr>
      </w:pPr>
      <w:r w:rsidRPr="00D91CC3">
        <w:rPr>
          <w:lang w:val="en-US"/>
        </w:rPr>
        <w:t>In most countries we pay pensions directly into bank accounts. We encourage this method of payment as it is safe, quick and reliable.</w:t>
      </w:r>
    </w:p>
    <w:p w14:paraId="733A4F7C" w14:textId="77777777" w:rsidR="00D91CC3" w:rsidRPr="00D91CC3" w:rsidRDefault="00D91CC3" w:rsidP="00D91CC3">
      <w:pPr>
        <w:pStyle w:val="BodyText"/>
        <w:rPr>
          <w:lang w:val="en-US"/>
        </w:rPr>
      </w:pPr>
      <w:r w:rsidRPr="00D91CC3">
        <w:rPr>
          <w:lang w:val="en-US"/>
        </w:rPr>
        <w:t>If you get your payment by direct deposit into your bank account, it will be available within 2 to 6 days after issue. A public holiday in your country may delay you getting your payment. If your payment has not arrived within 10 days of issue, check with your local bank before contacting us.</w:t>
      </w:r>
    </w:p>
    <w:p w14:paraId="521A3A35" w14:textId="73BEB61C" w:rsidR="00400D3F" w:rsidRDefault="00D91CC3" w:rsidP="00D91CC3">
      <w:pPr>
        <w:pStyle w:val="Heading2"/>
      </w:pPr>
      <w:r w:rsidRPr="00D91CC3">
        <w:t>International Services closure dates</w:t>
      </w:r>
    </w:p>
    <w:p w14:paraId="6799DE33" w14:textId="7C3B9DEB" w:rsidR="00D91CC3" w:rsidRDefault="00D91CC3" w:rsidP="00A61223">
      <w:pPr>
        <w:pStyle w:val="BodyText"/>
      </w:pPr>
      <w:r w:rsidRPr="00D91CC3">
        <w:t>International Services will be closed on:</w:t>
      </w:r>
    </w:p>
    <w:tbl>
      <w:tblPr>
        <w:tblStyle w:val="TableGrid"/>
        <w:tblW w:w="5000" w:type="pct"/>
        <w:tblLook w:val="04A0" w:firstRow="1" w:lastRow="0" w:firstColumn="1" w:lastColumn="0" w:noHBand="0" w:noVBand="1"/>
        <w:tblCaption w:val="International Services closure dates"/>
        <w:tblDescription w:val="International Services closure dates"/>
      </w:tblPr>
      <w:tblGrid>
        <w:gridCol w:w="6609"/>
        <w:gridCol w:w="4487"/>
      </w:tblGrid>
      <w:tr w:rsidR="00057C25" w:rsidRPr="00057C25" w14:paraId="4CDF3196" w14:textId="77777777" w:rsidTr="009D7822">
        <w:trPr>
          <w:cantSplit/>
          <w:trHeight w:val="425"/>
        </w:trPr>
        <w:tc>
          <w:tcPr>
            <w:tcW w:w="2978" w:type="pct"/>
          </w:tcPr>
          <w:p w14:paraId="0B4D7306" w14:textId="77777777" w:rsidR="00057C25" w:rsidRPr="00057C25" w:rsidRDefault="00057C25" w:rsidP="00057C25">
            <w:pPr>
              <w:pStyle w:val="BodyText"/>
              <w:rPr>
                <w:lang w:val="en-US"/>
              </w:rPr>
            </w:pPr>
            <w:bookmarkStart w:id="0" w:name="_Hlk179356802"/>
            <w:r w:rsidRPr="00057C25">
              <w:rPr>
                <w:lang w:val="en-US"/>
              </w:rPr>
              <w:t xml:space="preserve">Christmas Day public holiday </w:t>
            </w:r>
          </w:p>
        </w:tc>
        <w:tc>
          <w:tcPr>
            <w:tcW w:w="2022" w:type="pct"/>
          </w:tcPr>
          <w:p w14:paraId="354255B8" w14:textId="77777777" w:rsidR="00057C25" w:rsidRPr="00057C25" w:rsidRDefault="00057C25" w:rsidP="00057C25">
            <w:pPr>
              <w:pStyle w:val="BodyText"/>
              <w:rPr>
                <w:lang w:val="en-US"/>
              </w:rPr>
            </w:pPr>
            <w:r w:rsidRPr="00057C25">
              <w:rPr>
                <w:lang w:val="en-US"/>
              </w:rPr>
              <w:t xml:space="preserve">25 December 2024 </w:t>
            </w:r>
          </w:p>
        </w:tc>
      </w:tr>
      <w:tr w:rsidR="00057C25" w:rsidRPr="00057C25" w14:paraId="31ADFBFB" w14:textId="77777777" w:rsidTr="009D7822">
        <w:trPr>
          <w:cantSplit/>
          <w:trHeight w:val="425"/>
        </w:trPr>
        <w:tc>
          <w:tcPr>
            <w:tcW w:w="2978" w:type="pct"/>
          </w:tcPr>
          <w:p w14:paraId="297E14BF" w14:textId="77777777" w:rsidR="00057C25" w:rsidRPr="00057C25" w:rsidRDefault="00057C25" w:rsidP="00057C25">
            <w:pPr>
              <w:pStyle w:val="BodyText"/>
              <w:rPr>
                <w:lang w:val="en-US"/>
              </w:rPr>
            </w:pPr>
            <w:r w:rsidRPr="00057C25">
              <w:rPr>
                <w:lang w:val="en-US"/>
              </w:rPr>
              <w:t xml:space="preserve">Boxing Day public holiday </w:t>
            </w:r>
          </w:p>
        </w:tc>
        <w:tc>
          <w:tcPr>
            <w:tcW w:w="2022" w:type="pct"/>
          </w:tcPr>
          <w:p w14:paraId="64EEA147" w14:textId="77777777" w:rsidR="00057C25" w:rsidRPr="00057C25" w:rsidRDefault="00057C25" w:rsidP="00057C25">
            <w:pPr>
              <w:pStyle w:val="BodyText"/>
              <w:rPr>
                <w:lang w:val="en-US"/>
              </w:rPr>
            </w:pPr>
            <w:r w:rsidRPr="00057C25">
              <w:rPr>
                <w:lang w:val="en-US"/>
              </w:rPr>
              <w:t>26 December 2024</w:t>
            </w:r>
          </w:p>
        </w:tc>
      </w:tr>
      <w:tr w:rsidR="00057C25" w:rsidRPr="00057C25" w14:paraId="2145547E" w14:textId="77777777" w:rsidTr="009D7822">
        <w:trPr>
          <w:cantSplit/>
          <w:trHeight w:val="425"/>
        </w:trPr>
        <w:tc>
          <w:tcPr>
            <w:tcW w:w="2978" w:type="pct"/>
          </w:tcPr>
          <w:p w14:paraId="7AA8A831" w14:textId="77777777" w:rsidR="00057C25" w:rsidRPr="00057C25" w:rsidRDefault="00057C25" w:rsidP="00057C25">
            <w:pPr>
              <w:pStyle w:val="BodyText"/>
              <w:rPr>
                <w:lang w:val="en-US"/>
              </w:rPr>
            </w:pPr>
            <w:r w:rsidRPr="00057C25">
              <w:rPr>
                <w:lang w:val="en-US"/>
              </w:rPr>
              <w:t>Public Service holiday</w:t>
            </w:r>
          </w:p>
        </w:tc>
        <w:tc>
          <w:tcPr>
            <w:tcW w:w="2022" w:type="pct"/>
          </w:tcPr>
          <w:p w14:paraId="3349621A" w14:textId="77777777" w:rsidR="00057C25" w:rsidRPr="00057C25" w:rsidRDefault="00057C25" w:rsidP="00057C25">
            <w:pPr>
              <w:pStyle w:val="BodyText"/>
              <w:rPr>
                <w:lang w:val="en-US"/>
              </w:rPr>
            </w:pPr>
            <w:r w:rsidRPr="00057C25">
              <w:rPr>
                <w:lang w:val="en-US"/>
              </w:rPr>
              <w:t>27 December 2024</w:t>
            </w:r>
          </w:p>
        </w:tc>
      </w:tr>
      <w:tr w:rsidR="00057C25" w:rsidRPr="00057C25" w14:paraId="5A5FF51F" w14:textId="77777777" w:rsidTr="009D7822">
        <w:trPr>
          <w:cantSplit/>
          <w:trHeight w:val="425"/>
        </w:trPr>
        <w:tc>
          <w:tcPr>
            <w:tcW w:w="2978" w:type="pct"/>
          </w:tcPr>
          <w:p w14:paraId="7BC71F77" w14:textId="77777777" w:rsidR="00057C25" w:rsidRPr="00057C25" w:rsidRDefault="00057C25" w:rsidP="00057C25">
            <w:pPr>
              <w:pStyle w:val="BodyText"/>
              <w:rPr>
                <w:lang w:val="en-US"/>
              </w:rPr>
            </w:pPr>
            <w:r w:rsidRPr="00057C25">
              <w:rPr>
                <w:lang w:val="en-US"/>
              </w:rPr>
              <w:t>New Year’s Day public holiday</w:t>
            </w:r>
          </w:p>
        </w:tc>
        <w:tc>
          <w:tcPr>
            <w:tcW w:w="2022" w:type="pct"/>
          </w:tcPr>
          <w:p w14:paraId="210F1331" w14:textId="77777777" w:rsidR="00057C25" w:rsidRPr="00057C25" w:rsidRDefault="00057C25" w:rsidP="00057C25">
            <w:pPr>
              <w:pStyle w:val="BodyText"/>
              <w:rPr>
                <w:lang w:val="en-US"/>
              </w:rPr>
            </w:pPr>
            <w:r w:rsidRPr="00057C25">
              <w:rPr>
                <w:lang w:val="en-US"/>
              </w:rPr>
              <w:t>1 January 2025</w:t>
            </w:r>
          </w:p>
        </w:tc>
      </w:tr>
      <w:tr w:rsidR="00057C25" w:rsidRPr="00057C25" w14:paraId="112D56B2" w14:textId="77777777" w:rsidTr="009D7822">
        <w:trPr>
          <w:cantSplit/>
          <w:trHeight w:val="425"/>
        </w:trPr>
        <w:tc>
          <w:tcPr>
            <w:tcW w:w="2978" w:type="pct"/>
          </w:tcPr>
          <w:p w14:paraId="2E4B9A8D" w14:textId="77777777" w:rsidR="00057C25" w:rsidRPr="00057C25" w:rsidRDefault="00057C25" w:rsidP="00057C25">
            <w:pPr>
              <w:pStyle w:val="BodyText"/>
              <w:rPr>
                <w:lang w:val="en-US"/>
              </w:rPr>
            </w:pPr>
            <w:r w:rsidRPr="00057C25">
              <w:rPr>
                <w:lang w:val="en-US"/>
              </w:rPr>
              <w:t xml:space="preserve">Australia Day public holiday </w:t>
            </w:r>
          </w:p>
        </w:tc>
        <w:tc>
          <w:tcPr>
            <w:tcW w:w="2022" w:type="pct"/>
          </w:tcPr>
          <w:p w14:paraId="2574E978" w14:textId="77777777" w:rsidR="00057C25" w:rsidRPr="00057C25" w:rsidRDefault="00057C25" w:rsidP="00057C25">
            <w:pPr>
              <w:pStyle w:val="BodyText"/>
              <w:rPr>
                <w:lang w:val="en-US"/>
              </w:rPr>
            </w:pPr>
            <w:r w:rsidRPr="00057C25">
              <w:rPr>
                <w:lang w:val="en-US"/>
              </w:rPr>
              <w:t>27 January 2025</w:t>
            </w:r>
          </w:p>
        </w:tc>
      </w:tr>
      <w:tr w:rsidR="00057C25" w:rsidRPr="00057C25" w14:paraId="2C02E70D" w14:textId="77777777" w:rsidTr="009D7822">
        <w:trPr>
          <w:cantSplit/>
          <w:trHeight w:val="425"/>
        </w:trPr>
        <w:tc>
          <w:tcPr>
            <w:tcW w:w="2978" w:type="pct"/>
          </w:tcPr>
          <w:p w14:paraId="1363A3B0" w14:textId="77777777" w:rsidR="00057C25" w:rsidRPr="00057C25" w:rsidRDefault="00057C25" w:rsidP="00057C25">
            <w:pPr>
              <w:pStyle w:val="BodyText"/>
              <w:rPr>
                <w:lang w:val="en-US"/>
              </w:rPr>
            </w:pPr>
            <w:r w:rsidRPr="00057C25">
              <w:rPr>
                <w:lang w:val="en-US"/>
              </w:rPr>
              <w:t xml:space="preserve">Good Friday public holiday </w:t>
            </w:r>
          </w:p>
        </w:tc>
        <w:tc>
          <w:tcPr>
            <w:tcW w:w="2022" w:type="pct"/>
          </w:tcPr>
          <w:p w14:paraId="708B532D" w14:textId="77777777" w:rsidR="00057C25" w:rsidRPr="00057C25" w:rsidRDefault="00057C25" w:rsidP="00057C25">
            <w:pPr>
              <w:pStyle w:val="BodyText"/>
              <w:rPr>
                <w:lang w:val="en-US"/>
              </w:rPr>
            </w:pPr>
            <w:r w:rsidRPr="00057C25">
              <w:rPr>
                <w:lang w:val="en-US"/>
              </w:rPr>
              <w:t>18 April 2025</w:t>
            </w:r>
          </w:p>
        </w:tc>
      </w:tr>
      <w:tr w:rsidR="00057C25" w:rsidRPr="00057C25" w14:paraId="75058D4C" w14:textId="77777777" w:rsidTr="009D7822">
        <w:trPr>
          <w:cantSplit/>
          <w:trHeight w:val="425"/>
        </w:trPr>
        <w:tc>
          <w:tcPr>
            <w:tcW w:w="2978" w:type="pct"/>
          </w:tcPr>
          <w:p w14:paraId="0666A163" w14:textId="77777777" w:rsidR="00057C25" w:rsidRPr="00057C25" w:rsidRDefault="00057C25" w:rsidP="00057C25">
            <w:pPr>
              <w:pStyle w:val="BodyText"/>
              <w:rPr>
                <w:lang w:val="en-US"/>
              </w:rPr>
            </w:pPr>
            <w:r w:rsidRPr="00057C25">
              <w:rPr>
                <w:lang w:val="en-US"/>
              </w:rPr>
              <w:t>Easter Monday public holiday</w:t>
            </w:r>
          </w:p>
        </w:tc>
        <w:tc>
          <w:tcPr>
            <w:tcW w:w="2022" w:type="pct"/>
          </w:tcPr>
          <w:p w14:paraId="2A4A0744" w14:textId="77777777" w:rsidR="00057C25" w:rsidRPr="00057C25" w:rsidRDefault="00057C25" w:rsidP="00057C25">
            <w:pPr>
              <w:pStyle w:val="BodyText"/>
              <w:rPr>
                <w:lang w:val="en-US"/>
              </w:rPr>
            </w:pPr>
            <w:r w:rsidRPr="00057C25">
              <w:rPr>
                <w:lang w:val="en-US"/>
              </w:rPr>
              <w:t>21 April 2025</w:t>
            </w:r>
          </w:p>
        </w:tc>
      </w:tr>
      <w:tr w:rsidR="00057C25" w:rsidRPr="00057C25" w14:paraId="56E44916" w14:textId="77777777" w:rsidTr="009D7822">
        <w:trPr>
          <w:cantSplit/>
          <w:trHeight w:val="425"/>
        </w:trPr>
        <w:tc>
          <w:tcPr>
            <w:tcW w:w="2978" w:type="pct"/>
          </w:tcPr>
          <w:p w14:paraId="710A9564" w14:textId="77777777" w:rsidR="00057C25" w:rsidRPr="00057C25" w:rsidRDefault="00057C25" w:rsidP="00057C25">
            <w:pPr>
              <w:pStyle w:val="BodyText"/>
              <w:rPr>
                <w:lang w:val="en-US"/>
              </w:rPr>
            </w:pPr>
            <w:r w:rsidRPr="00057C25">
              <w:rPr>
                <w:lang w:val="en-US"/>
              </w:rPr>
              <w:t>ANZAC Day public holiday</w:t>
            </w:r>
          </w:p>
        </w:tc>
        <w:tc>
          <w:tcPr>
            <w:tcW w:w="2022" w:type="pct"/>
          </w:tcPr>
          <w:p w14:paraId="3E12160A" w14:textId="77777777" w:rsidR="00057C25" w:rsidRPr="00057C25" w:rsidRDefault="00057C25" w:rsidP="00057C25">
            <w:pPr>
              <w:pStyle w:val="BodyText"/>
              <w:rPr>
                <w:lang w:val="en-US"/>
              </w:rPr>
            </w:pPr>
            <w:r w:rsidRPr="00057C25">
              <w:rPr>
                <w:lang w:val="en-US"/>
              </w:rPr>
              <w:t>25 April 2025</w:t>
            </w:r>
          </w:p>
        </w:tc>
      </w:tr>
    </w:tbl>
    <w:bookmarkEnd w:id="0"/>
    <w:p w14:paraId="6A576CF3" w14:textId="77777777" w:rsidR="00F41C6E" w:rsidRDefault="00F41C6E" w:rsidP="00F41C6E">
      <w:pPr>
        <w:pStyle w:val="Heading2"/>
      </w:pPr>
      <w:r>
        <w:t xml:space="preserve">Rates </w:t>
      </w:r>
    </w:p>
    <w:p w14:paraId="36FB9133" w14:textId="77777777" w:rsidR="00F41C6E" w:rsidRDefault="00F41C6E" w:rsidP="00F41C6E">
      <w:pPr>
        <w:pStyle w:val="BodyText"/>
      </w:pPr>
      <w:r>
        <w:t>Outside Australia pension rates and thresholds are re-assessed in January, March, July and September each year.</w:t>
      </w:r>
    </w:p>
    <w:p w14:paraId="6BFE3315" w14:textId="77777777" w:rsidR="00F41C6E" w:rsidRDefault="00F41C6E" w:rsidP="00F41C6E">
      <w:pPr>
        <w:pStyle w:val="Heading2"/>
      </w:pPr>
      <w:r>
        <w:t>Rates and thresholds</w:t>
      </w:r>
    </w:p>
    <w:p w14:paraId="049A0445" w14:textId="11FA9981" w:rsidR="00E05AE3" w:rsidRDefault="00F41C6E" w:rsidP="00F41C6E">
      <w:pPr>
        <w:pStyle w:val="BodyText"/>
      </w:pPr>
      <w:r>
        <w:t>These Australian dollar (A$) figures are a guide only and are effective from 20 September 2024 unless otherwise stated.</w:t>
      </w:r>
    </w:p>
    <w:tbl>
      <w:tblPr>
        <w:tblStyle w:val="TableGrid"/>
        <w:tblW w:w="0" w:type="auto"/>
        <w:tblLook w:val="04A0" w:firstRow="1" w:lastRow="0" w:firstColumn="1" w:lastColumn="0" w:noHBand="0" w:noVBand="1"/>
      </w:tblPr>
      <w:tblGrid>
        <w:gridCol w:w="2219"/>
        <w:gridCol w:w="2219"/>
        <w:gridCol w:w="2219"/>
        <w:gridCol w:w="2219"/>
        <w:gridCol w:w="2220"/>
      </w:tblGrid>
      <w:tr w:rsidR="00F41C6E" w14:paraId="6A449946" w14:textId="77777777" w:rsidTr="009D7822">
        <w:trPr>
          <w:cantSplit/>
          <w:tblHeader/>
        </w:trPr>
        <w:tc>
          <w:tcPr>
            <w:tcW w:w="2219" w:type="dxa"/>
          </w:tcPr>
          <w:p w14:paraId="3ACC0674" w14:textId="0FB75762" w:rsidR="00F41C6E" w:rsidRPr="00EB05AD" w:rsidRDefault="00F41C6E" w:rsidP="00F41C6E">
            <w:pPr>
              <w:pStyle w:val="BodyText"/>
              <w:rPr>
                <w:b/>
                <w:bCs/>
              </w:rPr>
            </w:pPr>
            <w:r w:rsidRPr="00EB05AD">
              <w:rPr>
                <w:b/>
                <w:bCs/>
              </w:rPr>
              <w:lastRenderedPageBreak/>
              <w:t>Outside Australia pension rates and thresholds</w:t>
            </w:r>
          </w:p>
        </w:tc>
        <w:tc>
          <w:tcPr>
            <w:tcW w:w="2219" w:type="dxa"/>
          </w:tcPr>
          <w:p w14:paraId="40207478" w14:textId="07A0092C" w:rsidR="00F41C6E" w:rsidRPr="00EB05AD" w:rsidRDefault="00F41C6E" w:rsidP="00F41C6E">
            <w:pPr>
              <w:pStyle w:val="BodyText"/>
              <w:rPr>
                <w:b/>
                <w:bCs/>
              </w:rPr>
            </w:pPr>
            <w:r w:rsidRPr="00EB05AD">
              <w:rPr>
                <w:b/>
                <w:bCs/>
              </w:rPr>
              <w:t>SINGLE</w:t>
            </w:r>
          </w:p>
        </w:tc>
        <w:tc>
          <w:tcPr>
            <w:tcW w:w="2219" w:type="dxa"/>
          </w:tcPr>
          <w:p w14:paraId="382101C0" w14:textId="218C83CD" w:rsidR="00F41C6E" w:rsidRPr="00EB05AD" w:rsidRDefault="00F41C6E" w:rsidP="00F41C6E">
            <w:pPr>
              <w:pStyle w:val="BodyText"/>
              <w:rPr>
                <w:b/>
                <w:bCs/>
              </w:rPr>
            </w:pPr>
            <w:r w:rsidRPr="00EB05AD">
              <w:rPr>
                <w:b/>
                <w:bCs/>
              </w:rPr>
              <w:t>COUPLE both eligible</w:t>
            </w:r>
          </w:p>
        </w:tc>
        <w:tc>
          <w:tcPr>
            <w:tcW w:w="2219" w:type="dxa"/>
          </w:tcPr>
          <w:p w14:paraId="654CFAA4" w14:textId="26A90666" w:rsidR="00F41C6E" w:rsidRPr="00EB05AD" w:rsidRDefault="00F41C6E" w:rsidP="00F41C6E">
            <w:pPr>
              <w:pStyle w:val="BodyText"/>
              <w:rPr>
                <w:b/>
                <w:bCs/>
              </w:rPr>
            </w:pPr>
            <w:r w:rsidRPr="00EB05AD">
              <w:rPr>
                <w:b/>
                <w:bCs/>
              </w:rPr>
              <w:t>COUPLE one eligible partner</w:t>
            </w:r>
          </w:p>
        </w:tc>
        <w:tc>
          <w:tcPr>
            <w:tcW w:w="2220" w:type="dxa"/>
          </w:tcPr>
          <w:p w14:paraId="553841E4" w14:textId="3D673000" w:rsidR="00F41C6E" w:rsidRPr="00EB05AD" w:rsidRDefault="00F41C6E" w:rsidP="00F41C6E">
            <w:pPr>
              <w:pStyle w:val="BodyText"/>
              <w:rPr>
                <w:b/>
                <w:bCs/>
              </w:rPr>
            </w:pPr>
            <w:r w:rsidRPr="00EB05AD">
              <w:rPr>
                <w:b/>
                <w:bCs/>
              </w:rPr>
              <w:t>COUPLE separated due to ill health</w:t>
            </w:r>
          </w:p>
        </w:tc>
      </w:tr>
      <w:tr w:rsidR="00F41C6E" w14:paraId="38A4B0A5" w14:textId="77777777" w:rsidTr="009D7822">
        <w:trPr>
          <w:cantSplit/>
        </w:trPr>
        <w:tc>
          <w:tcPr>
            <w:tcW w:w="2219" w:type="dxa"/>
          </w:tcPr>
          <w:p w14:paraId="64B8FD47" w14:textId="3AA94BA3" w:rsidR="00F41C6E" w:rsidRPr="002641D6" w:rsidRDefault="00F41C6E" w:rsidP="00F41C6E">
            <w:pPr>
              <w:pStyle w:val="BodyText"/>
              <w:rPr>
                <w:b/>
                <w:bCs/>
              </w:rPr>
            </w:pPr>
            <w:r w:rsidRPr="002641D6">
              <w:rPr>
                <w:b/>
                <w:bCs/>
              </w:rPr>
              <w:t xml:space="preserve">How much pension </w:t>
            </w:r>
            <w:r w:rsidRPr="002641D6">
              <w:rPr>
                <w:b/>
                <w:bCs/>
                <w:vertAlign w:val="superscript"/>
              </w:rPr>
              <w:t>1, 2, 3, 4</w:t>
            </w:r>
          </w:p>
        </w:tc>
        <w:tc>
          <w:tcPr>
            <w:tcW w:w="2219" w:type="dxa"/>
          </w:tcPr>
          <w:p w14:paraId="27D96762" w14:textId="0BC78BAD" w:rsidR="00F41C6E" w:rsidRPr="002641D6" w:rsidRDefault="00F41C6E" w:rsidP="00F41C6E">
            <w:pPr>
              <w:pStyle w:val="BodyText"/>
              <w:rPr>
                <w:b/>
                <w:bCs/>
              </w:rPr>
            </w:pPr>
            <w:r w:rsidRPr="002641D6">
              <w:rPr>
                <w:b/>
                <w:bCs/>
              </w:rPr>
              <w:t>Per year</w:t>
            </w:r>
          </w:p>
        </w:tc>
        <w:tc>
          <w:tcPr>
            <w:tcW w:w="2219" w:type="dxa"/>
          </w:tcPr>
          <w:p w14:paraId="5A5FE53B" w14:textId="01462F10" w:rsidR="00F41C6E" w:rsidRPr="002641D6" w:rsidRDefault="00F41C6E" w:rsidP="00F41C6E">
            <w:pPr>
              <w:pStyle w:val="BodyText"/>
              <w:rPr>
                <w:b/>
                <w:bCs/>
              </w:rPr>
            </w:pPr>
            <w:r w:rsidRPr="002641D6">
              <w:rPr>
                <w:b/>
                <w:bCs/>
              </w:rPr>
              <w:t>Per year</w:t>
            </w:r>
          </w:p>
        </w:tc>
        <w:tc>
          <w:tcPr>
            <w:tcW w:w="2219" w:type="dxa"/>
          </w:tcPr>
          <w:p w14:paraId="2BE9DEFA" w14:textId="7C8829AA" w:rsidR="00F41C6E" w:rsidRPr="002641D6" w:rsidRDefault="00F41C6E" w:rsidP="00F41C6E">
            <w:pPr>
              <w:pStyle w:val="BodyText"/>
              <w:rPr>
                <w:b/>
                <w:bCs/>
              </w:rPr>
            </w:pPr>
            <w:r w:rsidRPr="002641D6">
              <w:rPr>
                <w:b/>
                <w:bCs/>
              </w:rPr>
              <w:t>Per year</w:t>
            </w:r>
          </w:p>
        </w:tc>
        <w:tc>
          <w:tcPr>
            <w:tcW w:w="2220" w:type="dxa"/>
          </w:tcPr>
          <w:p w14:paraId="461BEECB" w14:textId="0EB34916" w:rsidR="00F41C6E" w:rsidRPr="002641D6" w:rsidRDefault="00F41C6E" w:rsidP="00F41C6E">
            <w:pPr>
              <w:pStyle w:val="BodyText"/>
              <w:rPr>
                <w:b/>
                <w:bCs/>
              </w:rPr>
            </w:pPr>
            <w:r w:rsidRPr="002641D6">
              <w:rPr>
                <w:b/>
                <w:bCs/>
              </w:rPr>
              <w:t>Per year each</w:t>
            </w:r>
          </w:p>
        </w:tc>
      </w:tr>
      <w:tr w:rsidR="00F41C6E" w14:paraId="33F87720" w14:textId="77777777" w:rsidTr="009D7822">
        <w:trPr>
          <w:cantSplit/>
        </w:trPr>
        <w:tc>
          <w:tcPr>
            <w:tcW w:w="2219" w:type="dxa"/>
          </w:tcPr>
          <w:p w14:paraId="21198E0C" w14:textId="0F07866B" w:rsidR="00F41C6E" w:rsidRDefault="00F41C6E" w:rsidP="00F41C6E">
            <w:pPr>
              <w:pStyle w:val="BodyText"/>
            </w:pPr>
            <w:r w:rsidRPr="00F77F02">
              <w:t>Maximum basic rate</w:t>
            </w:r>
          </w:p>
        </w:tc>
        <w:tc>
          <w:tcPr>
            <w:tcW w:w="2219" w:type="dxa"/>
          </w:tcPr>
          <w:p w14:paraId="6C6B2F9C" w14:textId="2EBC7DE8" w:rsidR="00F41C6E" w:rsidRDefault="00F41C6E" w:rsidP="00F41C6E">
            <w:pPr>
              <w:pStyle w:val="BodyText"/>
            </w:pPr>
            <w:r w:rsidRPr="00F77F02">
              <w:t>A$27,224.60</w:t>
            </w:r>
          </w:p>
        </w:tc>
        <w:tc>
          <w:tcPr>
            <w:tcW w:w="2219" w:type="dxa"/>
          </w:tcPr>
          <w:p w14:paraId="670E57ED" w14:textId="1036E841" w:rsidR="00F41C6E" w:rsidRDefault="00F41C6E" w:rsidP="00F41C6E">
            <w:pPr>
              <w:pStyle w:val="BodyText"/>
            </w:pPr>
            <w:r w:rsidRPr="00F77F02">
              <w:t>A$41,043.60</w:t>
            </w:r>
          </w:p>
        </w:tc>
        <w:tc>
          <w:tcPr>
            <w:tcW w:w="2219" w:type="dxa"/>
          </w:tcPr>
          <w:p w14:paraId="2C4FFA70" w14:textId="2578B738" w:rsidR="00F41C6E" w:rsidRDefault="00F41C6E" w:rsidP="00F41C6E">
            <w:pPr>
              <w:pStyle w:val="BodyText"/>
            </w:pPr>
            <w:r w:rsidRPr="00F77F02">
              <w:t>A$20,521.80</w:t>
            </w:r>
          </w:p>
        </w:tc>
        <w:tc>
          <w:tcPr>
            <w:tcW w:w="2220" w:type="dxa"/>
          </w:tcPr>
          <w:p w14:paraId="13475E47" w14:textId="23199C43" w:rsidR="00F41C6E" w:rsidRDefault="00F41C6E" w:rsidP="00F41C6E">
            <w:pPr>
              <w:pStyle w:val="BodyText"/>
            </w:pPr>
            <w:r w:rsidRPr="00F77F02">
              <w:t>A$27,224.60</w:t>
            </w:r>
          </w:p>
        </w:tc>
      </w:tr>
      <w:tr w:rsidR="00F41C6E" w14:paraId="4912C751" w14:textId="77777777" w:rsidTr="009D7822">
        <w:trPr>
          <w:cantSplit/>
        </w:trPr>
        <w:tc>
          <w:tcPr>
            <w:tcW w:w="2219" w:type="dxa"/>
          </w:tcPr>
          <w:p w14:paraId="5DFEDC57" w14:textId="288C83AB" w:rsidR="00F41C6E" w:rsidRDefault="00F41C6E" w:rsidP="00F41C6E">
            <w:pPr>
              <w:pStyle w:val="BodyText"/>
            </w:pPr>
            <w:r w:rsidRPr="00F77F02">
              <w:t>Basic Pension Supplement</w:t>
            </w:r>
          </w:p>
        </w:tc>
        <w:tc>
          <w:tcPr>
            <w:tcW w:w="2219" w:type="dxa"/>
          </w:tcPr>
          <w:p w14:paraId="1557EE05" w14:textId="31A3FBFB" w:rsidR="00F41C6E" w:rsidRDefault="00F41C6E" w:rsidP="00F41C6E">
            <w:pPr>
              <w:pStyle w:val="BodyText"/>
            </w:pPr>
            <w:r w:rsidRPr="00F77F02">
              <w:t>A$751.40</w:t>
            </w:r>
          </w:p>
        </w:tc>
        <w:tc>
          <w:tcPr>
            <w:tcW w:w="2219" w:type="dxa"/>
          </w:tcPr>
          <w:p w14:paraId="6952E552" w14:textId="7B06A33F" w:rsidR="00F41C6E" w:rsidRDefault="00F41C6E" w:rsidP="00F41C6E">
            <w:pPr>
              <w:pStyle w:val="BodyText"/>
            </w:pPr>
            <w:r w:rsidRPr="00F77F02">
              <w:t>A$1,237.60</w:t>
            </w:r>
          </w:p>
        </w:tc>
        <w:tc>
          <w:tcPr>
            <w:tcW w:w="2219" w:type="dxa"/>
          </w:tcPr>
          <w:p w14:paraId="2C345AC6" w14:textId="48B1AAA3" w:rsidR="00F41C6E" w:rsidRDefault="00F41C6E" w:rsidP="00F41C6E">
            <w:pPr>
              <w:pStyle w:val="BodyText"/>
            </w:pPr>
            <w:r w:rsidRPr="00F77F02">
              <w:t>A$618.80</w:t>
            </w:r>
          </w:p>
        </w:tc>
        <w:tc>
          <w:tcPr>
            <w:tcW w:w="2220" w:type="dxa"/>
          </w:tcPr>
          <w:p w14:paraId="6F8B2B8E" w14:textId="62EC07B4" w:rsidR="00F41C6E" w:rsidRDefault="00F41C6E" w:rsidP="00F41C6E">
            <w:pPr>
              <w:pStyle w:val="BodyText"/>
            </w:pPr>
            <w:r w:rsidRPr="00F77F02">
              <w:t>A$751.40</w:t>
            </w:r>
          </w:p>
        </w:tc>
      </w:tr>
      <w:tr w:rsidR="00F41C6E" w14:paraId="6A155469" w14:textId="77777777" w:rsidTr="009D7822">
        <w:trPr>
          <w:cantSplit/>
        </w:trPr>
        <w:tc>
          <w:tcPr>
            <w:tcW w:w="2219" w:type="dxa"/>
          </w:tcPr>
          <w:p w14:paraId="70755B72" w14:textId="13F07217" w:rsidR="00F41C6E" w:rsidRDefault="00F41C6E" w:rsidP="00F41C6E">
            <w:pPr>
              <w:pStyle w:val="BodyText"/>
            </w:pPr>
            <w:r w:rsidRPr="00F77F02">
              <w:t>Total</w:t>
            </w:r>
          </w:p>
        </w:tc>
        <w:tc>
          <w:tcPr>
            <w:tcW w:w="2219" w:type="dxa"/>
          </w:tcPr>
          <w:p w14:paraId="61420944" w14:textId="0A558CD6" w:rsidR="00F41C6E" w:rsidRDefault="00F41C6E" w:rsidP="00F41C6E">
            <w:pPr>
              <w:pStyle w:val="BodyText"/>
            </w:pPr>
            <w:r w:rsidRPr="00F77F02">
              <w:t>A$27,976.00</w:t>
            </w:r>
          </w:p>
        </w:tc>
        <w:tc>
          <w:tcPr>
            <w:tcW w:w="2219" w:type="dxa"/>
          </w:tcPr>
          <w:p w14:paraId="3D6A626D" w14:textId="0F08B53A" w:rsidR="00F41C6E" w:rsidRDefault="00F41C6E" w:rsidP="00F41C6E">
            <w:pPr>
              <w:pStyle w:val="BodyText"/>
            </w:pPr>
            <w:r w:rsidRPr="00F77F02">
              <w:t>A$42,281.20</w:t>
            </w:r>
          </w:p>
        </w:tc>
        <w:tc>
          <w:tcPr>
            <w:tcW w:w="2219" w:type="dxa"/>
          </w:tcPr>
          <w:p w14:paraId="354EB894" w14:textId="5C1D307C" w:rsidR="00F41C6E" w:rsidRDefault="00F41C6E" w:rsidP="00F41C6E">
            <w:pPr>
              <w:pStyle w:val="BodyText"/>
            </w:pPr>
            <w:r w:rsidRPr="00F77F02">
              <w:t>A$21,140.60</w:t>
            </w:r>
          </w:p>
        </w:tc>
        <w:tc>
          <w:tcPr>
            <w:tcW w:w="2220" w:type="dxa"/>
          </w:tcPr>
          <w:p w14:paraId="280BDC76" w14:textId="66D9EAA6" w:rsidR="00F41C6E" w:rsidRDefault="00F41C6E" w:rsidP="00F41C6E">
            <w:pPr>
              <w:pStyle w:val="BodyText"/>
            </w:pPr>
            <w:r w:rsidRPr="00F77F02">
              <w:t>A$27,976.00</w:t>
            </w:r>
          </w:p>
        </w:tc>
      </w:tr>
      <w:tr w:rsidR="00F41C6E" w14:paraId="0B1E653F" w14:textId="77777777" w:rsidTr="009D7822">
        <w:trPr>
          <w:cantSplit/>
        </w:trPr>
        <w:tc>
          <w:tcPr>
            <w:tcW w:w="2219" w:type="dxa"/>
          </w:tcPr>
          <w:p w14:paraId="4F542D2A" w14:textId="510BC7D5" w:rsidR="00F41C6E" w:rsidRPr="002641D6" w:rsidRDefault="00F41C6E" w:rsidP="00F41C6E">
            <w:pPr>
              <w:pStyle w:val="BodyText"/>
              <w:rPr>
                <w:b/>
                <w:bCs/>
              </w:rPr>
            </w:pPr>
            <w:r w:rsidRPr="002641D6">
              <w:rPr>
                <w:b/>
                <w:bCs/>
              </w:rPr>
              <w:t xml:space="preserve">Allowable Income </w:t>
            </w:r>
            <w:r w:rsidRPr="002641D6">
              <w:rPr>
                <w:b/>
                <w:bCs/>
                <w:vertAlign w:val="superscript"/>
              </w:rPr>
              <w:t>5,6</w:t>
            </w:r>
          </w:p>
        </w:tc>
        <w:tc>
          <w:tcPr>
            <w:tcW w:w="2219" w:type="dxa"/>
          </w:tcPr>
          <w:p w14:paraId="6B55891C" w14:textId="4BFE14F0" w:rsidR="00F41C6E" w:rsidRPr="002641D6" w:rsidRDefault="00F41C6E" w:rsidP="00F41C6E">
            <w:pPr>
              <w:pStyle w:val="BodyText"/>
              <w:rPr>
                <w:b/>
                <w:bCs/>
              </w:rPr>
            </w:pPr>
            <w:r w:rsidRPr="002641D6">
              <w:rPr>
                <w:b/>
                <w:bCs/>
              </w:rPr>
              <w:t>Per year</w:t>
            </w:r>
          </w:p>
        </w:tc>
        <w:tc>
          <w:tcPr>
            <w:tcW w:w="2219" w:type="dxa"/>
          </w:tcPr>
          <w:p w14:paraId="4B79E3BE" w14:textId="6D761DDE" w:rsidR="00F41C6E" w:rsidRPr="002641D6" w:rsidRDefault="00F41C6E" w:rsidP="00F41C6E">
            <w:pPr>
              <w:pStyle w:val="BodyText"/>
              <w:rPr>
                <w:b/>
                <w:bCs/>
              </w:rPr>
            </w:pPr>
            <w:r w:rsidRPr="002641D6">
              <w:rPr>
                <w:b/>
                <w:bCs/>
              </w:rPr>
              <w:t>Combined</w:t>
            </w:r>
          </w:p>
        </w:tc>
        <w:tc>
          <w:tcPr>
            <w:tcW w:w="2219" w:type="dxa"/>
          </w:tcPr>
          <w:p w14:paraId="1E22D182" w14:textId="6764AFF4" w:rsidR="00F41C6E" w:rsidRPr="002641D6" w:rsidRDefault="00F41C6E" w:rsidP="00F41C6E">
            <w:pPr>
              <w:pStyle w:val="BodyText"/>
              <w:rPr>
                <w:b/>
                <w:bCs/>
              </w:rPr>
            </w:pPr>
            <w:r w:rsidRPr="002641D6">
              <w:rPr>
                <w:b/>
                <w:bCs/>
              </w:rPr>
              <w:t>Combined</w:t>
            </w:r>
          </w:p>
        </w:tc>
        <w:tc>
          <w:tcPr>
            <w:tcW w:w="2220" w:type="dxa"/>
          </w:tcPr>
          <w:p w14:paraId="38CC27C4" w14:textId="1CBF0978" w:rsidR="00F41C6E" w:rsidRPr="002641D6" w:rsidRDefault="00F41C6E" w:rsidP="00F41C6E">
            <w:pPr>
              <w:pStyle w:val="BodyText"/>
              <w:rPr>
                <w:b/>
                <w:bCs/>
              </w:rPr>
            </w:pPr>
            <w:r w:rsidRPr="002641D6">
              <w:rPr>
                <w:b/>
                <w:bCs/>
              </w:rPr>
              <w:t>Combined</w:t>
            </w:r>
          </w:p>
        </w:tc>
      </w:tr>
      <w:tr w:rsidR="00F41C6E" w14:paraId="62199FA9" w14:textId="77777777" w:rsidTr="009D7822">
        <w:trPr>
          <w:cantSplit/>
        </w:trPr>
        <w:tc>
          <w:tcPr>
            <w:tcW w:w="2219" w:type="dxa"/>
          </w:tcPr>
          <w:p w14:paraId="281EC99A" w14:textId="67DB14A9" w:rsidR="00F41C6E" w:rsidRDefault="00F41C6E" w:rsidP="00F41C6E">
            <w:pPr>
              <w:pStyle w:val="BodyText"/>
            </w:pPr>
            <w:r w:rsidRPr="00F77F02">
              <w:t>Full pension</w:t>
            </w:r>
          </w:p>
        </w:tc>
        <w:tc>
          <w:tcPr>
            <w:tcW w:w="2219" w:type="dxa"/>
          </w:tcPr>
          <w:p w14:paraId="4028D6C3" w14:textId="5AB48FF4" w:rsidR="00F41C6E" w:rsidRDefault="00F41C6E" w:rsidP="00F41C6E">
            <w:pPr>
              <w:pStyle w:val="BodyText"/>
            </w:pPr>
            <w:r w:rsidRPr="00F77F02">
              <w:t>up to A$5,512.00</w:t>
            </w:r>
          </w:p>
        </w:tc>
        <w:tc>
          <w:tcPr>
            <w:tcW w:w="2219" w:type="dxa"/>
          </w:tcPr>
          <w:p w14:paraId="79C3CB0E" w14:textId="5C036772" w:rsidR="00F41C6E" w:rsidRDefault="00F41C6E" w:rsidP="00F41C6E">
            <w:pPr>
              <w:pStyle w:val="BodyText"/>
            </w:pPr>
            <w:r w:rsidRPr="00F77F02">
              <w:t>up to A$9,672.00</w:t>
            </w:r>
          </w:p>
        </w:tc>
        <w:tc>
          <w:tcPr>
            <w:tcW w:w="2219" w:type="dxa"/>
          </w:tcPr>
          <w:p w14:paraId="6751DE95" w14:textId="09A45829" w:rsidR="00F41C6E" w:rsidRDefault="00F41C6E" w:rsidP="00F41C6E">
            <w:pPr>
              <w:pStyle w:val="BodyText"/>
            </w:pPr>
            <w:r w:rsidRPr="00F77F02">
              <w:t>up to A$9,672.00</w:t>
            </w:r>
          </w:p>
        </w:tc>
        <w:tc>
          <w:tcPr>
            <w:tcW w:w="2220" w:type="dxa"/>
          </w:tcPr>
          <w:p w14:paraId="4AD4D5C4" w14:textId="00D6C4E9" w:rsidR="00F41C6E" w:rsidRDefault="00F41C6E" w:rsidP="00F41C6E">
            <w:pPr>
              <w:pStyle w:val="BodyText"/>
            </w:pPr>
            <w:r w:rsidRPr="00F77F02">
              <w:t>up to A$9672.00</w:t>
            </w:r>
          </w:p>
        </w:tc>
      </w:tr>
      <w:tr w:rsidR="00F41C6E" w14:paraId="68474EE7" w14:textId="77777777" w:rsidTr="009D7822">
        <w:trPr>
          <w:cantSplit/>
        </w:trPr>
        <w:tc>
          <w:tcPr>
            <w:tcW w:w="2219" w:type="dxa"/>
          </w:tcPr>
          <w:p w14:paraId="0C0EFFF9" w14:textId="4A4CD1F8" w:rsidR="00F41C6E" w:rsidRDefault="00F41C6E" w:rsidP="00F41C6E">
            <w:pPr>
              <w:pStyle w:val="BodyText"/>
            </w:pPr>
            <w:r w:rsidRPr="00F77F02">
              <w:t>Part pension</w:t>
            </w:r>
          </w:p>
        </w:tc>
        <w:tc>
          <w:tcPr>
            <w:tcW w:w="2219" w:type="dxa"/>
          </w:tcPr>
          <w:p w14:paraId="367EA450" w14:textId="00200133" w:rsidR="00F41C6E" w:rsidRDefault="00F41C6E" w:rsidP="00F41C6E">
            <w:pPr>
              <w:pStyle w:val="BodyText"/>
            </w:pPr>
            <w:r w:rsidRPr="00F77F02">
              <w:t>Less than A$61,464.00</w:t>
            </w:r>
          </w:p>
        </w:tc>
        <w:tc>
          <w:tcPr>
            <w:tcW w:w="2219" w:type="dxa"/>
          </w:tcPr>
          <w:p w14:paraId="33725506" w14:textId="66DAA1E5" w:rsidR="00F41C6E" w:rsidRDefault="00F41C6E" w:rsidP="00F41C6E">
            <w:pPr>
              <w:pStyle w:val="BodyText"/>
            </w:pPr>
            <w:r w:rsidRPr="00F77F02">
              <w:t xml:space="preserve">Less than A$94,234.40 </w:t>
            </w:r>
          </w:p>
        </w:tc>
        <w:tc>
          <w:tcPr>
            <w:tcW w:w="2219" w:type="dxa"/>
          </w:tcPr>
          <w:p w14:paraId="4434975A" w14:textId="6C81BA03" w:rsidR="00F41C6E" w:rsidRDefault="00F41C6E" w:rsidP="00F41C6E">
            <w:pPr>
              <w:pStyle w:val="BodyText"/>
            </w:pPr>
            <w:r w:rsidRPr="00F77F02">
              <w:t>Less than A$94,234.40</w:t>
            </w:r>
          </w:p>
        </w:tc>
        <w:tc>
          <w:tcPr>
            <w:tcW w:w="2220" w:type="dxa"/>
          </w:tcPr>
          <w:p w14:paraId="309F3F2C" w14:textId="47C9FBED" w:rsidR="00F41C6E" w:rsidRDefault="00F41C6E" w:rsidP="00F41C6E">
            <w:pPr>
              <w:pStyle w:val="BodyText"/>
            </w:pPr>
            <w:r w:rsidRPr="00F77F02">
              <w:t xml:space="preserve">Less than A$121,576.00 </w:t>
            </w:r>
          </w:p>
        </w:tc>
      </w:tr>
      <w:tr w:rsidR="00F41C6E" w14:paraId="09ED74A7" w14:textId="77777777" w:rsidTr="009D7822">
        <w:trPr>
          <w:cantSplit/>
        </w:trPr>
        <w:tc>
          <w:tcPr>
            <w:tcW w:w="2219" w:type="dxa"/>
          </w:tcPr>
          <w:p w14:paraId="12AADE8B" w14:textId="2AD2903C" w:rsidR="00F41C6E" w:rsidRPr="002641D6" w:rsidRDefault="00F41C6E" w:rsidP="00F41C6E">
            <w:pPr>
              <w:pStyle w:val="BodyText"/>
              <w:rPr>
                <w:b/>
                <w:bCs/>
              </w:rPr>
            </w:pPr>
            <w:r w:rsidRPr="002641D6">
              <w:rPr>
                <w:b/>
                <w:bCs/>
              </w:rPr>
              <w:t xml:space="preserve">Allowable Assets </w:t>
            </w:r>
            <w:r w:rsidRPr="002641D6">
              <w:rPr>
                <w:b/>
                <w:bCs/>
                <w:vertAlign w:val="superscript"/>
              </w:rPr>
              <w:t>7</w:t>
            </w:r>
          </w:p>
        </w:tc>
        <w:tc>
          <w:tcPr>
            <w:tcW w:w="2219" w:type="dxa"/>
          </w:tcPr>
          <w:p w14:paraId="4028402E" w14:textId="6AF41F2B" w:rsidR="00F41C6E" w:rsidRPr="002641D6" w:rsidRDefault="00F41C6E" w:rsidP="00F41C6E">
            <w:pPr>
              <w:pStyle w:val="BodyText"/>
              <w:rPr>
                <w:b/>
                <w:bCs/>
              </w:rPr>
            </w:pPr>
            <w:r w:rsidRPr="002641D6">
              <w:rPr>
                <w:b/>
                <w:bCs/>
              </w:rPr>
              <w:t>Single</w:t>
            </w:r>
          </w:p>
        </w:tc>
        <w:tc>
          <w:tcPr>
            <w:tcW w:w="2219" w:type="dxa"/>
          </w:tcPr>
          <w:p w14:paraId="6332FBB3" w14:textId="325C9880" w:rsidR="00F41C6E" w:rsidRPr="002641D6" w:rsidRDefault="00F41C6E" w:rsidP="00F41C6E">
            <w:pPr>
              <w:pStyle w:val="BodyText"/>
              <w:rPr>
                <w:b/>
                <w:bCs/>
              </w:rPr>
            </w:pPr>
            <w:r w:rsidRPr="002641D6">
              <w:rPr>
                <w:b/>
                <w:bCs/>
              </w:rPr>
              <w:t>Combined</w:t>
            </w:r>
          </w:p>
        </w:tc>
        <w:tc>
          <w:tcPr>
            <w:tcW w:w="2219" w:type="dxa"/>
          </w:tcPr>
          <w:p w14:paraId="35EEFDCF" w14:textId="25534549" w:rsidR="00F41C6E" w:rsidRPr="002641D6" w:rsidRDefault="00F41C6E" w:rsidP="00F41C6E">
            <w:pPr>
              <w:pStyle w:val="BodyText"/>
              <w:rPr>
                <w:b/>
                <w:bCs/>
              </w:rPr>
            </w:pPr>
            <w:r w:rsidRPr="002641D6">
              <w:rPr>
                <w:b/>
                <w:bCs/>
              </w:rPr>
              <w:t>Combined</w:t>
            </w:r>
          </w:p>
        </w:tc>
        <w:tc>
          <w:tcPr>
            <w:tcW w:w="2220" w:type="dxa"/>
          </w:tcPr>
          <w:p w14:paraId="2C8BCABD" w14:textId="0695D2BF" w:rsidR="00F41C6E" w:rsidRPr="002641D6" w:rsidRDefault="00F41C6E" w:rsidP="00F41C6E">
            <w:pPr>
              <w:pStyle w:val="BodyText"/>
              <w:rPr>
                <w:b/>
                <w:bCs/>
              </w:rPr>
            </w:pPr>
            <w:r w:rsidRPr="002641D6">
              <w:rPr>
                <w:b/>
                <w:bCs/>
              </w:rPr>
              <w:t>Combined</w:t>
            </w:r>
          </w:p>
        </w:tc>
      </w:tr>
      <w:tr w:rsidR="00F41C6E" w14:paraId="5156FD88" w14:textId="77777777" w:rsidTr="009D7822">
        <w:trPr>
          <w:cantSplit/>
        </w:trPr>
        <w:tc>
          <w:tcPr>
            <w:tcW w:w="2219" w:type="dxa"/>
          </w:tcPr>
          <w:p w14:paraId="75A0E2C9" w14:textId="3CC298F7" w:rsidR="00F41C6E" w:rsidRDefault="00F41C6E" w:rsidP="00F41C6E">
            <w:pPr>
              <w:pStyle w:val="BodyText"/>
            </w:pPr>
            <w:r w:rsidRPr="00F77F02">
              <w:t>Full pension — Homeowner</w:t>
            </w:r>
          </w:p>
        </w:tc>
        <w:tc>
          <w:tcPr>
            <w:tcW w:w="2219" w:type="dxa"/>
          </w:tcPr>
          <w:p w14:paraId="38293B19" w14:textId="107322AF" w:rsidR="00F41C6E" w:rsidRDefault="00F41C6E" w:rsidP="00F41C6E">
            <w:pPr>
              <w:pStyle w:val="BodyText"/>
            </w:pPr>
            <w:r w:rsidRPr="00F77F02">
              <w:t>A$314,000</w:t>
            </w:r>
          </w:p>
        </w:tc>
        <w:tc>
          <w:tcPr>
            <w:tcW w:w="2219" w:type="dxa"/>
          </w:tcPr>
          <w:p w14:paraId="20CCEE26" w14:textId="2C065D15" w:rsidR="00F41C6E" w:rsidRDefault="00F41C6E" w:rsidP="00F41C6E">
            <w:pPr>
              <w:pStyle w:val="BodyText"/>
            </w:pPr>
            <w:r w:rsidRPr="00F77F02">
              <w:t>A$470,000</w:t>
            </w:r>
          </w:p>
        </w:tc>
        <w:tc>
          <w:tcPr>
            <w:tcW w:w="2219" w:type="dxa"/>
          </w:tcPr>
          <w:p w14:paraId="70D8E6E4" w14:textId="0B2DA960" w:rsidR="00F41C6E" w:rsidRDefault="00F41C6E" w:rsidP="00F41C6E">
            <w:pPr>
              <w:pStyle w:val="BodyText"/>
            </w:pPr>
            <w:r w:rsidRPr="00F77F02">
              <w:t>A$470,000</w:t>
            </w:r>
          </w:p>
        </w:tc>
        <w:tc>
          <w:tcPr>
            <w:tcW w:w="2220" w:type="dxa"/>
          </w:tcPr>
          <w:p w14:paraId="4C1EB6C8" w14:textId="71C78AEF" w:rsidR="00F41C6E" w:rsidRDefault="00F41C6E" w:rsidP="00F41C6E">
            <w:pPr>
              <w:pStyle w:val="BodyText"/>
            </w:pPr>
            <w:r w:rsidRPr="00F77F02">
              <w:t>A$470,000</w:t>
            </w:r>
          </w:p>
        </w:tc>
      </w:tr>
      <w:tr w:rsidR="00F41C6E" w14:paraId="0ECD4F87" w14:textId="77777777" w:rsidTr="009D7822">
        <w:trPr>
          <w:cantSplit/>
        </w:trPr>
        <w:tc>
          <w:tcPr>
            <w:tcW w:w="2219" w:type="dxa"/>
          </w:tcPr>
          <w:p w14:paraId="1149334F" w14:textId="0F29E278" w:rsidR="00F41C6E" w:rsidRDefault="00F41C6E" w:rsidP="00F41C6E">
            <w:pPr>
              <w:pStyle w:val="BodyText"/>
            </w:pPr>
            <w:r w:rsidRPr="00F77F02">
              <w:t xml:space="preserve">Full pension — </w:t>
            </w:r>
            <w:proofErr w:type="gramStart"/>
            <w:r w:rsidRPr="00F77F02">
              <w:t>Non-homeowner</w:t>
            </w:r>
            <w:proofErr w:type="gramEnd"/>
          </w:p>
        </w:tc>
        <w:tc>
          <w:tcPr>
            <w:tcW w:w="2219" w:type="dxa"/>
          </w:tcPr>
          <w:p w14:paraId="40421C90" w14:textId="54E1E1F2" w:rsidR="00F41C6E" w:rsidRDefault="00F41C6E" w:rsidP="00F41C6E">
            <w:pPr>
              <w:pStyle w:val="BodyText"/>
            </w:pPr>
            <w:r w:rsidRPr="00F77F02">
              <w:t>A$566,000</w:t>
            </w:r>
          </w:p>
        </w:tc>
        <w:tc>
          <w:tcPr>
            <w:tcW w:w="2219" w:type="dxa"/>
          </w:tcPr>
          <w:p w14:paraId="434EA95D" w14:textId="78A5DE46" w:rsidR="00F41C6E" w:rsidRDefault="00F41C6E" w:rsidP="00F41C6E">
            <w:pPr>
              <w:pStyle w:val="BodyText"/>
            </w:pPr>
            <w:r w:rsidRPr="00F77F02">
              <w:t>A$722,000</w:t>
            </w:r>
          </w:p>
        </w:tc>
        <w:tc>
          <w:tcPr>
            <w:tcW w:w="2219" w:type="dxa"/>
          </w:tcPr>
          <w:p w14:paraId="3BC42196" w14:textId="0E4D09B6" w:rsidR="00F41C6E" w:rsidRDefault="00F41C6E" w:rsidP="00F41C6E">
            <w:pPr>
              <w:pStyle w:val="BodyText"/>
            </w:pPr>
            <w:r w:rsidRPr="00F77F02">
              <w:t>A$722,000</w:t>
            </w:r>
          </w:p>
        </w:tc>
        <w:tc>
          <w:tcPr>
            <w:tcW w:w="2220" w:type="dxa"/>
          </w:tcPr>
          <w:p w14:paraId="6E49584C" w14:textId="3C7A3C58" w:rsidR="00F41C6E" w:rsidRDefault="00F41C6E" w:rsidP="00F41C6E">
            <w:pPr>
              <w:pStyle w:val="BodyText"/>
            </w:pPr>
            <w:r w:rsidRPr="00F77F02">
              <w:t>A$722,000</w:t>
            </w:r>
          </w:p>
        </w:tc>
      </w:tr>
      <w:tr w:rsidR="00F41C6E" w14:paraId="4F843394" w14:textId="77777777" w:rsidTr="009D7822">
        <w:trPr>
          <w:cantSplit/>
        </w:trPr>
        <w:tc>
          <w:tcPr>
            <w:tcW w:w="2219" w:type="dxa"/>
          </w:tcPr>
          <w:p w14:paraId="7570A184" w14:textId="3869E2C5" w:rsidR="00F41C6E" w:rsidRDefault="00F41C6E" w:rsidP="00F41C6E">
            <w:pPr>
              <w:pStyle w:val="BodyText"/>
            </w:pPr>
            <w:r w:rsidRPr="00F77F02">
              <w:t>Part pension — Homeowner</w:t>
            </w:r>
          </w:p>
        </w:tc>
        <w:tc>
          <w:tcPr>
            <w:tcW w:w="2219" w:type="dxa"/>
          </w:tcPr>
          <w:p w14:paraId="7CF13CFC" w14:textId="512D817F" w:rsidR="00F41C6E" w:rsidRDefault="00F41C6E" w:rsidP="00F41C6E">
            <w:pPr>
              <w:pStyle w:val="BodyText"/>
            </w:pPr>
            <w:r w:rsidRPr="00F77F02">
              <w:t>Less than A$672,750</w:t>
            </w:r>
          </w:p>
        </w:tc>
        <w:tc>
          <w:tcPr>
            <w:tcW w:w="2219" w:type="dxa"/>
          </w:tcPr>
          <w:p w14:paraId="4DBD8F73" w14:textId="59CDCE7C" w:rsidR="00F41C6E" w:rsidRDefault="00F41C6E" w:rsidP="00F41C6E">
            <w:pPr>
              <w:pStyle w:val="BodyText"/>
            </w:pPr>
            <w:r w:rsidRPr="00F77F02">
              <w:t>Less than A$1,012,500</w:t>
            </w:r>
          </w:p>
        </w:tc>
        <w:tc>
          <w:tcPr>
            <w:tcW w:w="2219" w:type="dxa"/>
          </w:tcPr>
          <w:p w14:paraId="7C350B03" w14:textId="477753B9" w:rsidR="00F41C6E" w:rsidRDefault="00F41C6E" w:rsidP="00F41C6E">
            <w:pPr>
              <w:pStyle w:val="BodyText"/>
            </w:pPr>
            <w:r w:rsidRPr="00F77F02">
              <w:t>Less than A$1,012,500</w:t>
            </w:r>
          </w:p>
        </w:tc>
        <w:tc>
          <w:tcPr>
            <w:tcW w:w="2220" w:type="dxa"/>
          </w:tcPr>
          <w:p w14:paraId="19F462EF" w14:textId="47D3B088" w:rsidR="00F41C6E" w:rsidRDefault="00F41C6E" w:rsidP="00F41C6E">
            <w:pPr>
              <w:pStyle w:val="BodyText"/>
            </w:pPr>
            <w:r w:rsidRPr="00F77F02">
              <w:t>Less than A$1,187,500</w:t>
            </w:r>
          </w:p>
        </w:tc>
      </w:tr>
      <w:tr w:rsidR="00F41C6E" w14:paraId="6D5EB9A1" w14:textId="77777777" w:rsidTr="009D7822">
        <w:trPr>
          <w:cantSplit/>
        </w:trPr>
        <w:tc>
          <w:tcPr>
            <w:tcW w:w="2219" w:type="dxa"/>
          </w:tcPr>
          <w:p w14:paraId="1DBB9CEB" w14:textId="1F282075" w:rsidR="00F41C6E" w:rsidRDefault="00F41C6E" w:rsidP="00F41C6E">
            <w:pPr>
              <w:pStyle w:val="BodyText"/>
            </w:pPr>
            <w:r w:rsidRPr="00F77F02">
              <w:t xml:space="preserve">Part pension — </w:t>
            </w:r>
            <w:proofErr w:type="gramStart"/>
            <w:r w:rsidRPr="00F77F02">
              <w:t>Non-homeowner</w:t>
            </w:r>
            <w:proofErr w:type="gramEnd"/>
          </w:p>
        </w:tc>
        <w:tc>
          <w:tcPr>
            <w:tcW w:w="2219" w:type="dxa"/>
          </w:tcPr>
          <w:p w14:paraId="417FA948" w14:textId="6171F42E" w:rsidR="00F41C6E" w:rsidRDefault="00F41C6E" w:rsidP="00F41C6E">
            <w:pPr>
              <w:pStyle w:val="BodyText"/>
            </w:pPr>
            <w:r w:rsidRPr="00F77F02">
              <w:t>Less than A$924,750</w:t>
            </w:r>
          </w:p>
        </w:tc>
        <w:tc>
          <w:tcPr>
            <w:tcW w:w="2219" w:type="dxa"/>
          </w:tcPr>
          <w:p w14:paraId="598DF4B0" w14:textId="6BB17415" w:rsidR="00F41C6E" w:rsidRDefault="00F41C6E" w:rsidP="00F41C6E">
            <w:pPr>
              <w:pStyle w:val="BodyText"/>
            </w:pPr>
            <w:r w:rsidRPr="00F77F02">
              <w:t>Less than A$1,264,500</w:t>
            </w:r>
          </w:p>
        </w:tc>
        <w:tc>
          <w:tcPr>
            <w:tcW w:w="2219" w:type="dxa"/>
          </w:tcPr>
          <w:p w14:paraId="35F0F35B" w14:textId="11BF2EA3" w:rsidR="00F41C6E" w:rsidRDefault="00F41C6E" w:rsidP="00F41C6E">
            <w:pPr>
              <w:pStyle w:val="BodyText"/>
            </w:pPr>
            <w:r w:rsidRPr="00F77F02">
              <w:t>Less than A$1,264,500</w:t>
            </w:r>
          </w:p>
        </w:tc>
        <w:tc>
          <w:tcPr>
            <w:tcW w:w="2220" w:type="dxa"/>
          </w:tcPr>
          <w:p w14:paraId="77B4C7B7" w14:textId="6E6CD0FE" w:rsidR="00F41C6E" w:rsidRDefault="00F41C6E" w:rsidP="00F41C6E">
            <w:pPr>
              <w:pStyle w:val="BodyText"/>
            </w:pPr>
            <w:r w:rsidRPr="00F77F02">
              <w:t>Less than A$1,439,500</w:t>
            </w:r>
          </w:p>
        </w:tc>
      </w:tr>
      <w:tr w:rsidR="00F41C6E" w14:paraId="005EC6A2" w14:textId="77777777" w:rsidTr="009D7822">
        <w:trPr>
          <w:cantSplit/>
        </w:trPr>
        <w:tc>
          <w:tcPr>
            <w:tcW w:w="2219" w:type="dxa"/>
          </w:tcPr>
          <w:p w14:paraId="660442F5" w14:textId="5F9A9FCD" w:rsidR="00F41C6E" w:rsidRPr="002641D6" w:rsidRDefault="00F41C6E" w:rsidP="00F41C6E">
            <w:pPr>
              <w:pStyle w:val="BodyText"/>
              <w:rPr>
                <w:b/>
                <w:bCs/>
              </w:rPr>
            </w:pPr>
            <w:r w:rsidRPr="002641D6">
              <w:rPr>
                <w:b/>
                <w:bCs/>
              </w:rPr>
              <w:t>Deeming rates and thresholds</w:t>
            </w:r>
          </w:p>
        </w:tc>
        <w:tc>
          <w:tcPr>
            <w:tcW w:w="2219" w:type="dxa"/>
          </w:tcPr>
          <w:p w14:paraId="4C899961" w14:textId="49F15B4E" w:rsidR="00F41C6E" w:rsidRPr="002641D6" w:rsidRDefault="00F41C6E" w:rsidP="00F41C6E">
            <w:pPr>
              <w:pStyle w:val="BodyText"/>
              <w:rPr>
                <w:b/>
                <w:bCs/>
              </w:rPr>
            </w:pPr>
            <w:r w:rsidRPr="002641D6">
              <w:rPr>
                <w:b/>
                <w:bCs/>
              </w:rPr>
              <w:t>Single</w:t>
            </w:r>
          </w:p>
        </w:tc>
        <w:tc>
          <w:tcPr>
            <w:tcW w:w="2219" w:type="dxa"/>
          </w:tcPr>
          <w:p w14:paraId="55CDF90D" w14:textId="4B48A563" w:rsidR="00F41C6E" w:rsidRPr="002641D6" w:rsidRDefault="00F41C6E" w:rsidP="00F41C6E">
            <w:pPr>
              <w:pStyle w:val="BodyText"/>
              <w:rPr>
                <w:b/>
                <w:bCs/>
              </w:rPr>
            </w:pPr>
            <w:r w:rsidRPr="002641D6">
              <w:rPr>
                <w:b/>
                <w:bCs/>
              </w:rPr>
              <w:t>Combined</w:t>
            </w:r>
          </w:p>
        </w:tc>
        <w:tc>
          <w:tcPr>
            <w:tcW w:w="2219" w:type="dxa"/>
          </w:tcPr>
          <w:p w14:paraId="59D84741" w14:textId="3CFDAFF1" w:rsidR="00F41C6E" w:rsidRPr="002641D6" w:rsidRDefault="00F41C6E" w:rsidP="00F41C6E">
            <w:pPr>
              <w:pStyle w:val="BodyText"/>
              <w:rPr>
                <w:b/>
                <w:bCs/>
              </w:rPr>
            </w:pPr>
            <w:r w:rsidRPr="002641D6">
              <w:rPr>
                <w:b/>
                <w:bCs/>
              </w:rPr>
              <w:t>Combined</w:t>
            </w:r>
          </w:p>
        </w:tc>
        <w:tc>
          <w:tcPr>
            <w:tcW w:w="2220" w:type="dxa"/>
          </w:tcPr>
          <w:p w14:paraId="59327928" w14:textId="6B537662" w:rsidR="00F41C6E" w:rsidRPr="002641D6" w:rsidRDefault="00F41C6E" w:rsidP="00F41C6E">
            <w:pPr>
              <w:pStyle w:val="BodyText"/>
              <w:rPr>
                <w:b/>
                <w:bCs/>
              </w:rPr>
            </w:pPr>
            <w:r w:rsidRPr="002641D6">
              <w:rPr>
                <w:b/>
                <w:bCs/>
              </w:rPr>
              <w:t>Combined</w:t>
            </w:r>
          </w:p>
        </w:tc>
      </w:tr>
      <w:tr w:rsidR="00F41C6E" w14:paraId="32CD9335" w14:textId="77777777" w:rsidTr="009D7822">
        <w:trPr>
          <w:cantSplit/>
        </w:trPr>
        <w:tc>
          <w:tcPr>
            <w:tcW w:w="2219" w:type="dxa"/>
          </w:tcPr>
          <w:p w14:paraId="4EF6D2D3" w14:textId="7BF17287" w:rsidR="00F41C6E" w:rsidRDefault="00F41C6E" w:rsidP="00F41C6E">
            <w:pPr>
              <w:pStyle w:val="BodyText"/>
            </w:pPr>
            <w:r w:rsidRPr="00F77F02">
              <w:t>Threshold</w:t>
            </w:r>
          </w:p>
        </w:tc>
        <w:tc>
          <w:tcPr>
            <w:tcW w:w="2219" w:type="dxa"/>
          </w:tcPr>
          <w:p w14:paraId="6E02B54E" w14:textId="78C398A7" w:rsidR="00F41C6E" w:rsidRDefault="00F41C6E" w:rsidP="00F41C6E">
            <w:pPr>
              <w:pStyle w:val="BodyText"/>
            </w:pPr>
            <w:r w:rsidRPr="00F77F02">
              <w:t>A$62,600</w:t>
            </w:r>
          </w:p>
        </w:tc>
        <w:tc>
          <w:tcPr>
            <w:tcW w:w="2219" w:type="dxa"/>
          </w:tcPr>
          <w:p w14:paraId="78F25297" w14:textId="02C4495D" w:rsidR="00F41C6E" w:rsidRDefault="00F41C6E" w:rsidP="00F41C6E">
            <w:pPr>
              <w:pStyle w:val="BodyText"/>
            </w:pPr>
            <w:r w:rsidRPr="00F77F02">
              <w:t>A$103,800</w:t>
            </w:r>
          </w:p>
        </w:tc>
        <w:tc>
          <w:tcPr>
            <w:tcW w:w="2219" w:type="dxa"/>
          </w:tcPr>
          <w:p w14:paraId="0357625F" w14:textId="3F3F30A7" w:rsidR="00F41C6E" w:rsidRDefault="00F41C6E" w:rsidP="00F41C6E">
            <w:pPr>
              <w:pStyle w:val="BodyText"/>
            </w:pPr>
            <w:r w:rsidRPr="00F77F02">
              <w:t xml:space="preserve">A$103,800 </w:t>
            </w:r>
          </w:p>
        </w:tc>
        <w:tc>
          <w:tcPr>
            <w:tcW w:w="2220" w:type="dxa"/>
          </w:tcPr>
          <w:p w14:paraId="4A657F33" w14:textId="763A5587" w:rsidR="00F41C6E" w:rsidRDefault="00F41C6E" w:rsidP="00F41C6E">
            <w:pPr>
              <w:pStyle w:val="BodyText"/>
            </w:pPr>
            <w:r w:rsidRPr="00F77F02">
              <w:t>A$103,800</w:t>
            </w:r>
          </w:p>
        </w:tc>
      </w:tr>
      <w:tr w:rsidR="00F41C6E" w14:paraId="148E0CFA" w14:textId="77777777" w:rsidTr="009D7822">
        <w:trPr>
          <w:cantSplit/>
        </w:trPr>
        <w:tc>
          <w:tcPr>
            <w:tcW w:w="2219" w:type="dxa"/>
          </w:tcPr>
          <w:p w14:paraId="13951D44" w14:textId="36F00B3D" w:rsidR="00F41C6E" w:rsidRDefault="00F41C6E" w:rsidP="00F41C6E">
            <w:pPr>
              <w:pStyle w:val="BodyText"/>
            </w:pPr>
            <w:r w:rsidRPr="00F77F02">
              <w:t>Rate below threshold</w:t>
            </w:r>
          </w:p>
        </w:tc>
        <w:tc>
          <w:tcPr>
            <w:tcW w:w="2219" w:type="dxa"/>
          </w:tcPr>
          <w:p w14:paraId="5A907858" w14:textId="31EBEBEB" w:rsidR="00F41C6E" w:rsidRDefault="00F41C6E" w:rsidP="00F41C6E">
            <w:pPr>
              <w:pStyle w:val="BodyText"/>
            </w:pPr>
            <w:r w:rsidRPr="00F77F02">
              <w:t>0.25%</w:t>
            </w:r>
          </w:p>
        </w:tc>
        <w:tc>
          <w:tcPr>
            <w:tcW w:w="2219" w:type="dxa"/>
          </w:tcPr>
          <w:p w14:paraId="73659C1C" w14:textId="42C65829" w:rsidR="00F41C6E" w:rsidRDefault="00F41C6E" w:rsidP="00F41C6E">
            <w:pPr>
              <w:pStyle w:val="BodyText"/>
            </w:pPr>
            <w:r w:rsidRPr="00F77F02">
              <w:t>0.25%</w:t>
            </w:r>
          </w:p>
        </w:tc>
        <w:tc>
          <w:tcPr>
            <w:tcW w:w="2219" w:type="dxa"/>
          </w:tcPr>
          <w:p w14:paraId="1C22DDB4" w14:textId="4E30E2CD" w:rsidR="00F41C6E" w:rsidRDefault="00F41C6E" w:rsidP="00F41C6E">
            <w:pPr>
              <w:pStyle w:val="BodyText"/>
            </w:pPr>
            <w:r w:rsidRPr="00F77F02">
              <w:t>0.25%</w:t>
            </w:r>
          </w:p>
        </w:tc>
        <w:tc>
          <w:tcPr>
            <w:tcW w:w="2220" w:type="dxa"/>
          </w:tcPr>
          <w:p w14:paraId="009FFBDD" w14:textId="4479BE5F" w:rsidR="00F41C6E" w:rsidRDefault="00F41C6E" w:rsidP="00F41C6E">
            <w:pPr>
              <w:pStyle w:val="BodyText"/>
            </w:pPr>
            <w:r w:rsidRPr="00F77F02">
              <w:t>0.25%</w:t>
            </w:r>
          </w:p>
        </w:tc>
      </w:tr>
      <w:tr w:rsidR="00F41C6E" w14:paraId="66693C8D" w14:textId="77777777" w:rsidTr="009D7822">
        <w:trPr>
          <w:cantSplit/>
        </w:trPr>
        <w:tc>
          <w:tcPr>
            <w:tcW w:w="2219" w:type="dxa"/>
          </w:tcPr>
          <w:p w14:paraId="2894956F" w14:textId="0D890B92" w:rsidR="00F41C6E" w:rsidRDefault="00F41C6E" w:rsidP="00F41C6E">
            <w:pPr>
              <w:pStyle w:val="BodyText"/>
            </w:pPr>
            <w:r w:rsidRPr="00F77F02">
              <w:t>Rate above threshold</w:t>
            </w:r>
          </w:p>
        </w:tc>
        <w:tc>
          <w:tcPr>
            <w:tcW w:w="2219" w:type="dxa"/>
          </w:tcPr>
          <w:p w14:paraId="673594A8" w14:textId="5D8D9756" w:rsidR="00F41C6E" w:rsidRDefault="00F41C6E" w:rsidP="00F41C6E">
            <w:pPr>
              <w:pStyle w:val="BodyText"/>
            </w:pPr>
            <w:r w:rsidRPr="00F77F02">
              <w:t xml:space="preserve">2.25% </w:t>
            </w:r>
          </w:p>
        </w:tc>
        <w:tc>
          <w:tcPr>
            <w:tcW w:w="2219" w:type="dxa"/>
          </w:tcPr>
          <w:p w14:paraId="0D94E49D" w14:textId="1BF39A08" w:rsidR="00F41C6E" w:rsidRDefault="00F41C6E" w:rsidP="00F41C6E">
            <w:pPr>
              <w:pStyle w:val="BodyText"/>
            </w:pPr>
            <w:r w:rsidRPr="00F77F02">
              <w:t>2.25%</w:t>
            </w:r>
          </w:p>
        </w:tc>
        <w:tc>
          <w:tcPr>
            <w:tcW w:w="2219" w:type="dxa"/>
          </w:tcPr>
          <w:p w14:paraId="2413024D" w14:textId="6B68EBF0" w:rsidR="00F41C6E" w:rsidRDefault="00F41C6E" w:rsidP="00F41C6E">
            <w:pPr>
              <w:pStyle w:val="BodyText"/>
            </w:pPr>
            <w:r w:rsidRPr="00F77F02">
              <w:t>2.25%</w:t>
            </w:r>
          </w:p>
        </w:tc>
        <w:tc>
          <w:tcPr>
            <w:tcW w:w="2220" w:type="dxa"/>
          </w:tcPr>
          <w:p w14:paraId="084BFE58" w14:textId="33303785" w:rsidR="00F41C6E" w:rsidRDefault="00F41C6E" w:rsidP="00F41C6E">
            <w:pPr>
              <w:pStyle w:val="BodyText"/>
            </w:pPr>
            <w:r w:rsidRPr="00F77F02">
              <w:t>2.25%</w:t>
            </w:r>
          </w:p>
        </w:tc>
      </w:tr>
    </w:tbl>
    <w:p w14:paraId="348F2887" w14:textId="77777777" w:rsidR="00EB05AD" w:rsidRPr="00EB05AD" w:rsidRDefault="00EB05AD" w:rsidP="00EB05AD">
      <w:pPr>
        <w:pStyle w:val="BodyText"/>
        <w:rPr>
          <w:lang w:val="en-US"/>
        </w:rPr>
      </w:pPr>
      <w:r w:rsidRPr="00EB05AD">
        <w:rPr>
          <w:lang w:val="en-US"/>
        </w:rPr>
        <w:lastRenderedPageBreak/>
        <w:t>These rates apply to customers who are permanently outside Australia or absent from Australia for longer than 6 weeks.</w:t>
      </w:r>
    </w:p>
    <w:p w14:paraId="7312A486" w14:textId="77777777" w:rsidR="00EB05AD" w:rsidRPr="00EB05AD" w:rsidRDefault="00EB05AD" w:rsidP="00EB05AD">
      <w:pPr>
        <w:pStyle w:val="ListNumber"/>
        <w:rPr>
          <w:lang w:val="en-US"/>
        </w:rPr>
      </w:pPr>
      <w:r w:rsidRPr="00EB05AD">
        <w:rPr>
          <w:lang w:val="en-US"/>
        </w:rPr>
        <w:t>We calculate the rate of payment under both the income and assets tests. We apply the test that results in the lower rate or nil rate. Some assets are deemed to earn income and there are special rules for other types of income. There is no income or assets test if you are permanently blind.</w:t>
      </w:r>
    </w:p>
    <w:p w14:paraId="2D3E8E95" w14:textId="77777777" w:rsidR="00EB05AD" w:rsidRPr="00EB05AD" w:rsidRDefault="00EB05AD" w:rsidP="00EB05AD">
      <w:pPr>
        <w:pStyle w:val="ListNumber"/>
        <w:rPr>
          <w:lang w:val="en-US"/>
        </w:rPr>
      </w:pPr>
      <w:r w:rsidRPr="00EB05AD">
        <w:rPr>
          <w:lang w:val="en-US"/>
        </w:rPr>
        <w:t>Some customers may get a reduced rate of pension based on how long they were an Australian resident.</w:t>
      </w:r>
    </w:p>
    <w:p w14:paraId="53F0C52A" w14:textId="77777777" w:rsidR="00EB05AD" w:rsidRPr="00EB05AD" w:rsidRDefault="00EB05AD" w:rsidP="00EB05AD">
      <w:pPr>
        <w:pStyle w:val="ListNumber"/>
        <w:rPr>
          <w:lang w:val="en-US"/>
        </w:rPr>
      </w:pPr>
      <w:r w:rsidRPr="00EB05AD">
        <w:rPr>
          <w:lang w:val="en-US"/>
        </w:rPr>
        <w:t xml:space="preserve">Some customers may get a transitional rate of pension based on the </w:t>
      </w:r>
      <w:proofErr w:type="gramStart"/>
      <w:r w:rsidRPr="00EB05AD">
        <w:rPr>
          <w:lang w:val="en-US"/>
        </w:rPr>
        <w:t>pre 20 September 2009</w:t>
      </w:r>
      <w:proofErr w:type="gramEnd"/>
      <w:r w:rsidRPr="00EB05AD">
        <w:rPr>
          <w:lang w:val="en-US"/>
        </w:rPr>
        <w:t xml:space="preserve"> income test rules. For these customers, we compare the transitional rate to the current rate. If the current rate is the same or higher we will pay you the current rate instead. You cannot go back to the transitional rate once you get the current rate of pension.</w:t>
      </w:r>
    </w:p>
    <w:p w14:paraId="56C8D0B2" w14:textId="77777777" w:rsidR="00EB05AD" w:rsidRPr="00EB05AD" w:rsidRDefault="00EB05AD" w:rsidP="00EB05AD">
      <w:pPr>
        <w:pStyle w:val="ListNumber"/>
        <w:rPr>
          <w:lang w:val="en-US"/>
        </w:rPr>
      </w:pPr>
      <w:r w:rsidRPr="00EB05AD">
        <w:rPr>
          <w:lang w:val="en-US"/>
        </w:rPr>
        <w:t xml:space="preserve">Customers may get a higher rate of Disability Support Pension if they are under the age of 21 and have no dependent children. For more information, go to </w:t>
      </w:r>
      <w:hyperlink r:id="rId10" w:history="1">
        <w:r w:rsidRPr="00EB05AD">
          <w:rPr>
            <w:rStyle w:val="Hyperlink"/>
            <w:b/>
            <w:bCs/>
            <w:color w:val="auto"/>
            <w:u w:val="none"/>
            <w:lang w:val="en-US"/>
          </w:rPr>
          <w:t>servicesaustralia.gov.au/dsp</w:t>
        </w:r>
      </w:hyperlink>
      <w:r w:rsidRPr="00EB05AD">
        <w:rPr>
          <w:lang w:val="en-US"/>
        </w:rPr>
        <w:t xml:space="preserve"> </w:t>
      </w:r>
    </w:p>
    <w:p w14:paraId="70FB20D7" w14:textId="77777777" w:rsidR="00EB05AD" w:rsidRPr="00EB05AD" w:rsidRDefault="00EB05AD" w:rsidP="00EB05AD">
      <w:pPr>
        <w:pStyle w:val="ListNumber"/>
        <w:rPr>
          <w:lang w:val="en-US"/>
        </w:rPr>
      </w:pPr>
      <w:r w:rsidRPr="00EB05AD">
        <w:rPr>
          <w:lang w:val="en-US"/>
        </w:rPr>
        <w:t xml:space="preserve">Income under A$212 per fortnight for singles and A$372 per fortnight for couples combined, will not affect the rate of pension. This is called the income free area. For each dollar above the income free area, we reduce rates by A$0.50c for singles and A$0.25c each for couples. The income free area applies after any Work Bonus amounts. For more information, go to </w:t>
      </w:r>
      <w:hyperlink r:id="rId11" w:history="1">
        <w:r w:rsidRPr="00FA0B8F">
          <w:rPr>
            <w:rStyle w:val="Hyperlink"/>
            <w:b/>
            <w:bCs/>
            <w:color w:val="auto"/>
            <w:u w:val="none"/>
            <w:lang w:val="en-US"/>
          </w:rPr>
          <w:t>servicesaustralia.gov.au/income</w:t>
        </w:r>
      </w:hyperlink>
    </w:p>
    <w:p w14:paraId="6D27D2B0" w14:textId="77777777" w:rsidR="00EB05AD" w:rsidRPr="00EB05AD" w:rsidRDefault="00EB05AD" w:rsidP="00EB05AD">
      <w:pPr>
        <w:pStyle w:val="ListNumber"/>
        <w:rPr>
          <w:lang w:val="en-US"/>
        </w:rPr>
      </w:pPr>
      <w:r w:rsidRPr="00EB05AD">
        <w:rPr>
          <w:lang w:val="en-US"/>
        </w:rPr>
        <w:t xml:space="preserve">The Work Bonus helps eligible customers earn more income from working without reducing their pension. For more information, go to </w:t>
      </w:r>
      <w:hyperlink r:id="rId12" w:history="1">
        <w:r w:rsidRPr="00FA0B8F">
          <w:rPr>
            <w:rStyle w:val="Hyperlink"/>
            <w:b/>
            <w:bCs/>
            <w:color w:val="auto"/>
            <w:u w:val="none"/>
            <w:lang w:val="en-US"/>
          </w:rPr>
          <w:t>servicesaustralia.gov.au/work-bonus</w:t>
        </w:r>
      </w:hyperlink>
      <w:r w:rsidRPr="00FA0B8F">
        <w:rPr>
          <w:lang w:val="en-US"/>
        </w:rPr>
        <w:t xml:space="preserve">. </w:t>
      </w:r>
      <w:r w:rsidRPr="00EB05AD">
        <w:rPr>
          <w:lang w:val="en-US"/>
        </w:rPr>
        <w:t>Work Bonus does not apply to the transitional rate of pension.</w:t>
      </w:r>
    </w:p>
    <w:p w14:paraId="72BEAB1F" w14:textId="08D858F4" w:rsidR="00F41C6E" w:rsidRPr="00FA0B8F" w:rsidRDefault="00EB05AD" w:rsidP="00F41C6E">
      <w:pPr>
        <w:pStyle w:val="ListNumber"/>
        <w:rPr>
          <w:b/>
          <w:bCs/>
          <w:lang w:val="en-US"/>
        </w:rPr>
      </w:pPr>
      <w:r w:rsidRPr="00EB05AD">
        <w:rPr>
          <w:lang w:val="en-US"/>
        </w:rPr>
        <w:t xml:space="preserve">Customers can have assets up to a certain amount without affecting their pension. This is called the asset free area. There are different asset free areas which apply depending on customers’ relationship status and their homeownership status. See our website for a full list of the asset free areas. For every A$1,000 of additional assets above the asset free area, we reduce rates by A$3 per fortnight for singles and A$1.50 per fortnight each for couples. We do not include certain assets in the assets test. For more information, go to </w:t>
      </w:r>
      <w:hyperlink r:id="rId13" w:history="1">
        <w:r w:rsidRPr="00FA0B8F">
          <w:rPr>
            <w:rStyle w:val="Hyperlink"/>
            <w:b/>
            <w:bCs/>
            <w:color w:val="auto"/>
            <w:u w:val="none"/>
            <w:lang w:val="en-US"/>
          </w:rPr>
          <w:t>servicesaustralia.gov.au/assets</w:t>
        </w:r>
      </w:hyperlink>
    </w:p>
    <w:p w14:paraId="6B5FB0C3" w14:textId="77777777" w:rsidR="00FA0B8F" w:rsidRPr="00FA0B8F" w:rsidRDefault="00FA0B8F" w:rsidP="00FA0B8F">
      <w:pPr>
        <w:pStyle w:val="Heading2"/>
        <w:rPr>
          <w:lang w:val="en-US"/>
        </w:rPr>
      </w:pPr>
      <w:r w:rsidRPr="00FA0B8F">
        <w:rPr>
          <w:lang w:val="en-US"/>
        </w:rPr>
        <w:t>International exchange rates available online</w:t>
      </w:r>
    </w:p>
    <w:p w14:paraId="510D0A19" w14:textId="77777777" w:rsidR="00FA0B8F" w:rsidRPr="00FA0B8F" w:rsidRDefault="00FA0B8F" w:rsidP="00FA0B8F">
      <w:pPr>
        <w:pStyle w:val="BodyText"/>
        <w:rPr>
          <w:lang w:val="en-US"/>
        </w:rPr>
      </w:pPr>
      <w:r w:rsidRPr="00FA0B8F">
        <w:rPr>
          <w:lang w:val="en-US"/>
        </w:rPr>
        <w:t xml:space="preserve">We work out the amount of payment you get by using an income and assets test. If you have assets in, or get income from another country, we need to work out their value in Australian dollars. To do this we use exchange rates. We publish exchange rate information on our website. </w:t>
      </w:r>
    </w:p>
    <w:p w14:paraId="7C49323A" w14:textId="77777777" w:rsidR="00FA0B8F" w:rsidRPr="00FA0B8F" w:rsidRDefault="00FA0B8F" w:rsidP="00FA0B8F">
      <w:pPr>
        <w:pStyle w:val="BodyText"/>
        <w:rPr>
          <w:lang w:val="en-US"/>
        </w:rPr>
      </w:pPr>
      <w:r w:rsidRPr="00FA0B8F">
        <w:rPr>
          <w:lang w:val="en-US"/>
        </w:rPr>
        <w:t xml:space="preserve">To check exchange rates, go to </w:t>
      </w:r>
      <w:hyperlink r:id="rId14" w:history="1">
        <w:r w:rsidRPr="00FA0B8F">
          <w:rPr>
            <w:rStyle w:val="Hyperlink"/>
            <w:b/>
            <w:bCs/>
            <w:color w:val="auto"/>
            <w:u w:val="none"/>
            <w:lang w:val="en-US"/>
          </w:rPr>
          <w:t>servicesaustralia.gov.au/international</w:t>
        </w:r>
      </w:hyperlink>
    </w:p>
    <w:p w14:paraId="1F18D069" w14:textId="77777777" w:rsidR="00FA0B8F" w:rsidRPr="00FA0B8F" w:rsidRDefault="00FA0B8F" w:rsidP="00FA0B8F">
      <w:pPr>
        <w:pStyle w:val="Heading2"/>
        <w:rPr>
          <w:lang w:val="en-US"/>
        </w:rPr>
      </w:pPr>
      <w:r w:rsidRPr="00FA0B8F">
        <w:rPr>
          <w:lang w:val="en-US"/>
        </w:rPr>
        <w:t>Keep up to date with the latest pension payment rates and dates</w:t>
      </w:r>
    </w:p>
    <w:p w14:paraId="16001102" w14:textId="77777777" w:rsidR="00FA0B8F" w:rsidRPr="00FA0B8F" w:rsidRDefault="00FA0B8F" w:rsidP="00FA0B8F">
      <w:pPr>
        <w:pStyle w:val="BodyText"/>
        <w:rPr>
          <w:lang w:val="en-US"/>
        </w:rPr>
      </w:pPr>
      <w:r w:rsidRPr="00FA0B8F">
        <w:rPr>
          <w:lang w:val="en-US"/>
        </w:rPr>
        <w:t xml:space="preserve">For the latest information about pension rates and payment dates outside Australia, go to </w:t>
      </w:r>
      <w:hyperlink r:id="rId15" w:history="1">
        <w:r w:rsidRPr="00FA0B8F">
          <w:rPr>
            <w:rStyle w:val="Hyperlink"/>
            <w:b/>
            <w:bCs/>
            <w:color w:val="auto"/>
            <w:u w:val="none"/>
            <w:lang w:val="en-US"/>
          </w:rPr>
          <w:t>servicesaustralia.gov.au</w:t>
        </w:r>
      </w:hyperlink>
      <w:r w:rsidRPr="00FA0B8F">
        <w:rPr>
          <w:lang w:val="en-US"/>
        </w:rPr>
        <w:t xml:space="preserve"> and search for </w:t>
      </w:r>
      <w:r w:rsidRPr="00FA0B8F">
        <w:rPr>
          <w:b/>
          <w:bCs/>
          <w:lang w:val="en-US"/>
        </w:rPr>
        <w:t>payment rates outside Australia</w:t>
      </w:r>
      <w:r w:rsidRPr="00FA0B8F">
        <w:rPr>
          <w:lang w:val="en-US"/>
        </w:rPr>
        <w:t>. We update pension rates, and income and asset thresholds on our website as soon as they change.</w:t>
      </w:r>
    </w:p>
    <w:p w14:paraId="1B992A6F" w14:textId="51AF02BD" w:rsidR="00FA0B8F" w:rsidRPr="00FA0B8F" w:rsidRDefault="00FA0B8F" w:rsidP="00FA0B8F">
      <w:pPr>
        <w:pStyle w:val="BodyText"/>
        <w:rPr>
          <w:lang w:val="en-US"/>
        </w:rPr>
      </w:pPr>
      <w:r w:rsidRPr="00FA0B8F">
        <w:rPr>
          <w:lang w:val="en-US"/>
        </w:rPr>
        <w:t>This newsletter is also available on our website, go to</w:t>
      </w:r>
      <w:r>
        <w:rPr>
          <w:lang w:val="en-US"/>
        </w:rPr>
        <w:t xml:space="preserve"> </w:t>
      </w:r>
      <w:hyperlink r:id="rId16" w:history="1">
        <w:r w:rsidRPr="00FA0B8F">
          <w:rPr>
            <w:rStyle w:val="Hyperlink"/>
            <w:b/>
            <w:bCs/>
            <w:color w:val="auto"/>
            <w:u w:val="none"/>
            <w:lang w:val="en-US"/>
          </w:rPr>
          <w:t>servicesaustralia.gov.au/customer/publications/int001</w:t>
        </w:r>
      </w:hyperlink>
    </w:p>
    <w:p w14:paraId="5DFD9A59" w14:textId="77777777" w:rsidR="00FA0B8F" w:rsidRPr="00FA0B8F" w:rsidRDefault="00FA0B8F" w:rsidP="00FA0B8F">
      <w:pPr>
        <w:pStyle w:val="BodyText"/>
        <w:rPr>
          <w:lang w:val="en-US"/>
        </w:rPr>
      </w:pPr>
      <w:r w:rsidRPr="00FA0B8F">
        <w:rPr>
          <w:b/>
          <w:bCs/>
          <w:lang w:val="en-US"/>
        </w:rPr>
        <w:t>Disclaimer:</w:t>
      </w:r>
      <w:r w:rsidRPr="00FA0B8F">
        <w:rPr>
          <w:lang w:val="en-US"/>
        </w:rPr>
        <w:t xml:space="preserve"> the Commonwealth of Australia has attempted to ensure the information in this publication is accurate. However, the Commonwealth does not warrant that the information is accurate or complete nor will it be liable for any loss suffered by any person because they rely on it in any way. You should contact the Australian Government Services Australia for full details of any entitlements and services to </w:t>
      </w:r>
      <w:r w:rsidRPr="00FA0B8F">
        <w:rPr>
          <w:lang w:val="en-US"/>
        </w:rPr>
        <w:lastRenderedPageBreak/>
        <w:t>which you may be eligible or how any pending changes in legislation, programs or services may affect you.</w:t>
      </w:r>
    </w:p>
    <w:p w14:paraId="651720BF" w14:textId="77777777" w:rsidR="00FA0B8F" w:rsidRPr="00FA0B8F" w:rsidRDefault="00FA0B8F" w:rsidP="00FA0B8F">
      <w:pPr>
        <w:pStyle w:val="Heading2"/>
        <w:rPr>
          <w:lang w:val="en-US"/>
        </w:rPr>
      </w:pPr>
      <w:r w:rsidRPr="00FA0B8F">
        <w:rPr>
          <w:lang w:val="en-US"/>
        </w:rPr>
        <w:t>How to contact us</w:t>
      </w:r>
    </w:p>
    <w:p w14:paraId="55873780" w14:textId="77777777" w:rsidR="00FA0B8F" w:rsidRDefault="00FA0B8F" w:rsidP="00FA0B8F">
      <w:pPr>
        <w:pStyle w:val="ListBullet"/>
        <w:rPr>
          <w:lang w:val="en-US"/>
        </w:rPr>
      </w:pPr>
      <w:r w:rsidRPr="00FA0B8F">
        <w:rPr>
          <w:lang w:val="en-US"/>
        </w:rPr>
        <w:t xml:space="preserve">Go to </w:t>
      </w:r>
      <w:hyperlink r:id="rId17" w:history="1">
        <w:r w:rsidRPr="00FA0B8F">
          <w:rPr>
            <w:rStyle w:val="Hyperlink"/>
            <w:b/>
            <w:bCs/>
            <w:color w:val="auto"/>
            <w:u w:val="none"/>
            <w:lang w:val="en-US"/>
          </w:rPr>
          <w:t>servicesaustralia.gov.au</w:t>
        </w:r>
      </w:hyperlink>
      <w:r w:rsidRPr="00FA0B8F">
        <w:rPr>
          <w:lang w:val="en-US"/>
        </w:rPr>
        <w:t xml:space="preserve"> to find out information about your payment as well as our other payments and services.</w:t>
      </w:r>
    </w:p>
    <w:p w14:paraId="1B2F42C6" w14:textId="77777777" w:rsidR="00FA0B8F" w:rsidRDefault="00FA0B8F" w:rsidP="00FA0B8F">
      <w:pPr>
        <w:pStyle w:val="ListBullet"/>
        <w:rPr>
          <w:lang w:val="en-US"/>
        </w:rPr>
      </w:pPr>
      <w:r w:rsidRPr="00FA0B8F">
        <w:rPr>
          <w:lang w:val="en-US"/>
        </w:rPr>
        <w:t>Call us Monday to Friday, between 8 am to 5 pm Hobart time.</w:t>
      </w:r>
    </w:p>
    <w:p w14:paraId="13B8ED42" w14:textId="77777777" w:rsidR="00FA0B8F" w:rsidRDefault="00FA0B8F" w:rsidP="00FA0B8F">
      <w:pPr>
        <w:pStyle w:val="ListBullet"/>
        <w:rPr>
          <w:lang w:val="en-US"/>
        </w:rPr>
      </w:pPr>
      <w:r w:rsidRPr="00FA0B8F">
        <w:rPr>
          <w:lang w:val="en-US"/>
        </w:rPr>
        <w:t>This service may not be available from all locations within your country.</w:t>
      </w:r>
    </w:p>
    <w:p w14:paraId="0FD52157" w14:textId="6080C44E" w:rsidR="00FA0B8F" w:rsidRDefault="00FA0B8F" w:rsidP="00FA0B8F">
      <w:pPr>
        <w:pStyle w:val="ListBullet"/>
        <w:rPr>
          <w:lang w:val="en-US"/>
        </w:rPr>
      </w:pPr>
      <w:r w:rsidRPr="00FA0B8F">
        <w:rPr>
          <w:lang w:val="en-US"/>
        </w:rPr>
        <w:t xml:space="preserve">If this service is not available, or you’re in a country that’s not in the list, please contact us on </w:t>
      </w:r>
      <w:r w:rsidRPr="00FA0B8F">
        <w:rPr>
          <w:b/>
          <w:bCs/>
          <w:lang w:val="en-US"/>
        </w:rPr>
        <w:t>+61</w:t>
      </w:r>
      <w:r w:rsidR="004056F3">
        <w:rPr>
          <w:b/>
          <w:bCs/>
          <w:lang w:val="en-US"/>
        </w:rPr>
        <w:t> </w:t>
      </w:r>
      <w:r w:rsidRPr="00FA0B8F">
        <w:rPr>
          <w:b/>
          <w:bCs/>
          <w:lang w:val="en-US"/>
        </w:rPr>
        <w:t>3</w:t>
      </w:r>
      <w:r w:rsidR="004056F3">
        <w:rPr>
          <w:b/>
          <w:bCs/>
          <w:lang w:val="en-US"/>
        </w:rPr>
        <w:t> </w:t>
      </w:r>
      <w:r w:rsidRPr="00FA0B8F">
        <w:rPr>
          <w:b/>
          <w:bCs/>
          <w:lang w:val="en-US"/>
        </w:rPr>
        <w:t>6222 3455</w:t>
      </w:r>
      <w:r w:rsidRPr="00FA0B8F">
        <w:rPr>
          <w:lang w:val="en-US"/>
        </w:rPr>
        <w:t>.</w:t>
      </w:r>
    </w:p>
    <w:p w14:paraId="0931BA1B" w14:textId="77777777" w:rsidR="00FA0B8F" w:rsidRDefault="00FA0B8F" w:rsidP="00FA0B8F">
      <w:pPr>
        <w:pStyle w:val="ListBullet"/>
        <w:rPr>
          <w:lang w:val="en-US"/>
        </w:rPr>
      </w:pPr>
      <w:r w:rsidRPr="00FA0B8F">
        <w:rPr>
          <w:lang w:val="en-US"/>
        </w:rPr>
        <w:t xml:space="preserve">You can also fax us on </w:t>
      </w:r>
      <w:r w:rsidRPr="00FA0B8F">
        <w:rPr>
          <w:b/>
          <w:bCs/>
          <w:lang w:val="en-US"/>
        </w:rPr>
        <w:t>+61 3 6222 2799</w:t>
      </w:r>
      <w:r w:rsidRPr="00FA0B8F">
        <w:rPr>
          <w:lang w:val="en-US"/>
        </w:rPr>
        <w:t>, or write to us at:</w:t>
      </w:r>
    </w:p>
    <w:p w14:paraId="7371457F" w14:textId="6594669E" w:rsidR="00FA0B8F" w:rsidRPr="00FA0B8F" w:rsidRDefault="00FA0B8F" w:rsidP="00FA0B8F">
      <w:pPr>
        <w:pStyle w:val="ListBullet"/>
        <w:numPr>
          <w:ilvl w:val="0"/>
          <w:numId w:val="0"/>
        </w:numPr>
        <w:ind w:left="357"/>
        <w:rPr>
          <w:lang w:val="en-US"/>
        </w:rPr>
      </w:pPr>
      <w:r w:rsidRPr="00FA0B8F">
        <w:rPr>
          <w:b/>
          <w:bCs/>
          <w:lang w:val="en-US"/>
        </w:rPr>
        <w:t>International Services</w:t>
      </w:r>
      <w:r w:rsidRPr="00FA0B8F">
        <w:rPr>
          <w:b/>
          <w:bCs/>
          <w:lang w:val="en-US"/>
        </w:rPr>
        <w:br/>
        <w:t>PO Box 7809</w:t>
      </w:r>
      <w:r w:rsidRPr="00FA0B8F">
        <w:rPr>
          <w:b/>
          <w:bCs/>
          <w:lang w:val="en-US"/>
        </w:rPr>
        <w:br/>
        <w:t>Canberra BC ACT 2610</w:t>
      </w:r>
      <w:r w:rsidRPr="00FA0B8F">
        <w:rPr>
          <w:b/>
          <w:bCs/>
          <w:lang w:val="en-US"/>
        </w:rPr>
        <w:br/>
        <w:t>Australia</w:t>
      </w:r>
      <w:r w:rsidRPr="00FA0B8F">
        <w:rPr>
          <w:lang w:val="en-US"/>
        </w:rPr>
        <w:t xml:space="preserve"> </w:t>
      </w:r>
    </w:p>
    <w:p w14:paraId="73770B40" w14:textId="46F7C00C" w:rsidR="00FA0B8F" w:rsidRPr="00FA0B8F" w:rsidRDefault="00FA0B8F" w:rsidP="00FA0B8F">
      <w:pPr>
        <w:pStyle w:val="BodyText"/>
        <w:rPr>
          <w:lang w:val="en-US"/>
        </w:rPr>
      </w:pPr>
      <w:r w:rsidRPr="00FA0B8F">
        <w:rPr>
          <w:lang w:val="en-US"/>
        </w:rPr>
        <w:t>Please include your name, Centrelink Customer Reference Number and your telephone number in your query.</w:t>
      </w:r>
    </w:p>
    <w:p w14:paraId="38F783CC" w14:textId="77777777" w:rsidR="00FA0B8F" w:rsidRPr="00FA0B8F" w:rsidRDefault="00FA0B8F" w:rsidP="00FA0B8F">
      <w:pPr>
        <w:pStyle w:val="BodyText"/>
        <w:rPr>
          <w:lang w:val="en-US"/>
        </w:rPr>
      </w:pPr>
      <w:r w:rsidRPr="00FA0B8F">
        <w:rPr>
          <w:lang w:val="en-US"/>
        </w:rPr>
        <w:t>Dial the number shown without any international or country codes before it.</w:t>
      </w:r>
    </w:p>
    <w:p w14:paraId="0A87F22B" w14:textId="41F57946" w:rsidR="00FA0B8F" w:rsidRPr="00FA0B8F" w:rsidRDefault="00FA0B8F" w:rsidP="00FA0B8F">
      <w:pPr>
        <w:pStyle w:val="BodyText"/>
        <w:rPr>
          <w:b/>
          <w:bCs/>
          <w:lang w:val="en-US"/>
        </w:rPr>
      </w:pPr>
      <w:r w:rsidRPr="00FA0B8F">
        <w:rPr>
          <w:lang w:val="en-US"/>
        </w:rPr>
        <w:t>Austria</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0800 295 165</w:t>
      </w:r>
    </w:p>
    <w:p w14:paraId="1C6212EC" w14:textId="023A5923" w:rsidR="00FA0B8F" w:rsidRPr="00FA0B8F" w:rsidRDefault="00FA0B8F" w:rsidP="00FA0B8F">
      <w:pPr>
        <w:pStyle w:val="BodyText"/>
        <w:rPr>
          <w:b/>
          <w:bCs/>
          <w:lang w:val="en-US"/>
        </w:rPr>
      </w:pPr>
      <w:r w:rsidRPr="00FA0B8F">
        <w:rPr>
          <w:lang w:val="en-US"/>
        </w:rPr>
        <w:t>Canada</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1888 2557 493</w:t>
      </w:r>
    </w:p>
    <w:p w14:paraId="797C9D28" w14:textId="77777777" w:rsidR="00FA0B8F" w:rsidRPr="00FA0B8F" w:rsidRDefault="00FA0B8F" w:rsidP="00FA0B8F">
      <w:pPr>
        <w:pStyle w:val="BodyText"/>
        <w:rPr>
          <w:b/>
          <w:bCs/>
          <w:lang w:val="en-US"/>
        </w:rPr>
      </w:pPr>
      <w:r w:rsidRPr="00FA0B8F">
        <w:rPr>
          <w:lang w:val="en-US"/>
        </w:rPr>
        <w:t>China (North)*</w:t>
      </w:r>
      <w:r w:rsidRPr="00FA0B8F">
        <w:rPr>
          <w:lang w:val="en-US"/>
        </w:rPr>
        <w:tab/>
      </w:r>
      <w:r w:rsidRPr="00FA0B8F">
        <w:rPr>
          <w:lang w:val="en-US"/>
        </w:rPr>
        <w:tab/>
      </w:r>
      <w:r w:rsidRPr="00FA0B8F">
        <w:rPr>
          <w:b/>
          <w:bCs/>
          <w:lang w:val="en-US"/>
        </w:rPr>
        <w:t>10 800 6100 427</w:t>
      </w:r>
    </w:p>
    <w:p w14:paraId="3CA5F4ED" w14:textId="77777777" w:rsidR="00FA0B8F" w:rsidRPr="00FA0B8F" w:rsidRDefault="00FA0B8F" w:rsidP="00FA0B8F">
      <w:pPr>
        <w:pStyle w:val="BodyText"/>
        <w:rPr>
          <w:b/>
          <w:bCs/>
          <w:lang w:val="en-US"/>
        </w:rPr>
      </w:pPr>
      <w:r w:rsidRPr="00FA0B8F">
        <w:rPr>
          <w:lang w:val="en-US"/>
        </w:rPr>
        <w:t>China (South)*</w:t>
      </w:r>
      <w:r w:rsidRPr="00FA0B8F">
        <w:rPr>
          <w:lang w:val="en-US"/>
        </w:rPr>
        <w:tab/>
      </w:r>
      <w:r w:rsidRPr="00FA0B8F">
        <w:rPr>
          <w:lang w:val="en-US"/>
        </w:rPr>
        <w:tab/>
      </w:r>
      <w:r w:rsidRPr="00FA0B8F">
        <w:rPr>
          <w:b/>
          <w:bCs/>
          <w:lang w:val="en-US"/>
        </w:rPr>
        <w:t>10 800 2611 309</w:t>
      </w:r>
    </w:p>
    <w:p w14:paraId="45B2096E" w14:textId="5755CA07" w:rsidR="00FA0B8F" w:rsidRPr="00FA0B8F" w:rsidRDefault="00FA0B8F" w:rsidP="00FA0B8F">
      <w:pPr>
        <w:pStyle w:val="BodyText"/>
        <w:rPr>
          <w:b/>
          <w:bCs/>
          <w:lang w:val="en-US"/>
        </w:rPr>
      </w:pPr>
      <w:r w:rsidRPr="00FA0B8F">
        <w:rPr>
          <w:lang w:val="en-US"/>
        </w:rPr>
        <w:t>Denmark</w:t>
      </w:r>
      <w:r w:rsidRPr="00FA0B8F">
        <w:rPr>
          <w:lang w:val="en-US"/>
        </w:rPr>
        <w:tab/>
      </w:r>
      <w:r w:rsidRPr="00FA0B8F">
        <w:rPr>
          <w:lang w:val="en-US"/>
        </w:rPr>
        <w:tab/>
      </w:r>
      <w:r w:rsidR="004056F3" w:rsidRPr="00FA0B8F">
        <w:rPr>
          <w:lang w:val="en-US"/>
        </w:rPr>
        <w:tab/>
      </w:r>
      <w:r w:rsidR="004056F3" w:rsidRPr="00FA0B8F">
        <w:rPr>
          <w:lang w:val="en-US"/>
        </w:rPr>
        <w:tab/>
      </w:r>
      <w:r w:rsidRPr="00FA0B8F">
        <w:rPr>
          <w:b/>
          <w:bCs/>
          <w:lang w:val="en-US"/>
        </w:rPr>
        <w:t>8088 3556</w:t>
      </w:r>
    </w:p>
    <w:p w14:paraId="5A2098ED" w14:textId="1E7A715C" w:rsidR="00FA0B8F" w:rsidRPr="00FA0B8F" w:rsidRDefault="00FA0B8F" w:rsidP="00FA0B8F">
      <w:pPr>
        <w:pStyle w:val="BodyText"/>
        <w:rPr>
          <w:b/>
          <w:bCs/>
          <w:lang w:val="en-US"/>
        </w:rPr>
      </w:pPr>
      <w:r w:rsidRPr="00FA0B8F">
        <w:rPr>
          <w:lang w:val="en-US"/>
        </w:rPr>
        <w:t>Germany</w:t>
      </w:r>
      <w:r w:rsidRPr="00FA0B8F">
        <w:rPr>
          <w:lang w:val="en-US"/>
        </w:rPr>
        <w:tab/>
      </w:r>
      <w:r w:rsidRPr="00FA0B8F">
        <w:rPr>
          <w:lang w:val="en-US"/>
        </w:rPr>
        <w:tab/>
      </w:r>
      <w:r w:rsidR="004056F3" w:rsidRPr="00FA0B8F">
        <w:rPr>
          <w:lang w:val="en-US"/>
        </w:rPr>
        <w:tab/>
      </w:r>
      <w:r w:rsidR="004056F3" w:rsidRPr="00FA0B8F">
        <w:rPr>
          <w:lang w:val="en-US"/>
        </w:rPr>
        <w:tab/>
      </w:r>
      <w:r w:rsidRPr="00FA0B8F">
        <w:rPr>
          <w:b/>
          <w:bCs/>
          <w:lang w:val="en-US"/>
        </w:rPr>
        <w:t>0800 180 2482</w:t>
      </w:r>
    </w:p>
    <w:p w14:paraId="2F979F61" w14:textId="7BACB9FF" w:rsidR="00FA0B8F" w:rsidRPr="00FA0B8F" w:rsidRDefault="00FA0B8F" w:rsidP="00FA0B8F">
      <w:pPr>
        <w:pStyle w:val="BodyText"/>
        <w:rPr>
          <w:b/>
          <w:bCs/>
          <w:lang w:val="en-US"/>
        </w:rPr>
      </w:pPr>
      <w:r w:rsidRPr="00FA0B8F">
        <w:rPr>
          <w:lang w:val="en-US"/>
        </w:rPr>
        <w:t>Greece</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0080 0611 26209</w:t>
      </w:r>
    </w:p>
    <w:p w14:paraId="66CA1990" w14:textId="2C686E2A" w:rsidR="00FA0B8F" w:rsidRPr="00FA0B8F" w:rsidRDefault="00FA0B8F" w:rsidP="00FA0B8F">
      <w:pPr>
        <w:pStyle w:val="BodyText"/>
        <w:rPr>
          <w:b/>
          <w:bCs/>
          <w:lang w:val="en-US"/>
        </w:rPr>
      </w:pPr>
      <w:r w:rsidRPr="00FA0B8F">
        <w:rPr>
          <w:lang w:val="en-US"/>
        </w:rPr>
        <w:t>India</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000 800 61 01098</w:t>
      </w:r>
    </w:p>
    <w:p w14:paraId="72439488" w14:textId="4E648609" w:rsidR="00FA0B8F" w:rsidRPr="00FA0B8F" w:rsidRDefault="00FA0B8F" w:rsidP="00FA0B8F">
      <w:pPr>
        <w:pStyle w:val="BodyText"/>
        <w:rPr>
          <w:b/>
          <w:bCs/>
          <w:lang w:val="en-US"/>
        </w:rPr>
      </w:pPr>
      <w:r w:rsidRPr="00FA0B8F">
        <w:rPr>
          <w:lang w:val="en-US"/>
        </w:rPr>
        <w:t>Indonesia</w:t>
      </w:r>
      <w:r w:rsidRPr="00FA0B8F">
        <w:rPr>
          <w:lang w:val="en-US"/>
        </w:rPr>
        <w:tab/>
      </w:r>
      <w:r w:rsidRPr="00FA0B8F">
        <w:rPr>
          <w:lang w:val="en-US"/>
        </w:rPr>
        <w:tab/>
      </w:r>
      <w:r w:rsidR="004056F3" w:rsidRPr="00FA0B8F">
        <w:rPr>
          <w:lang w:val="en-US"/>
        </w:rPr>
        <w:tab/>
      </w:r>
      <w:r w:rsidR="004056F3" w:rsidRPr="00FA0B8F">
        <w:rPr>
          <w:lang w:val="en-US"/>
        </w:rPr>
        <w:tab/>
      </w:r>
      <w:r w:rsidRPr="00FA0B8F">
        <w:rPr>
          <w:b/>
          <w:bCs/>
          <w:lang w:val="en-US"/>
        </w:rPr>
        <w:t>001 803 61 035</w:t>
      </w:r>
    </w:p>
    <w:p w14:paraId="25A622D7" w14:textId="0176D8DF" w:rsidR="00FA0B8F" w:rsidRPr="00FA0B8F" w:rsidRDefault="00FA0B8F" w:rsidP="00FA0B8F">
      <w:pPr>
        <w:pStyle w:val="BodyText"/>
        <w:rPr>
          <w:b/>
          <w:bCs/>
          <w:lang w:val="en-US"/>
        </w:rPr>
      </w:pPr>
      <w:r w:rsidRPr="00FA0B8F">
        <w:rPr>
          <w:lang w:val="en-US"/>
        </w:rPr>
        <w:t>Ireland</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1800 200 333</w:t>
      </w:r>
    </w:p>
    <w:p w14:paraId="71934847" w14:textId="77777777" w:rsidR="00FA0B8F" w:rsidRPr="00FA0B8F" w:rsidRDefault="00FA0B8F" w:rsidP="00FA0B8F">
      <w:pPr>
        <w:pStyle w:val="BodyText"/>
        <w:rPr>
          <w:lang w:val="en-US"/>
        </w:rPr>
      </w:pPr>
      <w:r w:rsidRPr="00FA0B8F">
        <w:rPr>
          <w:lang w:val="en-US"/>
        </w:rPr>
        <w:t>Italy</w:t>
      </w:r>
      <w:r w:rsidRPr="00FA0B8F">
        <w:rPr>
          <w:lang w:val="en-US"/>
        </w:rPr>
        <w:tab/>
      </w:r>
      <w:r w:rsidRPr="00FA0B8F">
        <w:rPr>
          <w:lang w:val="en-US"/>
        </w:rPr>
        <w:tab/>
      </w:r>
      <w:r w:rsidRPr="00FA0B8F">
        <w:rPr>
          <w:lang w:val="en-US"/>
        </w:rPr>
        <w:tab/>
      </w:r>
      <w:r w:rsidRPr="00FA0B8F">
        <w:rPr>
          <w:lang w:val="en-US"/>
        </w:rPr>
        <w:tab/>
      </w:r>
      <w:r w:rsidRPr="00FA0B8F">
        <w:rPr>
          <w:b/>
          <w:bCs/>
          <w:lang w:val="en-US"/>
        </w:rPr>
        <w:t>800 781 977</w:t>
      </w:r>
    </w:p>
    <w:p w14:paraId="3A48B225" w14:textId="77777777" w:rsidR="00FA0B8F" w:rsidRPr="00FA0B8F" w:rsidRDefault="00FA0B8F" w:rsidP="00FA0B8F">
      <w:pPr>
        <w:pStyle w:val="BodyText"/>
        <w:rPr>
          <w:lang w:val="en-US"/>
        </w:rPr>
      </w:pPr>
      <w:r w:rsidRPr="00FA0B8F">
        <w:rPr>
          <w:lang w:val="en-US"/>
        </w:rPr>
        <w:t>Korea Republic</w:t>
      </w:r>
      <w:r w:rsidRPr="00FA0B8F">
        <w:rPr>
          <w:lang w:val="en-US"/>
        </w:rPr>
        <w:tab/>
      </w:r>
      <w:r w:rsidRPr="00FA0B8F">
        <w:rPr>
          <w:lang w:val="en-US"/>
        </w:rPr>
        <w:tab/>
      </w:r>
      <w:r w:rsidRPr="00FA0B8F">
        <w:rPr>
          <w:b/>
          <w:bCs/>
          <w:lang w:val="en-US"/>
        </w:rPr>
        <w:t>003 081 32326</w:t>
      </w:r>
    </w:p>
    <w:p w14:paraId="11E71414" w14:textId="476A8F12" w:rsidR="00FA0B8F" w:rsidRPr="00FA0B8F" w:rsidRDefault="00FA0B8F" w:rsidP="00FA0B8F">
      <w:pPr>
        <w:pStyle w:val="BodyText"/>
        <w:rPr>
          <w:lang w:val="en-US"/>
        </w:rPr>
      </w:pPr>
      <w:r w:rsidRPr="00FA0B8F">
        <w:rPr>
          <w:lang w:val="en-US"/>
        </w:rPr>
        <w:t>Netherlands</w:t>
      </w:r>
      <w:r w:rsidRPr="00FA0B8F">
        <w:rPr>
          <w:lang w:val="en-US"/>
        </w:rPr>
        <w:tab/>
      </w:r>
      <w:r w:rsidRPr="00FA0B8F">
        <w:rPr>
          <w:lang w:val="en-US"/>
        </w:rPr>
        <w:tab/>
      </w:r>
      <w:r w:rsidR="004056F3" w:rsidRPr="00FA0B8F">
        <w:rPr>
          <w:lang w:val="en-US"/>
        </w:rPr>
        <w:tab/>
      </w:r>
      <w:r w:rsidRPr="00FA0B8F">
        <w:rPr>
          <w:b/>
          <w:bCs/>
          <w:lang w:val="en-US"/>
        </w:rPr>
        <w:t>0800 0224 364</w:t>
      </w:r>
    </w:p>
    <w:p w14:paraId="68FA068D" w14:textId="5DFF77E3" w:rsidR="00FA0B8F" w:rsidRPr="00FA0B8F" w:rsidRDefault="00FA0B8F" w:rsidP="00FA0B8F">
      <w:pPr>
        <w:pStyle w:val="BodyText"/>
        <w:rPr>
          <w:lang w:val="en-US"/>
        </w:rPr>
      </w:pPr>
      <w:r w:rsidRPr="00FA0B8F">
        <w:rPr>
          <w:lang w:val="en-US"/>
        </w:rPr>
        <w:t>New Zealand</w:t>
      </w:r>
      <w:r w:rsidRPr="00FA0B8F">
        <w:rPr>
          <w:lang w:val="en-US"/>
        </w:rPr>
        <w:tab/>
      </w:r>
      <w:r w:rsidRPr="00FA0B8F">
        <w:rPr>
          <w:lang w:val="en-US"/>
        </w:rPr>
        <w:tab/>
      </w:r>
      <w:r w:rsidR="004056F3" w:rsidRPr="00FA0B8F">
        <w:rPr>
          <w:lang w:val="en-US"/>
        </w:rPr>
        <w:tab/>
      </w:r>
      <w:r w:rsidRPr="00FA0B8F">
        <w:rPr>
          <w:b/>
          <w:bCs/>
          <w:lang w:val="en-US"/>
        </w:rPr>
        <w:t>0800 441 248</w:t>
      </w:r>
    </w:p>
    <w:p w14:paraId="5ADA2D68" w14:textId="2CA7164F" w:rsidR="00FA0B8F" w:rsidRPr="00FA0B8F" w:rsidRDefault="00FA0B8F" w:rsidP="00FA0B8F">
      <w:pPr>
        <w:pStyle w:val="BodyText"/>
        <w:rPr>
          <w:lang w:val="en-US"/>
        </w:rPr>
      </w:pPr>
      <w:r w:rsidRPr="00FA0B8F">
        <w:rPr>
          <w:lang w:val="en-US"/>
        </w:rPr>
        <w:t>Philippines</w:t>
      </w:r>
      <w:r w:rsidRPr="00FA0B8F">
        <w:rPr>
          <w:lang w:val="en-US"/>
        </w:rPr>
        <w:tab/>
      </w:r>
      <w:r w:rsidRPr="00FA0B8F">
        <w:rPr>
          <w:lang w:val="en-US"/>
        </w:rPr>
        <w:tab/>
      </w:r>
      <w:r w:rsidR="004056F3" w:rsidRPr="00FA0B8F">
        <w:rPr>
          <w:lang w:val="en-US"/>
        </w:rPr>
        <w:tab/>
      </w:r>
      <w:r w:rsidRPr="00FA0B8F">
        <w:rPr>
          <w:b/>
          <w:bCs/>
          <w:lang w:val="en-US"/>
        </w:rPr>
        <w:t xml:space="preserve">1800 1611 0046 </w:t>
      </w:r>
    </w:p>
    <w:p w14:paraId="7F0CD4FB" w14:textId="210F9C2F" w:rsidR="00FA0B8F" w:rsidRPr="00FA0B8F" w:rsidRDefault="00FA0B8F" w:rsidP="00FA0B8F">
      <w:pPr>
        <w:pStyle w:val="BodyText"/>
        <w:rPr>
          <w:lang w:val="en-US"/>
        </w:rPr>
      </w:pPr>
      <w:r w:rsidRPr="00FA0B8F">
        <w:rPr>
          <w:lang w:val="en-US"/>
        </w:rPr>
        <w:t>Poland</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00 800 6111 220</w:t>
      </w:r>
    </w:p>
    <w:p w14:paraId="2A539819" w14:textId="40932203" w:rsidR="00FA0B8F" w:rsidRPr="00FA0B8F" w:rsidRDefault="00FA0B8F" w:rsidP="00FA0B8F">
      <w:pPr>
        <w:pStyle w:val="BodyText"/>
        <w:rPr>
          <w:lang w:val="en-US"/>
        </w:rPr>
      </w:pPr>
      <w:r w:rsidRPr="00FA0B8F">
        <w:rPr>
          <w:lang w:val="en-US"/>
        </w:rPr>
        <w:t>Portugal</w:t>
      </w:r>
      <w:r w:rsidRPr="00FA0B8F">
        <w:rPr>
          <w:lang w:val="en-US"/>
        </w:rPr>
        <w:tab/>
      </w:r>
      <w:r w:rsidRPr="00FA0B8F">
        <w:rPr>
          <w:lang w:val="en-US"/>
        </w:rPr>
        <w:tab/>
      </w:r>
      <w:r w:rsidR="004056F3" w:rsidRPr="00FA0B8F">
        <w:rPr>
          <w:lang w:val="en-US"/>
        </w:rPr>
        <w:tab/>
      </w:r>
      <w:r w:rsidR="004056F3" w:rsidRPr="00FA0B8F">
        <w:rPr>
          <w:lang w:val="en-US"/>
        </w:rPr>
        <w:tab/>
      </w:r>
      <w:r w:rsidRPr="00FA0B8F">
        <w:rPr>
          <w:b/>
          <w:bCs/>
          <w:lang w:val="en-US"/>
        </w:rPr>
        <w:t>800 861 122</w:t>
      </w:r>
    </w:p>
    <w:p w14:paraId="63FEB4BF" w14:textId="678CB29E" w:rsidR="00FA0B8F" w:rsidRPr="00FA0B8F" w:rsidRDefault="00FA0B8F" w:rsidP="00FA0B8F">
      <w:pPr>
        <w:pStyle w:val="BodyText"/>
        <w:rPr>
          <w:lang w:val="en-US"/>
        </w:rPr>
      </w:pPr>
      <w:r w:rsidRPr="00FA0B8F">
        <w:rPr>
          <w:lang w:val="en-US"/>
        </w:rPr>
        <w:lastRenderedPageBreak/>
        <w:t>Singapore</w:t>
      </w:r>
      <w:r w:rsidRPr="00FA0B8F">
        <w:rPr>
          <w:lang w:val="en-US"/>
        </w:rPr>
        <w:tab/>
      </w:r>
      <w:r w:rsidRPr="00FA0B8F">
        <w:rPr>
          <w:lang w:val="en-US"/>
        </w:rPr>
        <w:tab/>
      </w:r>
      <w:r w:rsidR="004056F3" w:rsidRPr="00FA0B8F">
        <w:rPr>
          <w:lang w:val="en-US"/>
        </w:rPr>
        <w:tab/>
      </w:r>
      <w:r w:rsidRPr="00FA0B8F">
        <w:rPr>
          <w:b/>
          <w:bCs/>
          <w:lang w:val="en-US"/>
        </w:rPr>
        <w:t>800 6167 015</w:t>
      </w:r>
    </w:p>
    <w:p w14:paraId="3D68F009" w14:textId="1BAD35F6" w:rsidR="00FA0B8F" w:rsidRPr="00FA0B8F" w:rsidRDefault="00FA0B8F" w:rsidP="00FA0B8F">
      <w:pPr>
        <w:pStyle w:val="BodyText"/>
        <w:rPr>
          <w:lang w:val="en-US"/>
        </w:rPr>
      </w:pPr>
      <w:r w:rsidRPr="00FA0B8F">
        <w:rPr>
          <w:lang w:val="en-US"/>
        </w:rPr>
        <w:t>Spain</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900 951 547</w:t>
      </w:r>
    </w:p>
    <w:p w14:paraId="7DCD4B47" w14:textId="7F014DE0" w:rsidR="00FA0B8F" w:rsidRPr="00FA0B8F" w:rsidRDefault="00FA0B8F" w:rsidP="00FA0B8F">
      <w:pPr>
        <w:pStyle w:val="BodyText"/>
        <w:rPr>
          <w:lang w:val="en-US"/>
        </w:rPr>
      </w:pPr>
      <w:r w:rsidRPr="00FA0B8F">
        <w:rPr>
          <w:lang w:val="en-US"/>
        </w:rPr>
        <w:t>Thailand</w:t>
      </w:r>
      <w:r w:rsidRPr="00FA0B8F">
        <w:rPr>
          <w:lang w:val="en-US"/>
        </w:rPr>
        <w:tab/>
      </w:r>
      <w:r w:rsidRPr="00FA0B8F">
        <w:rPr>
          <w:lang w:val="en-US"/>
        </w:rPr>
        <w:tab/>
      </w:r>
      <w:r w:rsidR="004056F3" w:rsidRPr="00FA0B8F">
        <w:rPr>
          <w:lang w:val="en-US"/>
        </w:rPr>
        <w:tab/>
      </w:r>
      <w:r w:rsidR="004056F3" w:rsidRPr="00FA0B8F">
        <w:rPr>
          <w:lang w:val="en-US"/>
        </w:rPr>
        <w:tab/>
      </w:r>
      <w:r w:rsidRPr="00FA0B8F">
        <w:rPr>
          <w:b/>
          <w:bCs/>
          <w:lang w:val="en-US"/>
        </w:rPr>
        <w:t>001 800 611 4136</w:t>
      </w:r>
    </w:p>
    <w:p w14:paraId="47CDE3F8" w14:textId="70159690" w:rsidR="00FA0B8F" w:rsidRPr="00FA0B8F" w:rsidRDefault="00FA0B8F" w:rsidP="00FA0B8F">
      <w:pPr>
        <w:pStyle w:val="BodyText"/>
        <w:rPr>
          <w:lang w:val="en-US"/>
        </w:rPr>
      </w:pPr>
      <w:r w:rsidRPr="00FA0B8F">
        <w:rPr>
          <w:lang w:val="en-US"/>
        </w:rPr>
        <w:t>Turkey</w:t>
      </w:r>
      <w:r w:rsidRPr="00FA0B8F">
        <w:rPr>
          <w:lang w:val="en-US"/>
        </w:rPr>
        <w:tab/>
      </w:r>
      <w:r w:rsidRPr="00FA0B8F">
        <w:rPr>
          <w:lang w:val="en-US"/>
        </w:rPr>
        <w:tab/>
      </w:r>
      <w:r w:rsidR="004056F3" w:rsidRPr="00FA0B8F">
        <w:rPr>
          <w:lang w:val="en-US"/>
        </w:rPr>
        <w:tab/>
      </w:r>
      <w:r w:rsidRPr="00FA0B8F">
        <w:rPr>
          <w:lang w:val="en-US"/>
        </w:rPr>
        <w:tab/>
      </w:r>
      <w:r w:rsidRPr="00FA0B8F">
        <w:rPr>
          <w:b/>
          <w:bCs/>
          <w:lang w:val="en-US"/>
        </w:rPr>
        <w:t>00 800 6190 5703</w:t>
      </w:r>
    </w:p>
    <w:p w14:paraId="40AF80A1" w14:textId="77777777" w:rsidR="00FA0B8F" w:rsidRPr="00FA0B8F" w:rsidRDefault="00FA0B8F" w:rsidP="00FA0B8F">
      <w:pPr>
        <w:pStyle w:val="BodyText"/>
        <w:rPr>
          <w:lang w:val="en-US"/>
        </w:rPr>
      </w:pPr>
      <w:r w:rsidRPr="00FA0B8F">
        <w:rPr>
          <w:lang w:val="en-US"/>
        </w:rPr>
        <w:t>United Arab Emirates</w:t>
      </w:r>
      <w:r w:rsidRPr="00FA0B8F">
        <w:rPr>
          <w:lang w:val="en-US"/>
        </w:rPr>
        <w:tab/>
      </w:r>
      <w:r w:rsidRPr="00FA0B8F">
        <w:rPr>
          <w:b/>
          <w:bCs/>
          <w:lang w:val="en-US"/>
        </w:rPr>
        <w:t>800 061 04319</w:t>
      </w:r>
    </w:p>
    <w:p w14:paraId="27E66AAB" w14:textId="073E0CD3" w:rsidR="00FA0B8F" w:rsidRPr="00FA0B8F" w:rsidRDefault="00FA0B8F" w:rsidP="00FA0B8F">
      <w:pPr>
        <w:pStyle w:val="BodyText"/>
        <w:rPr>
          <w:b/>
          <w:bCs/>
          <w:lang w:val="en-US"/>
        </w:rPr>
      </w:pPr>
      <w:r w:rsidRPr="00FA0B8F">
        <w:rPr>
          <w:lang w:val="en-US"/>
        </w:rPr>
        <w:t>United Kingdom</w:t>
      </w:r>
      <w:r w:rsidRPr="00FA0B8F">
        <w:rPr>
          <w:lang w:val="en-US"/>
        </w:rPr>
        <w:tab/>
      </w:r>
      <w:r w:rsidR="004056F3" w:rsidRPr="00FA0B8F">
        <w:rPr>
          <w:lang w:val="en-US"/>
        </w:rPr>
        <w:tab/>
      </w:r>
      <w:r w:rsidRPr="00FA0B8F">
        <w:rPr>
          <w:b/>
          <w:bCs/>
          <w:lang w:val="en-US"/>
        </w:rPr>
        <w:t>0800 169 5865</w:t>
      </w:r>
    </w:p>
    <w:p w14:paraId="4D96F537" w14:textId="727EAD87" w:rsidR="00FA0B8F" w:rsidRPr="00FA0B8F" w:rsidRDefault="00FA0B8F" w:rsidP="00FA0B8F">
      <w:pPr>
        <w:pStyle w:val="BodyText"/>
        <w:rPr>
          <w:b/>
          <w:bCs/>
          <w:lang w:val="en-US"/>
        </w:rPr>
      </w:pPr>
      <w:r w:rsidRPr="00FA0B8F">
        <w:rPr>
          <w:lang w:val="en-US"/>
        </w:rPr>
        <w:t xml:space="preserve">USA </w:t>
      </w:r>
      <w:r w:rsidRPr="00FA0B8F">
        <w:rPr>
          <w:lang w:val="en-US"/>
        </w:rPr>
        <w:tab/>
      </w:r>
      <w:r w:rsidRPr="00FA0B8F">
        <w:rPr>
          <w:lang w:val="en-US"/>
        </w:rPr>
        <w:tab/>
      </w:r>
      <w:r w:rsidRPr="00FA0B8F">
        <w:rPr>
          <w:lang w:val="en-US"/>
        </w:rPr>
        <w:tab/>
      </w:r>
      <w:r w:rsidR="004056F3" w:rsidRPr="00FA0B8F">
        <w:rPr>
          <w:lang w:val="en-US"/>
        </w:rPr>
        <w:tab/>
      </w:r>
      <w:r w:rsidRPr="00FA0B8F">
        <w:rPr>
          <w:b/>
          <w:bCs/>
          <w:lang w:val="en-US"/>
        </w:rPr>
        <w:t>1866 3433 086</w:t>
      </w:r>
    </w:p>
    <w:p w14:paraId="7D91B6A6" w14:textId="334A29AE" w:rsidR="00F41C6E" w:rsidRDefault="00FA0B8F" w:rsidP="00FA0B8F">
      <w:pPr>
        <w:pStyle w:val="BodyText"/>
      </w:pPr>
      <w:r w:rsidRPr="00FA0B8F">
        <w:t>* China (North) includes the provinces of Beijing, Tianjin, Hebei, Shanxi, Inner Mongolia, Heilongjiang, Liaoning, Jilin, Shandong and Henan. We consider all other provinces as China (South) for this purpose.</w:t>
      </w:r>
    </w:p>
    <w:p w14:paraId="2E111155" w14:textId="589FB977" w:rsidR="00E018DC" w:rsidRPr="00374B97" w:rsidRDefault="002641D6" w:rsidP="002641D6">
      <w:pPr>
        <w:pStyle w:val="ProductCode"/>
      </w:pPr>
      <w:bookmarkStart w:id="1" w:name="ColumnTitle_Schedule"/>
      <w:bookmarkEnd w:id="1"/>
      <w:r>
        <w:t>INT001.2410</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0059" w14:textId="77777777" w:rsidR="003E0728" w:rsidRDefault="003E0728" w:rsidP="00C77FE4">
      <w:r>
        <w:separator/>
      </w:r>
    </w:p>
  </w:endnote>
  <w:endnote w:type="continuationSeparator" w:id="0">
    <w:p w14:paraId="711B6264" w14:textId="77777777" w:rsidR="003E0728" w:rsidRDefault="003E072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F3FA8" w14:textId="77777777" w:rsidR="003E0728" w:rsidRDefault="003E0728" w:rsidP="00C77FE4">
      <w:r>
        <w:separator/>
      </w:r>
    </w:p>
  </w:footnote>
  <w:footnote w:type="continuationSeparator" w:id="0">
    <w:p w14:paraId="6550C7B4" w14:textId="77777777" w:rsidR="003E0728" w:rsidRDefault="003E0728"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B82884B2"/>
    <w:lvl w:ilvl="0">
      <w:start w:val="1"/>
      <w:numFmt w:val="decimal"/>
      <w:pStyle w:val="ListNumber"/>
      <w:lvlText w:val="%1."/>
      <w:lvlJc w:val="left"/>
      <w:pPr>
        <w:tabs>
          <w:tab w:val="num" w:pos="360"/>
        </w:tabs>
        <w:ind w:left="360" w:hanging="360"/>
      </w:pPr>
      <w:rPr>
        <w:b w:val="0"/>
        <w:bCs w:val="0"/>
      </w:r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4964698">
    <w:abstractNumId w:val="9"/>
  </w:num>
  <w:num w:numId="2" w16cid:durableId="1619678709">
    <w:abstractNumId w:val="7"/>
  </w:num>
  <w:num w:numId="3" w16cid:durableId="1514150115">
    <w:abstractNumId w:val="6"/>
  </w:num>
  <w:num w:numId="4" w16cid:durableId="107314744">
    <w:abstractNumId w:val="5"/>
  </w:num>
  <w:num w:numId="5" w16cid:durableId="9334430">
    <w:abstractNumId w:val="4"/>
  </w:num>
  <w:num w:numId="6" w16cid:durableId="1895196007">
    <w:abstractNumId w:val="8"/>
  </w:num>
  <w:num w:numId="7" w16cid:durableId="929777852">
    <w:abstractNumId w:val="3"/>
  </w:num>
  <w:num w:numId="8" w16cid:durableId="1624464593">
    <w:abstractNumId w:val="2"/>
  </w:num>
  <w:num w:numId="9" w16cid:durableId="22825952">
    <w:abstractNumId w:val="1"/>
  </w:num>
  <w:num w:numId="10" w16cid:durableId="17974716">
    <w:abstractNumId w:val="0"/>
  </w:num>
  <w:num w:numId="11" w16cid:durableId="1546259904">
    <w:abstractNumId w:val="10"/>
  </w:num>
  <w:num w:numId="12" w16cid:durableId="371157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28"/>
    <w:rsid w:val="000076F8"/>
    <w:rsid w:val="00015456"/>
    <w:rsid w:val="000156A2"/>
    <w:rsid w:val="00015AE7"/>
    <w:rsid w:val="00032A7E"/>
    <w:rsid w:val="00044271"/>
    <w:rsid w:val="00047ECA"/>
    <w:rsid w:val="00054392"/>
    <w:rsid w:val="00054F06"/>
    <w:rsid w:val="00057C25"/>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47100"/>
    <w:rsid w:val="00251E3F"/>
    <w:rsid w:val="002556F0"/>
    <w:rsid w:val="00256A48"/>
    <w:rsid w:val="002641D6"/>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0D3F"/>
    <w:rsid w:val="004027EB"/>
    <w:rsid w:val="004046AA"/>
    <w:rsid w:val="00404F1C"/>
    <w:rsid w:val="004056F3"/>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4F8C"/>
    <w:rsid w:val="00586555"/>
    <w:rsid w:val="005A433D"/>
    <w:rsid w:val="005A59CA"/>
    <w:rsid w:val="005B092F"/>
    <w:rsid w:val="005B17EB"/>
    <w:rsid w:val="005E446C"/>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180B"/>
    <w:rsid w:val="006D2988"/>
    <w:rsid w:val="006D35B7"/>
    <w:rsid w:val="006D5715"/>
    <w:rsid w:val="006D6F0A"/>
    <w:rsid w:val="006F3A95"/>
    <w:rsid w:val="00705895"/>
    <w:rsid w:val="00705D14"/>
    <w:rsid w:val="00716746"/>
    <w:rsid w:val="00726026"/>
    <w:rsid w:val="00726C62"/>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A7D46"/>
    <w:rsid w:val="007B4AC9"/>
    <w:rsid w:val="007B5011"/>
    <w:rsid w:val="007B72F3"/>
    <w:rsid w:val="007C4725"/>
    <w:rsid w:val="007D2AE4"/>
    <w:rsid w:val="007D3C35"/>
    <w:rsid w:val="007D500B"/>
    <w:rsid w:val="007D761E"/>
    <w:rsid w:val="007E5532"/>
    <w:rsid w:val="007F7BFB"/>
    <w:rsid w:val="008004E6"/>
    <w:rsid w:val="00802139"/>
    <w:rsid w:val="00847F5E"/>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D7822"/>
    <w:rsid w:val="009E59EB"/>
    <w:rsid w:val="00A06486"/>
    <w:rsid w:val="00A11D8E"/>
    <w:rsid w:val="00A21258"/>
    <w:rsid w:val="00A265A0"/>
    <w:rsid w:val="00A41E85"/>
    <w:rsid w:val="00A52B74"/>
    <w:rsid w:val="00A61223"/>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0D3F"/>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584"/>
    <w:rsid w:val="00D22D34"/>
    <w:rsid w:val="00D27B93"/>
    <w:rsid w:val="00D471E5"/>
    <w:rsid w:val="00D61251"/>
    <w:rsid w:val="00D6260E"/>
    <w:rsid w:val="00D62DEA"/>
    <w:rsid w:val="00D65810"/>
    <w:rsid w:val="00D7585D"/>
    <w:rsid w:val="00D90171"/>
    <w:rsid w:val="00D91CC3"/>
    <w:rsid w:val="00D95D2A"/>
    <w:rsid w:val="00DB50EE"/>
    <w:rsid w:val="00DB5AB6"/>
    <w:rsid w:val="00DF0E65"/>
    <w:rsid w:val="00DF39AF"/>
    <w:rsid w:val="00DF6DA7"/>
    <w:rsid w:val="00E018DC"/>
    <w:rsid w:val="00E05521"/>
    <w:rsid w:val="00E05AE3"/>
    <w:rsid w:val="00E075E7"/>
    <w:rsid w:val="00E22EB2"/>
    <w:rsid w:val="00E24639"/>
    <w:rsid w:val="00E24EC1"/>
    <w:rsid w:val="00E352AC"/>
    <w:rsid w:val="00E454C6"/>
    <w:rsid w:val="00E66C20"/>
    <w:rsid w:val="00E80126"/>
    <w:rsid w:val="00E84A72"/>
    <w:rsid w:val="00E85228"/>
    <w:rsid w:val="00EA1575"/>
    <w:rsid w:val="00EA7C06"/>
    <w:rsid w:val="00EB05AD"/>
    <w:rsid w:val="00EB6C6C"/>
    <w:rsid w:val="00EC1132"/>
    <w:rsid w:val="00ED34BA"/>
    <w:rsid w:val="00EE07E7"/>
    <w:rsid w:val="00EF0F52"/>
    <w:rsid w:val="00EF141B"/>
    <w:rsid w:val="00EF4814"/>
    <w:rsid w:val="00F07680"/>
    <w:rsid w:val="00F13F24"/>
    <w:rsid w:val="00F14599"/>
    <w:rsid w:val="00F260CA"/>
    <w:rsid w:val="00F41C6E"/>
    <w:rsid w:val="00F5650E"/>
    <w:rsid w:val="00F612F8"/>
    <w:rsid w:val="00F65C44"/>
    <w:rsid w:val="00F75113"/>
    <w:rsid w:val="00F9462E"/>
    <w:rsid w:val="00F94A6B"/>
    <w:rsid w:val="00FA0B8F"/>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E95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styleId="Hyperlink">
    <w:name w:val="Hyperlink"/>
    <w:basedOn w:val="DefaultParagraphFont"/>
    <w:uiPriority w:val="99"/>
    <w:unhideWhenUsed/>
    <w:rsid w:val="00400D3F"/>
    <w:rPr>
      <w:color w:val="0563C1" w:themeColor="hyperlink"/>
      <w:u w:val="single"/>
    </w:rPr>
  </w:style>
  <w:style w:type="character" w:styleId="UnresolvedMention">
    <w:name w:val="Unresolved Mention"/>
    <w:basedOn w:val="DefaultParagraphFont"/>
    <w:uiPriority w:val="99"/>
    <w:semiHidden/>
    <w:unhideWhenUsed/>
    <w:rsid w:val="00400D3F"/>
    <w:rPr>
      <w:color w:val="605E5C"/>
      <w:shd w:val="clear" w:color="auto" w:fill="E1DFDD"/>
    </w:rPr>
  </w:style>
  <w:style w:type="paragraph" w:styleId="Header">
    <w:name w:val="header"/>
    <w:basedOn w:val="Normal"/>
    <w:link w:val="HeaderChar"/>
    <w:uiPriority w:val="99"/>
    <w:unhideWhenUsed/>
    <w:rsid w:val="00D22584"/>
    <w:pPr>
      <w:tabs>
        <w:tab w:val="clear" w:pos="1066"/>
        <w:tab w:val="center" w:pos="4513"/>
        <w:tab w:val="right" w:pos="9026"/>
      </w:tabs>
    </w:pPr>
  </w:style>
  <w:style w:type="character" w:customStyle="1" w:styleId="HeaderChar">
    <w:name w:val="Header Char"/>
    <w:basedOn w:val="DefaultParagraphFont"/>
    <w:link w:val="Header"/>
    <w:uiPriority w:val="99"/>
    <w:rsid w:val="00D22584"/>
    <w:rPr>
      <w:rFonts w:ascii="Arial" w:hAnsi="Arial"/>
      <w:sz w:val="24"/>
      <w:szCs w:val="24"/>
      <w:lang w:eastAsia="en-US"/>
    </w:rPr>
  </w:style>
  <w:style w:type="paragraph" w:styleId="Footer">
    <w:name w:val="footer"/>
    <w:basedOn w:val="Normal"/>
    <w:link w:val="FooterChar"/>
    <w:uiPriority w:val="99"/>
    <w:unhideWhenUsed/>
    <w:rsid w:val="00D22584"/>
    <w:pPr>
      <w:tabs>
        <w:tab w:val="clear" w:pos="1066"/>
        <w:tab w:val="center" w:pos="4513"/>
        <w:tab w:val="right" w:pos="9026"/>
      </w:tabs>
    </w:pPr>
  </w:style>
  <w:style w:type="character" w:customStyle="1" w:styleId="FooterChar">
    <w:name w:val="Footer Char"/>
    <w:basedOn w:val="DefaultParagraphFont"/>
    <w:link w:val="Footer"/>
    <w:uiPriority w:val="99"/>
    <w:rsid w:val="00D2258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phone-us" TargetMode="External"/><Relationship Id="rId13" Type="http://schemas.openxmlformats.org/officeDocument/2006/relationships/hyperlink" Target="http://servicesaustralia.gov.au/asse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vicesaustralia.gov.au/mygov" TargetMode="External"/><Relationship Id="rId12" Type="http://schemas.openxmlformats.org/officeDocument/2006/relationships/hyperlink" Target="http://servicesaustralia.gov.au/work-bonus" TargetMode="External"/><Relationship Id="rId17" Type="http://schemas.openxmlformats.org/officeDocument/2006/relationships/hyperlink" Target="http://servicesaustralia.gov.au" TargetMode="External"/><Relationship Id="rId2" Type="http://schemas.openxmlformats.org/officeDocument/2006/relationships/styles" Target="styles.xml"/><Relationship Id="rId16" Type="http://schemas.openxmlformats.org/officeDocument/2006/relationships/hyperlink" Target="http://servicesaustralia.gov.au/customer/publications/int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income" TargetMode="External"/><Relationship Id="rId5" Type="http://schemas.openxmlformats.org/officeDocument/2006/relationships/footnotes" Target="footnotes.xml"/><Relationship Id="rId15" Type="http://schemas.openxmlformats.org/officeDocument/2006/relationships/hyperlink" Target="http://servicesaustralia.gov.au" TargetMode="External"/><Relationship Id="rId10" Type="http://schemas.openxmlformats.org/officeDocument/2006/relationships/hyperlink" Target="http://servicesaustralia.gov.au/d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saustralia.gov.au/%20international-social-security-agreements" TargetMode="External"/><Relationship Id="rId14" Type="http://schemas.openxmlformats.org/officeDocument/2006/relationships/hyperlink" Target="http://servicesaustralia.gov.au/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Pension News</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Pension News</dc:title>
  <dc:subject/>
  <dc:creator>Services Australia</dc:creator>
  <cp:keywords>INT001.2410</cp:keywords>
  <dc:description/>
  <cp:lastModifiedBy/>
  <cp:revision>1</cp:revision>
  <dcterms:created xsi:type="dcterms:W3CDTF">2024-10-09T01:26:00Z</dcterms:created>
  <dcterms:modified xsi:type="dcterms:W3CDTF">2024-10-09T02:41:00Z</dcterms:modified>
</cp:coreProperties>
</file>