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B2F0" w14:textId="336C1B9C" w:rsidR="00A82C12" w:rsidRPr="001D4174" w:rsidRDefault="00274FFD" w:rsidP="00A82C12">
      <w:pPr>
        <w:pStyle w:val="DHSHeadinglevel1"/>
      </w:pPr>
      <w:bookmarkStart w:id="0" w:name="_Toc142718988"/>
      <w:r w:rsidRPr="00B27C58">
        <w:t>Budget</w:t>
      </w:r>
      <w:r w:rsidR="00915568" w:rsidRPr="00B27C58">
        <w:t xml:space="preserve"> </w:t>
      </w:r>
      <w:r w:rsidR="00183D7B" w:rsidRPr="00B27C58">
        <w:rPr>
          <w:color w:val="000000" w:themeColor="text1"/>
        </w:rPr>
        <w:t>202</w:t>
      </w:r>
      <w:r w:rsidR="00EE3E1E">
        <w:rPr>
          <w:color w:val="000000" w:themeColor="text1"/>
        </w:rPr>
        <w:t>4</w:t>
      </w:r>
      <w:r w:rsidR="00B27C58" w:rsidRPr="00B27C58">
        <w:rPr>
          <w:color w:val="000000" w:themeColor="text1"/>
        </w:rPr>
        <w:t>-2</w:t>
      </w:r>
      <w:r w:rsidR="00EE3E1E">
        <w:rPr>
          <w:color w:val="000000" w:themeColor="text1"/>
        </w:rPr>
        <w:t>5</w:t>
      </w:r>
    </w:p>
    <w:p w14:paraId="1A474038" w14:textId="055F6E12" w:rsidR="00AE1D71" w:rsidRDefault="00A82C12" w:rsidP="00427F20">
      <w:pPr>
        <w:pStyle w:val="DHSBodytext"/>
      </w:pPr>
      <w:r>
        <w:t xml:space="preserve">This information is accurate as of </w:t>
      </w:r>
      <w:r w:rsidR="00EE3E1E">
        <w:t xml:space="preserve">14 </w:t>
      </w:r>
      <w:r w:rsidR="002C78D8">
        <w:t>May 202</w:t>
      </w:r>
      <w:r w:rsidR="00EE3E1E">
        <w:t>4</w:t>
      </w:r>
      <w:r>
        <w:t>.</w:t>
      </w:r>
    </w:p>
    <w:p w14:paraId="0A9A525C" w14:textId="390E6036" w:rsidR="00D52C59" w:rsidRPr="00F85C8F" w:rsidRDefault="00B8344B" w:rsidP="00427F20">
      <w:pPr>
        <w:pStyle w:val="DHSHeadinglevel2"/>
      </w:pPr>
      <w:r w:rsidRPr="00B8344B">
        <w:t xml:space="preserve">National Disability Insurance Scheme – getting the NDIS back on </w:t>
      </w:r>
      <w:proofErr w:type="gramStart"/>
      <w:r w:rsidRPr="00B8344B">
        <w:t>track</w:t>
      </w:r>
      <w:proofErr w:type="gramEnd"/>
    </w:p>
    <w:p w14:paraId="208168C8" w14:textId="60D8FF8A" w:rsidR="004921CF" w:rsidRDefault="00D85C60" w:rsidP="005B6CC1">
      <w:pPr>
        <w:rPr>
          <w:rStyle w:val="Style3"/>
          <w:rFonts w:cs="Arial"/>
        </w:rPr>
      </w:pPr>
      <w:r w:rsidRPr="00D3059B">
        <w:rPr>
          <w:rStyle w:val="Style3"/>
          <w:rFonts w:cs="Arial"/>
        </w:rPr>
        <w:t>The Fraud Fusion Taskforce is a multi-agency partnership working to disrupt fraud and criminal activity, including serious and organised crime</w:t>
      </w:r>
      <w:r>
        <w:rPr>
          <w:rStyle w:val="Style3"/>
          <w:rFonts w:cs="Arial"/>
        </w:rPr>
        <w:t>.</w:t>
      </w:r>
      <w:r w:rsidDel="00A96F7C">
        <w:rPr>
          <w:rStyle w:val="Style3"/>
          <w:rFonts w:cs="Arial"/>
        </w:rPr>
        <w:t xml:space="preserve"> </w:t>
      </w:r>
      <w:r w:rsidR="005B6CC1">
        <w:rPr>
          <w:rStyle w:val="Style3"/>
          <w:rFonts w:cs="Arial"/>
        </w:rPr>
        <w:t xml:space="preserve">The </w:t>
      </w:r>
      <w:r w:rsidR="00D8689D">
        <w:rPr>
          <w:rStyle w:val="Style3"/>
          <w:rFonts w:cs="Arial"/>
        </w:rPr>
        <w:t>taskforce</w:t>
      </w:r>
      <w:r w:rsidR="005B6CC1" w:rsidRPr="005B6CC1">
        <w:rPr>
          <w:rStyle w:val="Style3"/>
          <w:rFonts w:cs="Arial"/>
        </w:rPr>
        <w:t xml:space="preserve"> commenced </w:t>
      </w:r>
      <w:r w:rsidR="00A96F7C">
        <w:rPr>
          <w:rStyle w:val="Style3"/>
          <w:rFonts w:cs="Arial"/>
        </w:rPr>
        <w:t xml:space="preserve">on </w:t>
      </w:r>
      <w:r w:rsidR="005B6CC1" w:rsidRPr="005B6CC1">
        <w:rPr>
          <w:rStyle w:val="Style3"/>
          <w:rFonts w:cs="Arial"/>
        </w:rPr>
        <w:t>1 November 2022</w:t>
      </w:r>
      <w:r w:rsidR="00A96F7C">
        <w:rPr>
          <w:rStyle w:val="Style3"/>
          <w:rFonts w:cs="Arial"/>
        </w:rPr>
        <w:t>. It</w:t>
      </w:r>
      <w:r w:rsidR="005B6CC1" w:rsidRPr="005B6CC1">
        <w:rPr>
          <w:rStyle w:val="Style3"/>
          <w:rFonts w:cs="Arial"/>
        </w:rPr>
        <w:t xml:space="preserve"> establis</w:t>
      </w:r>
      <w:r w:rsidR="00A96F7C">
        <w:rPr>
          <w:rStyle w:val="Style3"/>
          <w:rFonts w:cs="Arial"/>
        </w:rPr>
        <w:t>hed</w:t>
      </w:r>
      <w:r w:rsidR="005B6CC1" w:rsidRPr="005B6CC1">
        <w:rPr>
          <w:rStyle w:val="Style3"/>
          <w:rFonts w:cs="Arial"/>
        </w:rPr>
        <w:t xml:space="preserve"> the Intelligence Program within the Australian Criminal Intelligence Commission </w:t>
      </w:r>
      <w:r w:rsidR="00971F7B">
        <w:rPr>
          <w:rStyle w:val="Style3"/>
          <w:rFonts w:cs="Arial"/>
        </w:rPr>
        <w:t xml:space="preserve">(ACIC) </w:t>
      </w:r>
      <w:r w:rsidR="005B6CC1" w:rsidRPr="005B6CC1">
        <w:rPr>
          <w:rStyle w:val="Style3"/>
          <w:rFonts w:cs="Arial"/>
        </w:rPr>
        <w:t>Fraud Fusion Centre.</w:t>
      </w:r>
    </w:p>
    <w:p w14:paraId="5E931C03" w14:textId="77777777" w:rsidR="004921CF" w:rsidRDefault="004921CF" w:rsidP="005B6CC1">
      <w:pPr>
        <w:rPr>
          <w:rStyle w:val="Style3"/>
          <w:rFonts w:cs="Arial"/>
        </w:rPr>
      </w:pPr>
    </w:p>
    <w:p w14:paraId="34B74D3A" w14:textId="7FD028DF" w:rsidR="00D85C60" w:rsidRDefault="005B6CC1" w:rsidP="005B6CC1">
      <w:pPr>
        <w:rPr>
          <w:rStyle w:val="Style3"/>
          <w:rFonts w:eastAsiaTheme="minorEastAsia" w:cs="Arial"/>
        </w:rPr>
      </w:pPr>
      <w:r w:rsidRPr="005B6CC1">
        <w:rPr>
          <w:rStyle w:val="Style3"/>
          <w:rFonts w:cs="Arial"/>
        </w:rPr>
        <w:t>The taskforce enables intelligence sharing, identification and response by</w:t>
      </w:r>
      <w:r w:rsidR="00D85C60">
        <w:rPr>
          <w:rStyle w:val="Style3"/>
          <w:rFonts w:cs="Arial"/>
        </w:rPr>
        <w:t xml:space="preserve"> member agencies to </w:t>
      </w:r>
      <w:r w:rsidR="00D85C60" w:rsidRPr="00D85C60">
        <w:rPr>
          <w:rStyle w:val="Style3"/>
          <w:rFonts w:eastAsiaTheme="minorEastAsia" w:cs="Arial"/>
        </w:rPr>
        <w:t>fraud perpetrated by serious organised crime entities</w:t>
      </w:r>
      <w:r w:rsidR="00D85C60">
        <w:rPr>
          <w:rStyle w:val="Style3"/>
          <w:rFonts w:eastAsiaTheme="minorEastAsia" w:cs="Arial"/>
        </w:rPr>
        <w:t>,</w:t>
      </w:r>
      <w:r w:rsidR="00D85C60" w:rsidRPr="00D85C60">
        <w:rPr>
          <w:rStyle w:val="Style3"/>
          <w:rFonts w:eastAsiaTheme="minorEastAsia" w:cs="Arial"/>
        </w:rPr>
        <w:t xml:space="preserve"> and others seeking to exploit </w:t>
      </w:r>
      <w:r w:rsidR="00D85C60">
        <w:rPr>
          <w:rStyle w:val="Style3"/>
          <w:rFonts w:cs="Arial"/>
        </w:rPr>
        <w:t>g</w:t>
      </w:r>
      <w:r w:rsidR="00D85C60" w:rsidRPr="00D85C60">
        <w:rPr>
          <w:rStyle w:val="Style3"/>
          <w:rFonts w:eastAsiaTheme="minorEastAsia" w:cs="Arial"/>
        </w:rPr>
        <w:t>overnment programs and payments</w:t>
      </w:r>
      <w:r w:rsidR="00D85C60">
        <w:rPr>
          <w:rStyle w:val="Style3"/>
          <w:rFonts w:eastAsiaTheme="minorEastAsia" w:cs="Arial"/>
        </w:rPr>
        <w:t>.</w:t>
      </w:r>
    </w:p>
    <w:p w14:paraId="6B3B32B2" w14:textId="77777777" w:rsidR="00D85C60" w:rsidRDefault="00D85C60" w:rsidP="005B6CC1">
      <w:pPr>
        <w:rPr>
          <w:rStyle w:val="Style3"/>
          <w:rFonts w:eastAsiaTheme="minorEastAsia" w:cs="Arial"/>
        </w:rPr>
      </w:pPr>
    </w:p>
    <w:p w14:paraId="7A4D5241" w14:textId="771A6B1B" w:rsidR="00A96F7C" w:rsidRPr="00D3059B" w:rsidRDefault="00D85C60" w:rsidP="005B6CC1">
      <w:pPr>
        <w:rPr>
          <w:rStyle w:val="Style3"/>
          <w:rFonts w:eastAsiaTheme="minorEastAsia" w:cs="Arial"/>
        </w:rPr>
      </w:pPr>
      <w:r>
        <w:rPr>
          <w:rStyle w:val="Style3"/>
          <w:rFonts w:eastAsiaTheme="minorEastAsia" w:cs="Arial"/>
        </w:rPr>
        <w:t>Member agencies include</w:t>
      </w:r>
      <w:r w:rsidR="00A96F7C">
        <w:rPr>
          <w:rStyle w:val="Style3"/>
          <w:rFonts w:cs="Arial"/>
        </w:rPr>
        <w:t>:</w:t>
      </w:r>
    </w:p>
    <w:p w14:paraId="68B0360C" w14:textId="71EEB0B0" w:rsidR="00A96F7C" w:rsidRDefault="005B6CC1" w:rsidP="00D3059B">
      <w:pPr>
        <w:pStyle w:val="ListParagraph"/>
        <w:numPr>
          <w:ilvl w:val="0"/>
          <w:numId w:val="16"/>
        </w:numPr>
        <w:rPr>
          <w:rStyle w:val="Style3"/>
          <w:rFonts w:cs="Arial"/>
        </w:rPr>
      </w:pPr>
      <w:r w:rsidRPr="00D85C60">
        <w:rPr>
          <w:rStyle w:val="Style3"/>
          <w:rFonts w:cs="Arial"/>
        </w:rPr>
        <w:t>the N</w:t>
      </w:r>
      <w:r w:rsidR="004921CF">
        <w:rPr>
          <w:rStyle w:val="Style3"/>
          <w:rFonts w:cs="Arial"/>
        </w:rPr>
        <w:t xml:space="preserve">ational </w:t>
      </w:r>
      <w:r w:rsidRPr="00D85C60">
        <w:rPr>
          <w:rStyle w:val="Style3"/>
          <w:rFonts w:cs="Arial"/>
        </w:rPr>
        <w:t>D</w:t>
      </w:r>
      <w:r w:rsidR="004921CF">
        <w:rPr>
          <w:rStyle w:val="Style3"/>
          <w:rFonts w:cs="Arial"/>
        </w:rPr>
        <w:t>isability Insurance Agency (ND</w:t>
      </w:r>
      <w:r w:rsidRPr="00D85C60">
        <w:rPr>
          <w:rStyle w:val="Style3"/>
          <w:rFonts w:cs="Arial"/>
        </w:rPr>
        <w:t>IA</w:t>
      </w:r>
      <w:r w:rsidR="004921CF">
        <w:rPr>
          <w:rStyle w:val="Style3"/>
          <w:rFonts w:cs="Arial"/>
        </w:rPr>
        <w:t>)</w:t>
      </w:r>
    </w:p>
    <w:p w14:paraId="3578EE31" w14:textId="6CFD45CC" w:rsidR="00A96F7C" w:rsidRDefault="005B6CC1" w:rsidP="00D3059B">
      <w:pPr>
        <w:pStyle w:val="ListParagraph"/>
        <w:numPr>
          <w:ilvl w:val="0"/>
          <w:numId w:val="16"/>
        </w:numPr>
        <w:rPr>
          <w:rStyle w:val="Style3"/>
          <w:rFonts w:cs="Arial"/>
        </w:rPr>
      </w:pPr>
      <w:r w:rsidRPr="00D85C60">
        <w:rPr>
          <w:rStyle w:val="Style3"/>
          <w:rFonts w:cs="Arial"/>
        </w:rPr>
        <w:t>Services Australia</w:t>
      </w:r>
    </w:p>
    <w:p w14:paraId="5860DFAA" w14:textId="2C8AA43C" w:rsidR="00971F7B" w:rsidRDefault="00971F7B" w:rsidP="00D3059B">
      <w:pPr>
        <w:pStyle w:val="ListParagraph"/>
        <w:numPr>
          <w:ilvl w:val="0"/>
          <w:numId w:val="16"/>
        </w:numPr>
        <w:rPr>
          <w:rStyle w:val="Style3"/>
          <w:rFonts w:cs="Arial"/>
        </w:rPr>
      </w:pPr>
      <w:r>
        <w:rPr>
          <w:rStyle w:val="Style3"/>
          <w:rFonts w:cs="Arial"/>
        </w:rPr>
        <w:t>ACIC</w:t>
      </w:r>
    </w:p>
    <w:p w14:paraId="473EC6AE" w14:textId="4B6B98AC" w:rsidR="00A96F7C" w:rsidRDefault="005B6CC1" w:rsidP="00D3059B">
      <w:pPr>
        <w:pStyle w:val="ListParagraph"/>
        <w:numPr>
          <w:ilvl w:val="0"/>
          <w:numId w:val="16"/>
        </w:numPr>
        <w:rPr>
          <w:rStyle w:val="Style3"/>
          <w:rFonts w:cs="Arial"/>
        </w:rPr>
      </w:pPr>
      <w:r w:rsidRPr="00D85C60">
        <w:rPr>
          <w:rStyle w:val="Style3"/>
          <w:rFonts w:cs="Arial"/>
        </w:rPr>
        <w:t>other program departments</w:t>
      </w:r>
    </w:p>
    <w:p w14:paraId="4211D0CF" w14:textId="79CCD82C" w:rsidR="00A96F7C" w:rsidRDefault="005B6CC1" w:rsidP="00D3059B">
      <w:pPr>
        <w:pStyle w:val="ListParagraph"/>
        <w:numPr>
          <w:ilvl w:val="0"/>
          <w:numId w:val="16"/>
        </w:numPr>
        <w:rPr>
          <w:rStyle w:val="Style3"/>
          <w:rFonts w:cs="Arial"/>
        </w:rPr>
      </w:pPr>
      <w:r w:rsidRPr="00D85C60">
        <w:rPr>
          <w:rStyle w:val="Style3"/>
          <w:rFonts w:cs="Arial"/>
        </w:rPr>
        <w:t xml:space="preserve">law enforcement </w:t>
      </w:r>
      <w:proofErr w:type="gramStart"/>
      <w:r w:rsidRPr="00D85C60">
        <w:rPr>
          <w:rStyle w:val="Style3"/>
          <w:rFonts w:cs="Arial"/>
        </w:rPr>
        <w:t>agencies</w:t>
      </w:r>
      <w:proofErr w:type="gramEnd"/>
    </w:p>
    <w:p w14:paraId="1A50AEF1" w14:textId="6FBCE7BF" w:rsidR="005B6CC1" w:rsidRDefault="005B6CC1" w:rsidP="00D3059B">
      <w:pPr>
        <w:pStyle w:val="ListParagraph"/>
        <w:numPr>
          <w:ilvl w:val="0"/>
          <w:numId w:val="16"/>
        </w:numPr>
        <w:rPr>
          <w:rStyle w:val="Style3"/>
          <w:rFonts w:cs="Arial"/>
        </w:rPr>
      </w:pPr>
      <w:r w:rsidRPr="00D85C60">
        <w:rPr>
          <w:rStyle w:val="Style3"/>
          <w:rFonts w:cs="Arial"/>
        </w:rPr>
        <w:t>regulators.</w:t>
      </w:r>
    </w:p>
    <w:p w14:paraId="747B8DE3" w14:textId="77777777" w:rsidR="00A96F7C" w:rsidRPr="00D3059B" w:rsidRDefault="00A96F7C">
      <w:pPr>
        <w:rPr>
          <w:rStyle w:val="Style3"/>
          <w:rFonts w:cs="Arial"/>
        </w:rPr>
      </w:pPr>
    </w:p>
    <w:p w14:paraId="6D97294F" w14:textId="3D138A97" w:rsidR="00D8689D" w:rsidRDefault="00A96F7C" w:rsidP="005B6CC1">
      <w:pPr>
        <w:rPr>
          <w:rStyle w:val="Style3"/>
          <w:rFonts w:cs="Arial"/>
        </w:rPr>
      </w:pPr>
      <w:r>
        <w:rPr>
          <w:rStyle w:val="Style3"/>
          <w:rFonts w:cs="Arial"/>
        </w:rPr>
        <w:t xml:space="preserve">This measure provides Services Australia with $23.5 million over </w:t>
      </w:r>
      <w:r w:rsidR="002251D0">
        <w:rPr>
          <w:rStyle w:val="Style3"/>
          <w:rFonts w:cs="Arial"/>
        </w:rPr>
        <w:t xml:space="preserve">2 financial years </w:t>
      </w:r>
      <w:r>
        <w:rPr>
          <w:rStyle w:val="Style3"/>
          <w:rFonts w:cs="Arial"/>
        </w:rPr>
        <w:t xml:space="preserve">to extend </w:t>
      </w:r>
      <w:r w:rsidR="00D85C60">
        <w:rPr>
          <w:rStyle w:val="Style3"/>
          <w:rFonts w:cs="Arial"/>
        </w:rPr>
        <w:t xml:space="preserve">the agency’s involvement in </w:t>
      </w:r>
      <w:r>
        <w:rPr>
          <w:rStyle w:val="Style3"/>
          <w:rFonts w:cs="Arial"/>
        </w:rPr>
        <w:t>the Fraud Fusion Taskforce until 30 June 2026.</w:t>
      </w:r>
    </w:p>
    <w:p w14:paraId="5AB1AF7F" w14:textId="77777777" w:rsidR="00D8689D" w:rsidRDefault="00D8689D" w:rsidP="005B6CC1">
      <w:pPr>
        <w:rPr>
          <w:rStyle w:val="Style3"/>
          <w:rFonts w:cs="Arial"/>
        </w:rPr>
      </w:pPr>
    </w:p>
    <w:p w14:paraId="7949B3EC" w14:textId="5B189FA7" w:rsidR="00A96F7C" w:rsidRDefault="00A96F7C" w:rsidP="005B6CC1">
      <w:pPr>
        <w:rPr>
          <w:rStyle w:val="Style3"/>
          <w:rFonts w:cs="Arial"/>
        </w:rPr>
      </w:pPr>
      <w:r>
        <w:rPr>
          <w:rStyle w:val="Style3"/>
          <w:rFonts w:cs="Arial"/>
        </w:rPr>
        <w:t>This funding will be used to</w:t>
      </w:r>
      <w:r w:rsidR="001C79DF">
        <w:rPr>
          <w:rStyle w:val="Style3"/>
          <w:rFonts w:cs="Arial"/>
        </w:rPr>
        <w:t xml:space="preserve"> </w:t>
      </w:r>
      <w:r w:rsidR="009862EE">
        <w:rPr>
          <w:rStyle w:val="Style3"/>
          <w:rFonts w:cs="Arial"/>
        </w:rPr>
        <w:t xml:space="preserve">continue the work of Fraud Fusion Taskforce </w:t>
      </w:r>
      <w:r w:rsidR="00612A19">
        <w:rPr>
          <w:rStyle w:val="Style3"/>
          <w:rFonts w:cs="Arial"/>
        </w:rPr>
        <w:t>staff to</w:t>
      </w:r>
      <w:r>
        <w:rPr>
          <w:rStyle w:val="Style3"/>
          <w:rFonts w:cs="Arial"/>
        </w:rPr>
        <w:t>:</w:t>
      </w:r>
    </w:p>
    <w:p w14:paraId="4DC57F41" w14:textId="3B08B243" w:rsidR="00A96F7C" w:rsidRDefault="009862EE" w:rsidP="00D3059B">
      <w:pPr>
        <w:pStyle w:val="ListParagraph"/>
        <w:numPr>
          <w:ilvl w:val="0"/>
          <w:numId w:val="16"/>
        </w:numPr>
        <w:rPr>
          <w:rStyle w:val="Style3"/>
          <w:rFonts w:cs="Arial"/>
        </w:rPr>
      </w:pPr>
      <w:r w:rsidRPr="00D85C60">
        <w:rPr>
          <w:rStyle w:val="Style3"/>
          <w:rFonts w:cs="Arial"/>
        </w:rPr>
        <w:t xml:space="preserve">gather </w:t>
      </w:r>
      <w:proofErr w:type="gramStart"/>
      <w:r w:rsidRPr="00D85C60">
        <w:rPr>
          <w:rStyle w:val="Style3"/>
          <w:rFonts w:cs="Arial"/>
        </w:rPr>
        <w:t>intelligence</w:t>
      </w:r>
      <w:proofErr w:type="gramEnd"/>
    </w:p>
    <w:p w14:paraId="5C57E45D" w14:textId="57AB91ED" w:rsidR="00A96F7C" w:rsidRDefault="00612A19" w:rsidP="00D3059B">
      <w:pPr>
        <w:pStyle w:val="ListParagraph"/>
        <w:numPr>
          <w:ilvl w:val="0"/>
          <w:numId w:val="16"/>
        </w:numPr>
        <w:rPr>
          <w:rStyle w:val="Style3"/>
          <w:rFonts w:cs="Arial"/>
        </w:rPr>
      </w:pPr>
      <w:r w:rsidRPr="00D85C60">
        <w:rPr>
          <w:rStyle w:val="Style3"/>
          <w:rFonts w:cs="Arial"/>
        </w:rPr>
        <w:t xml:space="preserve">conduct fraud </w:t>
      </w:r>
      <w:proofErr w:type="gramStart"/>
      <w:r w:rsidRPr="00D85C60">
        <w:rPr>
          <w:rStyle w:val="Style3"/>
          <w:rFonts w:cs="Arial"/>
        </w:rPr>
        <w:t>investigations</w:t>
      </w:r>
      <w:proofErr w:type="gramEnd"/>
    </w:p>
    <w:p w14:paraId="68C32665" w14:textId="106C9CB7" w:rsidR="00612A19" w:rsidRPr="001C79DF" w:rsidRDefault="00302905" w:rsidP="00D3059B">
      <w:pPr>
        <w:pStyle w:val="ListParagraph"/>
        <w:numPr>
          <w:ilvl w:val="0"/>
          <w:numId w:val="16"/>
        </w:numPr>
        <w:rPr>
          <w:rStyle w:val="Style3"/>
          <w:rFonts w:cs="Arial"/>
        </w:rPr>
      </w:pPr>
      <w:r w:rsidRPr="00D85C60">
        <w:rPr>
          <w:rStyle w:val="Style3"/>
          <w:rFonts w:cs="Arial"/>
        </w:rPr>
        <w:t>provi</w:t>
      </w:r>
      <w:r w:rsidR="00A96F7C">
        <w:rPr>
          <w:rStyle w:val="Style3"/>
          <w:rFonts w:cs="Arial"/>
        </w:rPr>
        <w:t>de</w:t>
      </w:r>
      <w:r w:rsidRPr="00D85C60">
        <w:rPr>
          <w:rStyle w:val="Style3"/>
          <w:rFonts w:cs="Arial"/>
        </w:rPr>
        <w:t xml:space="preserve"> forensic services capability to member agencies</w:t>
      </w:r>
      <w:r w:rsidR="00612A19" w:rsidRPr="00D85C60">
        <w:rPr>
          <w:rStyle w:val="Style3"/>
          <w:rFonts w:cs="Arial"/>
        </w:rPr>
        <w:t>.</w:t>
      </w:r>
    </w:p>
    <w:p w14:paraId="4FF99004" w14:textId="77777777" w:rsidR="00612A19" w:rsidRDefault="00612A19" w:rsidP="005B6CC1">
      <w:pPr>
        <w:rPr>
          <w:rStyle w:val="Style3"/>
          <w:rFonts w:cs="Arial"/>
        </w:rPr>
      </w:pPr>
    </w:p>
    <w:p w14:paraId="4331D274" w14:textId="77777777" w:rsidR="00081136" w:rsidRDefault="00081136" w:rsidP="00081136">
      <w:pPr>
        <w:rPr>
          <w:rStyle w:val="Style3"/>
          <w:rFonts w:cs="Arial"/>
        </w:rPr>
      </w:pPr>
      <w:r w:rsidRPr="00B8344B">
        <w:rPr>
          <w:rStyle w:val="Style3"/>
          <w:rFonts w:cs="Arial"/>
        </w:rPr>
        <w:t>This includes funding for Australian Federal Police officers embedded within the Fraud Fusion Taskforce to support investigations.</w:t>
      </w:r>
    </w:p>
    <w:p w14:paraId="6FE51A60" w14:textId="77777777" w:rsidR="00081136" w:rsidRDefault="00081136" w:rsidP="005B6CC1">
      <w:pPr>
        <w:rPr>
          <w:rStyle w:val="Style3"/>
          <w:rFonts w:cs="Arial"/>
        </w:rPr>
      </w:pPr>
    </w:p>
    <w:p w14:paraId="5D564ADE" w14:textId="6DC88021" w:rsidR="00E33470" w:rsidRPr="000B6BAF" w:rsidRDefault="00612A19" w:rsidP="005B6CC1">
      <w:pPr>
        <w:rPr>
          <w:rFonts w:ascii="Arial" w:hAnsi="Arial" w:cs="Arial"/>
        </w:rPr>
      </w:pPr>
      <w:r>
        <w:rPr>
          <w:rStyle w:val="Style3"/>
          <w:rFonts w:cs="Arial"/>
        </w:rPr>
        <w:t xml:space="preserve">This measure is </w:t>
      </w:r>
      <w:r w:rsidR="009862EE">
        <w:rPr>
          <w:rStyle w:val="Style3"/>
          <w:rFonts w:cs="Arial"/>
        </w:rPr>
        <w:t>co-</w:t>
      </w:r>
      <w:r>
        <w:rPr>
          <w:rStyle w:val="Style3"/>
          <w:rFonts w:cs="Arial"/>
        </w:rPr>
        <w:t xml:space="preserve">led by the </w:t>
      </w:r>
      <w:r w:rsidR="004921CF">
        <w:rPr>
          <w:rStyle w:val="Style3"/>
          <w:rFonts w:cs="Arial"/>
        </w:rPr>
        <w:t>NDIA</w:t>
      </w:r>
      <w:r w:rsidR="009862EE">
        <w:rPr>
          <w:rStyle w:val="Style3"/>
          <w:rFonts w:cs="Arial"/>
        </w:rPr>
        <w:t xml:space="preserve"> and Services Australia</w:t>
      </w:r>
      <w:r>
        <w:rPr>
          <w:rStyle w:val="Style3"/>
          <w:rFonts w:cs="Arial"/>
        </w:rPr>
        <w:t>.</w:t>
      </w:r>
    </w:p>
    <w:p w14:paraId="5283105F" w14:textId="77777777" w:rsidR="00D52C59" w:rsidRDefault="00D52C59" w:rsidP="009434C2">
      <w:pPr>
        <w:pStyle w:val="DHSBodytext"/>
      </w:pPr>
    </w:p>
    <w:p w14:paraId="31AC041C" w14:textId="778DCFE1" w:rsidR="00AE1D71" w:rsidRPr="00427F20" w:rsidRDefault="00D8689D" w:rsidP="00E4177E">
      <w:pPr>
        <w:pStyle w:val="DHSBodytext"/>
      </w:pPr>
      <w:r w:rsidRPr="0058474B">
        <w:rPr>
          <w:rStyle w:val="Style2"/>
        </w:rPr>
        <w:t>This measure isn</w:t>
      </w:r>
      <w:r>
        <w:rPr>
          <w:rStyle w:val="Style2"/>
        </w:rPr>
        <w:t>’</w:t>
      </w:r>
      <w:r w:rsidRPr="0058474B">
        <w:rPr>
          <w:rStyle w:val="Style2"/>
        </w:rPr>
        <w:t>t subject to legislation passing.</w:t>
      </w:r>
    </w:p>
    <w:p w14:paraId="7DE6BB4C" w14:textId="77777777" w:rsidR="00E4177E" w:rsidRPr="00D52C59" w:rsidRDefault="00E4177E" w:rsidP="00E4177E">
      <w:pPr>
        <w:pStyle w:val="DHSHeadinglevel3"/>
      </w:pPr>
      <w:r w:rsidRPr="00D52C59">
        <w:t xml:space="preserve">Who this measure </w:t>
      </w:r>
      <w:proofErr w:type="gramStart"/>
      <w:r w:rsidRPr="00D52C59">
        <w:t>affect</w:t>
      </w:r>
      <w:r>
        <w:t>s</w:t>
      </w:r>
      <w:proofErr w:type="gramEnd"/>
    </w:p>
    <w:bookmarkEnd w:id="0"/>
    <w:p w14:paraId="35CC59FA" w14:textId="736894C1" w:rsidR="00EE1ACE" w:rsidRPr="008E4E63" w:rsidRDefault="00571BB0" w:rsidP="008F235D">
      <w:pPr>
        <w:pStyle w:val="DHSBodytext"/>
      </w:pPr>
      <w:r>
        <w:t xml:space="preserve">This affects </w:t>
      </w:r>
      <w:r w:rsidR="00612A19">
        <w:rPr>
          <w:rStyle w:val="Style2"/>
        </w:rPr>
        <w:t xml:space="preserve">people </w:t>
      </w:r>
      <w:r w:rsidR="00D85C60">
        <w:rPr>
          <w:rStyle w:val="Style2"/>
        </w:rPr>
        <w:t xml:space="preserve">and providers </w:t>
      </w:r>
      <w:r w:rsidR="00612A19">
        <w:rPr>
          <w:rStyle w:val="Style2"/>
        </w:rPr>
        <w:t>who may be subject to fraud investigations</w:t>
      </w:r>
      <w:r w:rsidR="009862EE">
        <w:rPr>
          <w:rStyle w:val="Style2"/>
        </w:rPr>
        <w:t xml:space="preserve"> and people who are victims of identity crime</w:t>
      </w:r>
      <w:r w:rsidR="00612A19">
        <w:rPr>
          <w:rStyle w:val="Style2"/>
        </w:rPr>
        <w:t>.</w:t>
      </w:r>
    </w:p>
    <w:p w14:paraId="7BA49CE4" w14:textId="0D7EFF07" w:rsidR="00510D3F" w:rsidRPr="00D52C59" w:rsidRDefault="00510D3F" w:rsidP="00D52C59">
      <w:pPr>
        <w:pStyle w:val="DHSHeadinglevel3"/>
      </w:pPr>
      <w:r w:rsidRPr="00D52C59">
        <w:t>When this start</w:t>
      </w:r>
      <w:r w:rsidR="004A3217">
        <w:t>s</w:t>
      </w:r>
      <w:r w:rsidRPr="00D52C59">
        <w:t xml:space="preserve"> and finish</w:t>
      </w:r>
      <w:r w:rsidR="004A3217">
        <w:t>es</w:t>
      </w:r>
    </w:p>
    <w:p w14:paraId="7523C532" w14:textId="6B55B31B" w:rsidR="00620E30" w:rsidRPr="000A0B73" w:rsidRDefault="00612A19" w:rsidP="001573A2">
      <w:pPr>
        <w:rPr>
          <w:rFonts w:ascii="Arial" w:hAnsi="Arial" w:cs="Arial"/>
        </w:rPr>
      </w:pPr>
      <w:r>
        <w:rPr>
          <w:rStyle w:val="Style3"/>
          <w:rFonts w:cs="Arial"/>
        </w:rPr>
        <w:t>This measure starts on 1 July 2024 and will end on 30 June 2026.</w:t>
      </w:r>
    </w:p>
    <w:p w14:paraId="58592117" w14:textId="77777777" w:rsidR="00847590" w:rsidRPr="00F85C8F" w:rsidRDefault="00847590" w:rsidP="0036436D">
      <w:pPr>
        <w:pStyle w:val="DHSBodytext"/>
      </w:pPr>
    </w:p>
    <w:sectPr w:rsidR="00847590" w:rsidRPr="00F85C8F" w:rsidSect="00086EA1">
      <w:footerReference w:type="default" r:id="rId8"/>
      <w:headerReference w:type="first" r:id="rId9"/>
      <w:footerReference w:type="first" r:id="rId10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7C993" w14:textId="77777777" w:rsidR="00B26D06" w:rsidRDefault="00B26D06">
      <w:r>
        <w:separator/>
      </w:r>
    </w:p>
  </w:endnote>
  <w:endnote w:type="continuationSeparator" w:id="0">
    <w:p w14:paraId="00993E60" w14:textId="77777777" w:rsidR="00B26D06" w:rsidRDefault="00B2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F94C" w14:textId="77777777" w:rsidR="007B4F51" w:rsidRPr="00FA7748" w:rsidRDefault="007B4F51" w:rsidP="00082A25">
    <w:pPr>
      <w:pStyle w:val="Footer"/>
      <w:tabs>
        <w:tab w:val="clear" w:pos="8306"/>
        <w:tab w:val="right" w:pos="9639"/>
      </w:tabs>
      <w:rPr>
        <w:rFonts w:ascii="Arial" w:hAnsi="Arial" w:cs="Arial"/>
        <w:color w:val="A6A6A6"/>
        <w:sz w:val="18"/>
        <w:szCs w:val="18"/>
      </w:rPr>
    </w:pPr>
    <w:r w:rsidRPr="00F237B2">
      <w:rPr>
        <w:rFonts w:ascii="Arial" w:hAnsi="Arial" w:cs="Arial"/>
        <w:color w:val="777777"/>
        <w:sz w:val="18"/>
        <w:szCs w:val="18"/>
      </w:rPr>
      <w:t xml:space="preserve">PAGE </w:t>
    </w:r>
    <w:r w:rsidRPr="00F237B2">
      <w:rPr>
        <w:rFonts w:ascii="Arial" w:hAnsi="Arial" w:cs="Arial"/>
        <w:color w:val="777777"/>
        <w:sz w:val="18"/>
        <w:szCs w:val="18"/>
      </w:rPr>
      <w:fldChar w:fldCharType="begin"/>
    </w:r>
    <w:r w:rsidRPr="00F237B2">
      <w:rPr>
        <w:rFonts w:ascii="Arial" w:hAnsi="Arial" w:cs="Arial"/>
        <w:color w:val="777777"/>
        <w:sz w:val="18"/>
        <w:szCs w:val="18"/>
      </w:rPr>
      <w:instrText xml:space="preserve"> PAGE </w:instrText>
    </w:r>
    <w:r w:rsidRPr="00F237B2">
      <w:rPr>
        <w:rFonts w:ascii="Arial" w:hAnsi="Arial" w:cs="Arial"/>
        <w:color w:val="777777"/>
        <w:sz w:val="18"/>
        <w:szCs w:val="18"/>
      </w:rPr>
      <w:fldChar w:fldCharType="separate"/>
    </w:r>
    <w:r w:rsidR="00D3059B">
      <w:rPr>
        <w:rFonts w:ascii="Arial" w:hAnsi="Arial" w:cs="Arial"/>
        <w:noProof/>
        <w:color w:val="777777"/>
        <w:sz w:val="18"/>
        <w:szCs w:val="18"/>
      </w:rPr>
      <w:t>2</w:t>
    </w:r>
    <w:r w:rsidRPr="00F237B2">
      <w:rPr>
        <w:rFonts w:ascii="Arial" w:hAnsi="Arial" w:cs="Arial"/>
        <w:color w:val="777777"/>
        <w:sz w:val="18"/>
        <w:szCs w:val="18"/>
      </w:rPr>
      <w:fldChar w:fldCharType="end"/>
    </w:r>
    <w:r w:rsidRPr="00F237B2">
      <w:rPr>
        <w:rFonts w:ascii="Arial" w:hAnsi="Arial" w:cs="Arial"/>
        <w:color w:val="777777"/>
        <w:sz w:val="18"/>
        <w:szCs w:val="18"/>
      </w:rPr>
      <w:t xml:space="preserve"> OF </w:t>
    </w:r>
    <w:r w:rsidRPr="00F237B2">
      <w:rPr>
        <w:rFonts w:ascii="Arial" w:hAnsi="Arial" w:cs="Arial"/>
        <w:color w:val="777777"/>
        <w:sz w:val="18"/>
        <w:szCs w:val="18"/>
      </w:rPr>
      <w:fldChar w:fldCharType="begin"/>
    </w:r>
    <w:r w:rsidRPr="00F237B2">
      <w:rPr>
        <w:rFonts w:ascii="Arial" w:hAnsi="Arial" w:cs="Arial"/>
        <w:color w:val="777777"/>
        <w:sz w:val="18"/>
        <w:szCs w:val="18"/>
      </w:rPr>
      <w:instrText xml:space="preserve"> NUMPAGES </w:instrText>
    </w:r>
    <w:r w:rsidRPr="00F237B2">
      <w:rPr>
        <w:rFonts w:ascii="Arial" w:hAnsi="Arial" w:cs="Arial"/>
        <w:color w:val="777777"/>
        <w:sz w:val="18"/>
        <w:szCs w:val="18"/>
      </w:rPr>
      <w:fldChar w:fldCharType="separate"/>
    </w:r>
    <w:r w:rsidR="00D3059B">
      <w:rPr>
        <w:rFonts w:ascii="Arial" w:hAnsi="Arial" w:cs="Arial"/>
        <w:noProof/>
        <w:color w:val="777777"/>
        <w:sz w:val="18"/>
        <w:szCs w:val="18"/>
      </w:rPr>
      <w:t>2</w:t>
    </w:r>
    <w:r w:rsidRPr="00F237B2">
      <w:rPr>
        <w:rFonts w:ascii="Arial" w:hAnsi="Arial" w:cs="Arial"/>
        <w:color w:val="777777"/>
        <w:sz w:val="18"/>
        <w:szCs w:val="18"/>
      </w:rPr>
      <w:fldChar w:fldCharType="end"/>
    </w:r>
    <w:r>
      <w:rPr>
        <w:rFonts w:ascii="Arial" w:hAnsi="Arial" w:cs="Arial"/>
        <w:color w:val="999999"/>
        <w:sz w:val="18"/>
        <w:szCs w:val="18"/>
      </w:rPr>
      <w:tab/>
    </w:r>
    <w:r>
      <w:rPr>
        <w:rFonts w:ascii="Arial" w:hAnsi="Arial" w:cs="Arial"/>
        <w:color w:val="999999"/>
        <w:sz w:val="18"/>
        <w:szCs w:val="18"/>
      </w:rPr>
      <w:tab/>
    </w:r>
    <w:r w:rsidRPr="00F237B2">
      <w:rPr>
        <w:rFonts w:ascii="Arial" w:hAnsi="Arial" w:cs="Arial"/>
        <w:color w:val="777777"/>
        <w:sz w:val="18"/>
        <w:szCs w:val="18"/>
      </w:rPr>
      <w:t>Services</w:t>
    </w:r>
    <w:r w:rsidR="009635D0" w:rsidRPr="00F237B2">
      <w:rPr>
        <w:rFonts w:ascii="Arial" w:hAnsi="Arial" w:cs="Arial"/>
        <w:color w:val="777777"/>
        <w:sz w:val="18"/>
        <w:szCs w:val="18"/>
      </w:rPr>
      <w:t xml:space="preserve">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BFD40" w14:textId="5252F9C2" w:rsidR="00FF2C3C" w:rsidRDefault="00FF2C3C" w:rsidP="00FF2C3C">
    <w:pPr>
      <w:pStyle w:val="Footer"/>
    </w:pPr>
    <w:r w:rsidRPr="00F237B2">
      <w:rPr>
        <w:rFonts w:ascii="Arial" w:hAnsi="Arial" w:cs="Arial"/>
        <w:color w:val="777777"/>
        <w:sz w:val="18"/>
        <w:szCs w:val="18"/>
      </w:rPr>
      <w:t xml:space="preserve">PAGE </w:t>
    </w:r>
    <w:r w:rsidRPr="00F237B2">
      <w:rPr>
        <w:rFonts w:ascii="Arial" w:hAnsi="Arial" w:cs="Arial"/>
        <w:color w:val="777777"/>
        <w:sz w:val="18"/>
        <w:szCs w:val="18"/>
      </w:rPr>
      <w:fldChar w:fldCharType="begin"/>
    </w:r>
    <w:r w:rsidRPr="00F237B2">
      <w:rPr>
        <w:rFonts w:ascii="Arial" w:hAnsi="Arial" w:cs="Arial"/>
        <w:color w:val="777777"/>
        <w:sz w:val="18"/>
        <w:szCs w:val="18"/>
      </w:rPr>
      <w:instrText xml:space="preserve"> PAGE </w:instrText>
    </w:r>
    <w:r w:rsidRPr="00F237B2">
      <w:rPr>
        <w:rFonts w:ascii="Arial" w:hAnsi="Arial" w:cs="Arial"/>
        <w:color w:val="777777"/>
        <w:sz w:val="18"/>
        <w:szCs w:val="18"/>
      </w:rPr>
      <w:fldChar w:fldCharType="separate"/>
    </w:r>
    <w:r w:rsidR="00D3059B">
      <w:rPr>
        <w:rFonts w:ascii="Arial" w:hAnsi="Arial" w:cs="Arial"/>
        <w:noProof/>
        <w:color w:val="777777"/>
        <w:sz w:val="18"/>
        <w:szCs w:val="18"/>
      </w:rPr>
      <w:t>1</w:t>
    </w:r>
    <w:r w:rsidRPr="00F237B2">
      <w:rPr>
        <w:rFonts w:ascii="Arial" w:hAnsi="Arial" w:cs="Arial"/>
        <w:color w:val="777777"/>
        <w:sz w:val="18"/>
        <w:szCs w:val="18"/>
      </w:rPr>
      <w:fldChar w:fldCharType="end"/>
    </w:r>
    <w:r w:rsidRPr="00F237B2">
      <w:rPr>
        <w:rFonts w:ascii="Arial" w:hAnsi="Arial" w:cs="Arial"/>
        <w:color w:val="777777"/>
        <w:sz w:val="18"/>
        <w:szCs w:val="18"/>
      </w:rPr>
      <w:t xml:space="preserve"> OF </w:t>
    </w:r>
    <w:r w:rsidRPr="00F237B2">
      <w:rPr>
        <w:rFonts w:ascii="Arial" w:hAnsi="Arial" w:cs="Arial"/>
        <w:color w:val="777777"/>
        <w:sz w:val="18"/>
        <w:szCs w:val="18"/>
      </w:rPr>
      <w:fldChar w:fldCharType="begin"/>
    </w:r>
    <w:r w:rsidRPr="00F237B2">
      <w:rPr>
        <w:rFonts w:ascii="Arial" w:hAnsi="Arial" w:cs="Arial"/>
        <w:color w:val="777777"/>
        <w:sz w:val="18"/>
        <w:szCs w:val="18"/>
      </w:rPr>
      <w:instrText xml:space="preserve"> NUMPAGES </w:instrText>
    </w:r>
    <w:r w:rsidRPr="00F237B2">
      <w:rPr>
        <w:rFonts w:ascii="Arial" w:hAnsi="Arial" w:cs="Arial"/>
        <w:color w:val="777777"/>
        <w:sz w:val="18"/>
        <w:szCs w:val="18"/>
      </w:rPr>
      <w:fldChar w:fldCharType="separate"/>
    </w:r>
    <w:r w:rsidR="00D3059B">
      <w:rPr>
        <w:rFonts w:ascii="Arial" w:hAnsi="Arial" w:cs="Arial"/>
        <w:noProof/>
        <w:color w:val="777777"/>
        <w:sz w:val="18"/>
        <w:szCs w:val="18"/>
      </w:rPr>
      <w:t>2</w:t>
    </w:r>
    <w:r w:rsidRPr="00F237B2">
      <w:rPr>
        <w:rFonts w:ascii="Arial" w:hAnsi="Arial" w:cs="Arial"/>
        <w:color w:val="777777"/>
        <w:sz w:val="18"/>
        <w:szCs w:val="18"/>
      </w:rPr>
      <w:fldChar w:fldCharType="end"/>
    </w:r>
    <w:r>
      <w:rPr>
        <w:rFonts w:ascii="Arial" w:hAnsi="Arial" w:cs="Arial"/>
        <w:color w:val="999999"/>
        <w:sz w:val="18"/>
        <w:szCs w:val="18"/>
      </w:rPr>
      <w:tab/>
    </w:r>
    <w:r>
      <w:rPr>
        <w:rFonts w:ascii="Arial" w:hAnsi="Arial" w:cs="Arial"/>
        <w:color w:val="999999"/>
        <w:sz w:val="18"/>
        <w:szCs w:val="18"/>
      </w:rPr>
      <w:tab/>
    </w:r>
    <w:r w:rsidRPr="00F237B2">
      <w:rPr>
        <w:rFonts w:ascii="Arial" w:hAnsi="Arial" w:cs="Arial"/>
        <w:color w:val="777777"/>
        <w:sz w:val="18"/>
        <w:szCs w:val="18"/>
      </w:rPr>
      <w:t>Services Australia</w:t>
    </w:r>
  </w:p>
  <w:p w14:paraId="3D1F4017" w14:textId="77777777" w:rsidR="007B4F51" w:rsidRDefault="007B4F51" w:rsidP="00FF2C3C">
    <w:pPr>
      <w:pStyle w:val="Footer"/>
      <w:tabs>
        <w:tab w:val="clear" w:pos="8306"/>
      </w:tabs>
      <w:ind w:right="-56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A14F9" w14:textId="77777777" w:rsidR="00B26D06" w:rsidRDefault="00B26D06">
      <w:r>
        <w:separator/>
      </w:r>
    </w:p>
  </w:footnote>
  <w:footnote w:type="continuationSeparator" w:id="0">
    <w:p w14:paraId="07A72726" w14:textId="77777777" w:rsidR="00B26D06" w:rsidRDefault="00B26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84B2" w14:textId="77777777" w:rsidR="007B4F51" w:rsidRPr="001573A2" w:rsidRDefault="001573A2" w:rsidP="001573A2">
    <w:pPr>
      <w:pStyle w:val="Header"/>
    </w:pPr>
    <w:r>
      <w:rPr>
        <w:noProof/>
      </w:rPr>
      <w:drawing>
        <wp:inline distT="0" distB="0" distL="0" distR="0" wp14:anchorId="62B03FD6" wp14:editId="336B5D46">
          <wp:extent cx="2236484" cy="610716"/>
          <wp:effectExtent l="0" t="0" r="0" b="0"/>
          <wp:docPr id="21" name="Picture 0" descr="Australian Government Services Austr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his image represents the Australian Government Department of Human Services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410A7"/>
    <w:multiLevelType w:val="hybridMultilevel"/>
    <w:tmpl w:val="161A24D8"/>
    <w:lvl w:ilvl="0" w:tplc="C3E234CA">
      <w:start w:val="1"/>
      <w:numFmt w:val="bullet"/>
      <w:pStyle w:val="DHSBulletsleve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F0F20"/>
    <w:multiLevelType w:val="hybridMultilevel"/>
    <w:tmpl w:val="7FBCD7D6"/>
    <w:lvl w:ilvl="0" w:tplc="28C464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412A1"/>
    <w:multiLevelType w:val="hybridMultilevel"/>
    <w:tmpl w:val="37040258"/>
    <w:lvl w:ilvl="0" w:tplc="415CCEE0">
      <w:start w:val="1"/>
      <w:numFmt w:val="bullet"/>
      <w:pStyle w:val="DHS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1507C"/>
    <w:multiLevelType w:val="multilevel"/>
    <w:tmpl w:val="F65E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C137A"/>
    <w:multiLevelType w:val="hybridMultilevel"/>
    <w:tmpl w:val="C08A2098"/>
    <w:lvl w:ilvl="0" w:tplc="7E3C311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01EFE"/>
    <w:multiLevelType w:val="hybridMultilevel"/>
    <w:tmpl w:val="6E8EC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A5207"/>
    <w:multiLevelType w:val="hybridMultilevel"/>
    <w:tmpl w:val="E102AFF0"/>
    <w:lvl w:ilvl="0" w:tplc="0C462F74">
      <w:start w:val="1"/>
      <w:numFmt w:val="decimal"/>
      <w:pStyle w:val="DHS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6AB31082"/>
    <w:multiLevelType w:val="hybridMultilevel"/>
    <w:tmpl w:val="72FA6812"/>
    <w:lvl w:ilvl="0" w:tplc="E0AA65B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343E8"/>
    <w:multiLevelType w:val="hybridMultilevel"/>
    <w:tmpl w:val="C658C410"/>
    <w:lvl w:ilvl="0" w:tplc="6408EF10">
      <w:start w:val="1"/>
      <w:numFmt w:val="lowerLetter"/>
      <w:pStyle w:val="DHS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0290632">
    <w:abstractNumId w:val="15"/>
  </w:num>
  <w:num w:numId="2" w16cid:durableId="896555219">
    <w:abstractNumId w:val="1"/>
  </w:num>
  <w:num w:numId="3" w16cid:durableId="2038653701">
    <w:abstractNumId w:val="13"/>
  </w:num>
  <w:num w:numId="4" w16cid:durableId="1934510436">
    <w:abstractNumId w:val="2"/>
  </w:num>
  <w:num w:numId="5" w16cid:durableId="1944989745">
    <w:abstractNumId w:val="12"/>
  </w:num>
  <w:num w:numId="6" w16cid:durableId="1576821038">
    <w:abstractNumId w:val="5"/>
  </w:num>
  <w:num w:numId="7" w16cid:durableId="584269481">
    <w:abstractNumId w:val="11"/>
  </w:num>
  <w:num w:numId="8" w16cid:durableId="2022509673">
    <w:abstractNumId w:val="14"/>
  </w:num>
  <w:num w:numId="9" w16cid:durableId="1222399553">
    <w:abstractNumId w:val="8"/>
  </w:num>
  <w:num w:numId="10" w16cid:durableId="888223654">
    <w:abstractNumId w:val="9"/>
  </w:num>
  <w:num w:numId="11" w16cid:durableId="91291986">
    <w:abstractNumId w:val="0"/>
  </w:num>
  <w:num w:numId="12" w16cid:durableId="99106979">
    <w:abstractNumId w:val="10"/>
  </w:num>
  <w:num w:numId="13" w16cid:durableId="556208991">
    <w:abstractNumId w:val="3"/>
  </w:num>
  <w:num w:numId="14" w16cid:durableId="1434089317">
    <w:abstractNumId w:val="7"/>
  </w:num>
  <w:num w:numId="15" w16cid:durableId="1768232374">
    <w:abstractNumId w:val="6"/>
  </w:num>
  <w:num w:numId="16" w16cid:durableId="269319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cumentProtection w:edit="forms" w:formatting="1" w:enforcement="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D3F"/>
    <w:rsid w:val="000004D0"/>
    <w:rsid w:val="00026916"/>
    <w:rsid w:val="00041A39"/>
    <w:rsid w:val="00046591"/>
    <w:rsid w:val="00050809"/>
    <w:rsid w:val="00062997"/>
    <w:rsid w:val="00081069"/>
    <w:rsid w:val="00081136"/>
    <w:rsid w:val="00082A25"/>
    <w:rsid w:val="00086EA1"/>
    <w:rsid w:val="000A0B73"/>
    <w:rsid w:val="000A76A7"/>
    <w:rsid w:val="000B35DE"/>
    <w:rsid w:val="000B6BAF"/>
    <w:rsid w:val="000C6C57"/>
    <w:rsid w:val="000D0E18"/>
    <w:rsid w:val="000D6870"/>
    <w:rsid w:val="000F770A"/>
    <w:rsid w:val="00112F82"/>
    <w:rsid w:val="001172E7"/>
    <w:rsid w:val="001240E8"/>
    <w:rsid w:val="0013636B"/>
    <w:rsid w:val="001453AD"/>
    <w:rsid w:val="001573A2"/>
    <w:rsid w:val="00183D7B"/>
    <w:rsid w:val="00190BC7"/>
    <w:rsid w:val="00193F2E"/>
    <w:rsid w:val="001A1B66"/>
    <w:rsid w:val="001A214B"/>
    <w:rsid w:val="001A3074"/>
    <w:rsid w:val="001A4EB0"/>
    <w:rsid w:val="001B379E"/>
    <w:rsid w:val="001C4A68"/>
    <w:rsid w:val="001C79DF"/>
    <w:rsid w:val="001D1F61"/>
    <w:rsid w:val="001D4174"/>
    <w:rsid w:val="001E6CFA"/>
    <w:rsid w:val="001F7324"/>
    <w:rsid w:val="00205B26"/>
    <w:rsid w:val="002251D0"/>
    <w:rsid w:val="00244CA1"/>
    <w:rsid w:val="002502BE"/>
    <w:rsid w:val="002560EB"/>
    <w:rsid w:val="00266B25"/>
    <w:rsid w:val="00274FFD"/>
    <w:rsid w:val="00281861"/>
    <w:rsid w:val="00284ADE"/>
    <w:rsid w:val="00290FA5"/>
    <w:rsid w:val="002A21C5"/>
    <w:rsid w:val="002C19E4"/>
    <w:rsid w:val="002C78D8"/>
    <w:rsid w:val="002E6283"/>
    <w:rsid w:val="00300015"/>
    <w:rsid w:val="00302905"/>
    <w:rsid w:val="003100BB"/>
    <w:rsid w:val="00316C5E"/>
    <w:rsid w:val="00360888"/>
    <w:rsid w:val="00361F19"/>
    <w:rsid w:val="0036350A"/>
    <w:rsid w:val="00364300"/>
    <w:rsid w:val="0036436D"/>
    <w:rsid w:val="0038253F"/>
    <w:rsid w:val="00390DD4"/>
    <w:rsid w:val="003A012C"/>
    <w:rsid w:val="003A53A0"/>
    <w:rsid w:val="003B453F"/>
    <w:rsid w:val="003B7DCB"/>
    <w:rsid w:val="003C673A"/>
    <w:rsid w:val="003D3F47"/>
    <w:rsid w:val="003F3F96"/>
    <w:rsid w:val="003F72E8"/>
    <w:rsid w:val="00405768"/>
    <w:rsid w:val="00414BF8"/>
    <w:rsid w:val="004203AA"/>
    <w:rsid w:val="00426CFE"/>
    <w:rsid w:val="00427F20"/>
    <w:rsid w:val="00432428"/>
    <w:rsid w:val="004714E9"/>
    <w:rsid w:val="004833F2"/>
    <w:rsid w:val="00484CEA"/>
    <w:rsid w:val="004921CF"/>
    <w:rsid w:val="004A3217"/>
    <w:rsid w:val="004B6F21"/>
    <w:rsid w:val="004C60C9"/>
    <w:rsid w:val="004C77D7"/>
    <w:rsid w:val="004E0DA8"/>
    <w:rsid w:val="004E0ECC"/>
    <w:rsid w:val="004F095C"/>
    <w:rsid w:val="004F68C2"/>
    <w:rsid w:val="00504497"/>
    <w:rsid w:val="00504AA8"/>
    <w:rsid w:val="00507EB2"/>
    <w:rsid w:val="00510D3F"/>
    <w:rsid w:val="00516D40"/>
    <w:rsid w:val="00571396"/>
    <w:rsid w:val="00571BB0"/>
    <w:rsid w:val="00571C3F"/>
    <w:rsid w:val="00573C0E"/>
    <w:rsid w:val="0058474B"/>
    <w:rsid w:val="005A5EDA"/>
    <w:rsid w:val="005B6CC1"/>
    <w:rsid w:val="005C738D"/>
    <w:rsid w:val="005C7D3C"/>
    <w:rsid w:val="00612A19"/>
    <w:rsid w:val="00620E30"/>
    <w:rsid w:val="00622896"/>
    <w:rsid w:val="00632BBE"/>
    <w:rsid w:val="00640F2C"/>
    <w:rsid w:val="0067371F"/>
    <w:rsid w:val="0067669C"/>
    <w:rsid w:val="006825DB"/>
    <w:rsid w:val="00685C7C"/>
    <w:rsid w:val="006946B1"/>
    <w:rsid w:val="006964A3"/>
    <w:rsid w:val="006A317C"/>
    <w:rsid w:val="006A795A"/>
    <w:rsid w:val="006B0B53"/>
    <w:rsid w:val="006B396F"/>
    <w:rsid w:val="006F3C21"/>
    <w:rsid w:val="00705D8E"/>
    <w:rsid w:val="00711EA6"/>
    <w:rsid w:val="00715039"/>
    <w:rsid w:val="00722887"/>
    <w:rsid w:val="00730A3D"/>
    <w:rsid w:val="00746A31"/>
    <w:rsid w:val="00756927"/>
    <w:rsid w:val="00772C06"/>
    <w:rsid w:val="007B4F51"/>
    <w:rsid w:val="00801D1A"/>
    <w:rsid w:val="008457BC"/>
    <w:rsid w:val="00847590"/>
    <w:rsid w:val="00850873"/>
    <w:rsid w:val="00850DF2"/>
    <w:rsid w:val="00851251"/>
    <w:rsid w:val="00863A82"/>
    <w:rsid w:val="0086632C"/>
    <w:rsid w:val="00873080"/>
    <w:rsid w:val="0087534C"/>
    <w:rsid w:val="008968B7"/>
    <w:rsid w:val="008E4E63"/>
    <w:rsid w:val="008E61D0"/>
    <w:rsid w:val="008F235D"/>
    <w:rsid w:val="009009BC"/>
    <w:rsid w:val="0090591C"/>
    <w:rsid w:val="00907D7A"/>
    <w:rsid w:val="00915568"/>
    <w:rsid w:val="009174A0"/>
    <w:rsid w:val="00923854"/>
    <w:rsid w:val="00932AA3"/>
    <w:rsid w:val="009434C2"/>
    <w:rsid w:val="009635D0"/>
    <w:rsid w:val="00965631"/>
    <w:rsid w:val="0097065D"/>
    <w:rsid w:val="00971F7B"/>
    <w:rsid w:val="00983BBD"/>
    <w:rsid w:val="009862EE"/>
    <w:rsid w:val="009905A7"/>
    <w:rsid w:val="00995023"/>
    <w:rsid w:val="009A099C"/>
    <w:rsid w:val="009D371D"/>
    <w:rsid w:val="009E1E1B"/>
    <w:rsid w:val="009E3B3A"/>
    <w:rsid w:val="00A163B5"/>
    <w:rsid w:val="00A16C8F"/>
    <w:rsid w:val="00A3536B"/>
    <w:rsid w:val="00A5007C"/>
    <w:rsid w:val="00A52AE3"/>
    <w:rsid w:val="00A530A5"/>
    <w:rsid w:val="00A568A9"/>
    <w:rsid w:val="00A63082"/>
    <w:rsid w:val="00A82C12"/>
    <w:rsid w:val="00A848C2"/>
    <w:rsid w:val="00A96F7C"/>
    <w:rsid w:val="00AA48F5"/>
    <w:rsid w:val="00AA6001"/>
    <w:rsid w:val="00AA67F4"/>
    <w:rsid w:val="00AC34FD"/>
    <w:rsid w:val="00AC7892"/>
    <w:rsid w:val="00AE0688"/>
    <w:rsid w:val="00AE1D71"/>
    <w:rsid w:val="00AF4424"/>
    <w:rsid w:val="00B13CCE"/>
    <w:rsid w:val="00B26D06"/>
    <w:rsid w:val="00B27C58"/>
    <w:rsid w:val="00B32B9E"/>
    <w:rsid w:val="00B362B6"/>
    <w:rsid w:val="00B46C32"/>
    <w:rsid w:val="00B55601"/>
    <w:rsid w:val="00B8344B"/>
    <w:rsid w:val="00B86E2B"/>
    <w:rsid w:val="00B87453"/>
    <w:rsid w:val="00B9008C"/>
    <w:rsid w:val="00BA77DE"/>
    <w:rsid w:val="00BB4D6C"/>
    <w:rsid w:val="00BB7DE5"/>
    <w:rsid w:val="00BE0EB8"/>
    <w:rsid w:val="00C021DC"/>
    <w:rsid w:val="00C025D8"/>
    <w:rsid w:val="00C15DA5"/>
    <w:rsid w:val="00C207C1"/>
    <w:rsid w:val="00C27EAD"/>
    <w:rsid w:val="00C46EFA"/>
    <w:rsid w:val="00C60743"/>
    <w:rsid w:val="00C74B43"/>
    <w:rsid w:val="00C81922"/>
    <w:rsid w:val="00C87853"/>
    <w:rsid w:val="00CB4F98"/>
    <w:rsid w:val="00CC24BE"/>
    <w:rsid w:val="00CC50CC"/>
    <w:rsid w:val="00CE56A0"/>
    <w:rsid w:val="00D13062"/>
    <w:rsid w:val="00D14B82"/>
    <w:rsid w:val="00D15B45"/>
    <w:rsid w:val="00D220CD"/>
    <w:rsid w:val="00D3059B"/>
    <w:rsid w:val="00D52C59"/>
    <w:rsid w:val="00D8551F"/>
    <w:rsid w:val="00D85C60"/>
    <w:rsid w:val="00D8689D"/>
    <w:rsid w:val="00D95C6D"/>
    <w:rsid w:val="00D97F3F"/>
    <w:rsid w:val="00DA1A3B"/>
    <w:rsid w:val="00DB64A8"/>
    <w:rsid w:val="00DB6596"/>
    <w:rsid w:val="00DB7DD8"/>
    <w:rsid w:val="00DD3085"/>
    <w:rsid w:val="00DD49A2"/>
    <w:rsid w:val="00DD517B"/>
    <w:rsid w:val="00DD694E"/>
    <w:rsid w:val="00DE29B5"/>
    <w:rsid w:val="00E0723F"/>
    <w:rsid w:val="00E076AE"/>
    <w:rsid w:val="00E277F4"/>
    <w:rsid w:val="00E31B70"/>
    <w:rsid w:val="00E33470"/>
    <w:rsid w:val="00E409B0"/>
    <w:rsid w:val="00E4177E"/>
    <w:rsid w:val="00E4594F"/>
    <w:rsid w:val="00E45BAD"/>
    <w:rsid w:val="00E5725A"/>
    <w:rsid w:val="00E63EC2"/>
    <w:rsid w:val="00E768D0"/>
    <w:rsid w:val="00E76D5A"/>
    <w:rsid w:val="00EA2350"/>
    <w:rsid w:val="00EA7A22"/>
    <w:rsid w:val="00EB20C6"/>
    <w:rsid w:val="00EC3E4A"/>
    <w:rsid w:val="00EE1ACE"/>
    <w:rsid w:val="00EE3E1E"/>
    <w:rsid w:val="00EE78F0"/>
    <w:rsid w:val="00EF7943"/>
    <w:rsid w:val="00F17318"/>
    <w:rsid w:val="00F237B2"/>
    <w:rsid w:val="00F34E10"/>
    <w:rsid w:val="00F70B0F"/>
    <w:rsid w:val="00F8091B"/>
    <w:rsid w:val="00F85641"/>
    <w:rsid w:val="00F85C8F"/>
    <w:rsid w:val="00FA7748"/>
    <w:rsid w:val="00FA7AC7"/>
    <w:rsid w:val="00FC3645"/>
    <w:rsid w:val="00FF2C3C"/>
    <w:rsid w:val="11A7713B"/>
    <w:rsid w:val="1B921B80"/>
    <w:rsid w:val="1DDDE6D5"/>
    <w:rsid w:val="24435569"/>
    <w:rsid w:val="27A8AB22"/>
    <w:rsid w:val="28F1D592"/>
    <w:rsid w:val="29447B83"/>
    <w:rsid w:val="45BEB75A"/>
    <w:rsid w:val="5A2C6499"/>
    <w:rsid w:val="6A4D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2571B6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/>
    <w:lsdException w:name="Emphasis" w:locked="0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 w:uiPriority="99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rsid w:val="00290FA5"/>
    <w:pPr>
      <w:tabs>
        <w:tab w:val="center" w:pos="4153"/>
        <w:tab w:val="right" w:pos="8306"/>
      </w:tabs>
    </w:pPr>
  </w:style>
  <w:style w:type="paragraph" w:customStyle="1" w:styleId="DHSHeadinglevel1">
    <w:name w:val="DHS Heading level 1"/>
    <w:basedOn w:val="Heading1"/>
    <w:next w:val="DHSBodytext"/>
    <w:qFormat/>
    <w:locked/>
    <w:rsid w:val="009434C2"/>
    <w:pPr>
      <w:spacing w:before="60" w:after="240"/>
    </w:pPr>
    <w:rPr>
      <w:rFonts w:ascii="Arial" w:hAnsi="Arial" w:cs="Arial"/>
      <w:sz w:val="44"/>
      <w:szCs w:val="40"/>
    </w:rPr>
  </w:style>
  <w:style w:type="paragraph" w:customStyle="1" w:styleId="DHSHeadinglevel2">
    <w:name w:val="DHS Heading level 2"/>
    <w:basedOn w:val="Heading2"/>
    <w:next w:val="DHSBodytext"/>
    <w:qFormat/>
    <w:locked/>
    <w:rsid w:val="009434C2"/>
    <w:pPr>
      <w:spacing w:after="120"/>
    </w:pPr>
    <w:rPr>
      <w:rFonts w:ascii="Arial" w:hAnsi="Arial" w:cstheme="minorHAnsi"/>
      <w:b w:val="0"/>
      <w:i w:val="0"/>
      <w:color w:val="000000"/>
      <w:sz w:val="36"/>
    </w:rPr>
  </w:style>
  <w:style w:type="paragraph" w:customStyle="1" w:styleId="DHSHeadinglevel3">
    <w:name w:val="DHS Heading level 3"/>
    <w:basedOn w:val="Heading3"/>
    <w:next w:val="DHSBodytext"/>
    <w:qFormat/>
    <w:locked/>
    <w:rsid w:val="00D52C59"/>
    <w:pPr>
      <w:spacing w:after="120"/>
    </w:pPr>
    <w:rPr>
      <w:rFonts w:ascii="Arial" w:hAnsi="Arial" w:cstheme="minorHAnsi"/>
      <w:sz w:val="28"/>
    </w:rPr>
  </w:style>
  <w:style w:type="paragraph" w:customStyle="1" w:styleId="DHSHeadinglevel4">
    <w:name w:val="DHS Heading level 4"/>
    <w:basedOn w:val="Heading4"/>
    <w:next w:val="DHSBodytext"/>
    <w:qFormat/>
    <w:locked/>
    <w:rsid w:val="00D52C59"/>
    <w:pPr>
      <w:spacing w:after="120"/>
    </w:pPr>
    <w:rPr>
      <w:rFonts w:ascii="Arial" w:hAnsi="Arial" w:cs="Arial"/>
      <w:sz w:val="24"/>
      <w:szCs w:val="22"/>
    </w:rPr>
  </w:style>
  <w:style w:type="paragraph" w:customStyle="1" w:styleId="DHSBodytext">
    <w:name w:val="DHS Body text"/>
    <w:basedOn w:val="Normal"/>
    <w:qFormat/>
    <w:locked/>
    <w:rsid w:val="009434C2"/>
    <w:pPr>
      <w:spacing w:after="120"/>
    </w:pPr>
    <w:rPr>
      <w:rFonts w:ascii="Arial" w:hAnsi="Arial" w:cstheme="minorHAnsi"/>
    </w:rPr>
  </w:style>
  <w:style w:type="paragraph" w:customStyle="1" w:styleId="DHSBulletslevel2">
    <w:name w:val="DHS Bullets level 2"/>
    <w:basedOn w:val="Normal"/>
    <w:locked/>
    <w:rsid w:val="00F85641"/>
    <w:pPr>
      <w:numPr>
        <w:numId w:val="6"/>
      </w:numPr>
      <w:spacing w:after="120"/>
      <w:ind w:left="680" w:hanging="340"/>
    </w:pPr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rsid w:val="009E3B3A"/>
    <w:rPr>
      <w:color w:val="0000FF"/>
      <w:u w:val="single"/>
    </w:rPr>
  </w:style>
  <w:style w:type="paragraph" w:customStyle="1" w:styleId="DHSNumberslevel1">
    <w:name w:val="DHS Numbers level 1"/>
    <w:basedOn w:val="Normal"/>
    <w:qFormat/>
    <w:locked/>
    <w:rsid w:val="00F85641"/>
    <w:pPr>
      <w:numPr>
        <w:numId w:val="7"/>
      </w:numPr>
      <w:spacing w:after="120"/>
      <w:ind w:left="357" w:hanging="357"/>
    </w:pPr>
    <w:rPr>
      <w:rFonts w:ascii="Arial" w:hAnsi="Arial" w:cs="Arial"/>
      <w:sz w:val="22"/>
      <w:szCs w:val="22"/>
    </w:rPr>
  </w:style>
  <w:style w:type="paragraph" w:customStyle="1" w:styleId="DHSNumberslevel2">
    <w:name w:val="DHS Numbers level 2"/>
    <w:basedOn w:val="DHSNumberslevel1"/>
    <w:qFormat/>
    <w:locked/>
    <w:rsid w:val="00772C06"/>
    <w:pPr>
      <w:numPr>
        <w:numId w:val="8"/>
      </w:numPr>
      <w:ind w:left="680" w:hanging="340"/>
    </w:pPr>
  </w:style>
  <w:style w:type="character" w:customStyle="1" w:styleId="Heading1Char">
    <w:name w:val="Heading 1 Char"/>
    <w:link w:val="Heading1"/>
    <w:semiHidden/>
    <w:rsid w:val="00C207C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C34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C34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C34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HSBulletslevel">
    <w:name w:val="DHS Bullets level"/>
    <w:basedOn w:val="Normal"/>
    <w:locked/>
    <w:rsid w:val="00EB20C6"/>
    <w:pPr>
      <w:numPr>
        <w:numId w:val="13"/>
      </w:numPr>
      <w:spacing w:after="120"/>
    </w:pPr>
    <w:rPr>
      <w:rFonts w:asciiTheme="minorHAnsi" w:hAnsiTheme="minorHAnsi" w:cs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510D3F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rsid w:val="00A82C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2C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CC24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24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24BE"/>
  </w:style>
  <w:style w:type="paragraph" w:styleId="CommentSubject">
    <w:name w:val="annotation subject"/>
    <w:basedOn w:val="CommentText"/>
    <w:next w:val="CommentText"/>
    <w:link w:val="CommentSubjectChar"/>
    <w:rsid w:val="00CC2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24BE"/>
    <w:rPr>
      <w:b/>
      <w:bCs/>
    </w:rPr>
  </w:style>
  <w:style w:type="paragraph" w:customStyle="1" w:styleId="CABNETParagraph">
    <w:name w:val="CABNET Paragraph."/>
    <w:basedOn w:val="Normal"/>
    <w:link w:val="CABNETParagraphChar"/>
    <w:uiPriority w:val="98"/>
    <w:qFormat/>
    <w:locked/>
    <w:rsid w:val="00EE1ACE"/>
    <w:pPr>
      <w:spacing w:before="120" w:after="120"/>
    </w:pPr>
    <w:rPr>
      <w:rFonts w:ascii="Arial" w:eastAsiaTheme="minorHAnsi" w:hAnsi="Arial" w:cstheme="minorHAnsi"/>
      <w:sz w:val="22"/>
      <w:szCs w:val="22"/>
      <w:lang w:eastAsia="en-US"/>
    </w:rPr>
  </w:style>
  <w:style w:type="character" w:customStyle="1" w:styleId="CABNETParagraphChar">
    <w:name w:val="CABNET Paragraph. Char"/>
    <w:basedOn w:val="DefaultParagraphFont"/>
    <w:link w:val="CABNETParagraph"/>
    <w:uiPriority w:val="98"/>
    <w:rsid w:val="00EE1ACE"/>
    <w:rPr>
      <w:rFonts w:ascii="Arial" w:eastAsiaTheme="minorHAnsi" w:hAnsi="Arial" w:cs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434C2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D52C59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locked/>
    <w:rsid w:val="00D52C59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semiHidden/>
    <w:rsid w:val="00FF2C3C"/>
    <w:rPr>
      <w:sz w:val="24"/>
      <w:szCs w:val="24"/>
    </w:rPr>
  </w:style>
  <w:style w:type="character" w:styleId="FollowedHyperlink">
    <w:name w:val="FollowedHyperlink"/>
    <w:basedOn w:val="DefaultParagraphFont"/>
    <w:rsid w:val="0036436D"/>
    <w:rPr>
      <w:color w:val="954F72" w:themeColor="followedHyperlink"/>
      <w:u w:val="single"/>
    </w:rPr>
  </w:style>
  <w:style w:type="character" w:customStyle="1" w:styleId="Style3">
    <w:name w:val="Style3"/>
    <w:basedOn w:val="DefaultParagraphFont"/>
    <w:uiPriority w:val="1"/>
    <w:rsid w:val="00E4594F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4B6F21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1A214B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6A83-D5DA-4919-8E15-67A939BA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Disability Insurance Scheme – getting the NDIS back on track</vt:lpstr>
    </vt:vector>
  </TitlesOfParts>
  <Manager/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Disability Insurance Scheme – getting the NDIS back on track</dc:title>
  <dc:subject/>
  <dc:creator>Services Australia</dc:creator>
  <cp:keywords>Budget 2024-25</cp:keywords>
  <dc:description/>
  <cp:lastModifiedBy/>
  <cp:revision>1</cp:revision>
  <dcterms:created xsi:type="dcterms:W3CDTF">2024-05-14T08:32:00Z</dcterms:created>
  <dcterms:modified xsi:type="dcterms:W3CDTF">2024-05-14T08:39:00Z</dcterms:modified>
</cp:coreProperties>
</file>