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23EBBDC9" w:rsidR="00A82C12" w:rsidRPr="001D4174" w:rsidRDefault="00274FFD" w:rsidP="008B1A23">
      <w:pPr>
        <w:pStyle w:val="DHSHeadinglevel1"/>
        <w:tabs>
          <w:tab w:val="left" w:pos="5560"/>
        </w:tabs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7D5373AD" w14:textId="25DC8AA2" w:rsidR="00BC5C89" w:rsidRDefault="00A82C12" w:rsidP="00921C7F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0A9A525C" w14:textId="18BF2EB0" w:rsidR="00D52C59" w:rsidRPr="00F85C8F" w:rsidRDefault="004C4B16" w:rsidP="00921C7F">
      <w:pPr>
        <w:pStyle w:val="DHSHeadinglevel2"/>
      </w:pPr>
      <w:r w:rsidRPr="004C4B16">
        <w:t>Endorsement of the Social Security Agreement between Australia and the Oriental Republic of Uruguay</w:t>
      </w:r>
    </w:p>
    <w:p w14:paraId="21221994" w14:textId="569992B2" w:rsidR="00997E56" w:rsidRDefault="00997E56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Under this measure, Australia will enter into a Social Security Agreement with Uruguay, pending the conclusion of negotiations.</w:t>
      </w:r>
    </w:p>
    <w:p w14:paraId="3E6978BB" w14:textId="77777777" w:rsidR="00997E56" w:rsidRDefault="00997E56" w:rsidP="000B6BAF">
      <w:pPr>
        <w:rPr>
          <w:rStyle w:val="Style3"/>
          <w:rFonts w:cs="Arial"/>
        </w:rPr>
      </w:pPr>
    </w:p>
    <w:p w14:paraId="2A4927B8" w14:textId="75B1D05C" w:rsidR="00863D78" w:rsidRDefault="00E56944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The </w:t>
      </w:r>
      <w:r w:rsidR="00D84CCA">
        <w:rPr>
          <w:rStyle w:val="Style3"/>
          <w:rFonts w:cs="Arial"/>
        </w:rPr>
        <w:t xml:space="preserve">agreement </w:t>
      </w:r>
      <w:r w:rsidR="00997E56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assist people to qualify for</w:t>
      </w:r>
      <w:r w:rsidR="00964E44">
        <w:rPr>
          <w:rStyle w:val="Style3"/>
          <w:rFonts w:cs="Arial"/>
        </w:rPr>
        <w:t xml:space="preserve"> and</w:t>
      </w:r>
      <w:r>
        <w:rPr>
          <w:rStyle w:val="Style3"/>
          <w:rFonts w:cs="Arial"/>
        </w:rPr>
        <w:t xml:space="preserve"> claim pensions from Australia and Uruguay.</w:t>
      </w:r>
    </w:p>
    <w:p w14:paraId="472FE536" w14:textId="77777777" w:rsidR="00863D78" w:rsidRDefault="00863D78" w:rsidP="000B6BAF">
      <w:pPr>
        <w:rPr>
          <w:rStyle w:val="Style3"/>
          <w:rFonts w:cs="Arial"/>
        </w:rPr>
      </w:pPr>
    </w:p>
    <w:p w14:paraId="109B8BD5" w14:textId="5A99BAA1" w:rsidR="00E56944" w:rsidRDefault="00A1636D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The </w:t>
      </w:r>
      <w:r w:rsidR="00D84CCA">
        <w:rPr>
          <w:rStyle w:val="Style3"/>
          <w:rFonts w:cs="Arial"/>
        </w:rPr>
        <w:t xml:space="preserve">agreement </w:t>
      </w:r>
      <w:r w:rsidR="00997E56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also exempt employers and employees </w:t>
      </w:r>
      <w:r w:rsidR="00D84CCA">
        <w:rPr>
          <w:rStyle w:val="Style3"/>
          <w:rFonts w:cs="Arial"/>
        </w:rPr>
        <w:t xml:space="preserve">who are </w:t>
      </w:r>
      <w:r>
        <w:rPr>
          <w:rStyle w:val="Style3"/>
          <w:rFonts w:cs="Arial"/>
        </w:rPr>
        <w:t>temporarily seconded to work from Australia to Uruguay or vice versa from paying into both their host and home country pension or superannuation schemes</w:t>
      </w:r>
      <w:r w:rsidR="00D84CCA">
        <w:rPr>
          <w:rStyle w:val="Style3"/>
          <w:rFonts w:cs="Arial"/>
        </w:rPr>
        <w:t>. This will apply</w:t>
      </w:r>
      <w:r>
        <w:rPr>
          <w:rStyle w:val="Style3"/>
          <w:rFonts w:cs="Arial"/>
        </w:rPr>
        <w:t xml:space="preserve"> for the duration of the secondment.</w:t>
      </w:r>
    </w:p>
    <w:p w14:paraId="31E62615" w14:textId="77777777" w:rsidR="00E56944" w:rsidRDefault="00E56944" w:rsidP="000B6BAF">
      <w:pPr>
        <w:rPr>
          <w:rStyle w:val="Style3"/>
          <w:rFonts w:cs="Arial"/>
        </w:rPr>
      </w:pPr>
    </w:p>
    <w:p w14:paraId="2D1983F4" w14:textId="6AF92C8D" w:rsidR="00D84CCA" w:rsidRDefault="00863D78" w:rsidP="00863D78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The </w:t>
      </w:r>
      <w:r w:rsidR="00D84CCA">
        <w:rPr>
          <w:rStyle w:val="Style3"/>
          <w:rFonts w:cs="Arial"/>
        </w:rPr>
        <w:t>a</w:t>
      </w:r>
      <w:r w:rsidR="00A1636D">
        <w:rPr>
          <w:rStyle w:val="Style3"/>
          <w:rFonts w:cs="Arial"/>
        </w:rPr>
        <w:t>greement</w:t>
      </w:r>
      <w:r>
        <w:rPr>
          <w:rStyle w:val="Style3"/>
          <w:rFonts w:cs="Arial"/>
        </w:rPr>
        <w:t xml:space="preserve"> </w:t>
      </w:r>
      <w:r w:rsidR="00997E56">
        <w:rPr>
          <w:rStyle w:val="Style3"/>
          <w:rFonts w:cs="Arial"/>
        </w:rPr>
        <w:t>will</w:t>
      </w:r>
      <w:r w:rsidR="00D84CCA">
        <w:rPr>
          <w:rStyle w:val="Style3"/>
          <w:rFonts w:cs="Arial"/>
        </w:rPr>
        <w:t>:</w:t>
      </w:r>
    </w:p>
    <w:p w14:paraId="30CF6E0F" w14:textId="6F31A43C" w:rsidR="00D84CCA" w:rsidRPr="0034186D" w:rsidRDefault="00863D78" w:rsidP="0034186D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7A251F">
        <w:rPr>
          <w:rStyle w:val="Style3"/>
          <w:rFonts w:cs="Arial"/>
        </w:rPr>
        <w:t>strengthen Australia’s bilateral relationship with Uruguay</w:t>
      </w:r>
    </w:p>
    <w:p w14:paraId="1562E452" w14:textId="5E768F86" w:rsidR="00863D78" w:rsidRPr="00D84CCA" w:rsidRDefault="00863D78" w:rsidP="0034186D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34186D">
        <w:rPr>
          <w:rStyle w:val="Style3"/>
          <w:rFonts w:cs="Arial"/>
        </w:rPr>
        <w:t>compl</w:t>
      </w:r>
      <w:r w:rsidR="00D84CCA" w:rsidRPr="0034186D">
        <w:rPr>
          <w:rStyle w:val="Style3"/>
          <w:rFonts w:cs="Arial"/>
        </w:rPr>
        <w:t>e</w:t>
      </w:r>
      <w:r w:rsidRPr="0034186D">
        <w:rPr>
          <w:rStyle w:val="Style3"/>
          <w:rFonts w:cs="Arial"/>
        </w:rPr>
        <w:t xml:space="preserve">ment </w:t>
      </w:r>
      <w:r w:rsidR="00A1636D" w:rsidRPr="0034186D">
        <w:rPr>
          <w:rStyle w:val="Style3"/>
          <w:rFonts w:cs="Arial"/>
        </w:rPr>
        <w:t>Australia’s</w:t>
      </w:r>
      <w:r w:rsidRPr="0034186D">
        <w:rPr>
          <w:rStyle w:val="Style3"/>
          <w:rFonts w:cs="Arial"/>
        </w:rPr>
        <w:t xml:space="preserve"> existing network of </w:t>
      </w:r>
      <w:r w:rsidR="002A6A2A" w:rsidRPr="0034186D">
        <w:rPr>
          <w:rStyle w:val="Style3"/>
          <w:rFonts w:cs="Arial"/>
        </w:rPr>
        <w:t xml:space="preserve">32 </w:t>
      </w:r>
      <w:r w:rsidRPr="0034186D">
        <w:rPr>
          <w:rStyle w:val="Style3"/>
          <w:rFonts w:cs="Arial"/>
        </w:rPr>
        <w:t xml:space="preserve">social security agreements. </w:t>
      </w:r>
    </w:p>
    <w:p w14:paraId="549B8511" w14:textId="6D4CC207" w:rsidR="009667CB" w:rsidRDefault="009667CB" w:rsidP="00863D78">
      <w:pPr>
        <w:rPr>
          <w:rStyle w:val="Style3"/>
          <w:rFonts w:cs="Arial"/>
        </w:rPr>
      </w:pPr>
    </w:p>
    <w:p w14:paraId="5D564ADE" w14:textId="1C8C741A" w:rsidR="00E33470" w:rsidRPr="000B6BAF" w:rsidRDefault="009667CB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>This measure is led by the Department of Social Services</w:t>
      </w:r>
      <w:r w:rsidR="00761D32">
        <w:rPr>
          <w:rStyle w:val="Style3"/>
          <w:rFonts w:cs="Arial"/>
        </w:rPr>
        <w:t>.</w:t>
      </w:r>
      <w:r w:rsidR="00761D32" w:rsidDel="00761D32">
        <w:rPr>
          <w:rStyle w:val="Style3"/>
          <w:rFonts w:cs="Arial"/>
        </w:rPr>
        <w:t xml:space="preserve"> </w:t>
      </w:r>
      <w:r w:rsidR="00186516">
        <w:rPr>
          <w:rFonts w:ascii="Arial" w:hAnsi="Arial" w:cs="Arial"/>
          <w:color w:val="000000"/>
        </w:rPr>
        <w:t>Services Australia will get $15 million from 2024</w:t>
      </w:r>
      <w:r w:rsidR="00975CEB">
        <w:rPr>
          <w:rFonts w:ascii="Arial" w:hAnsi="Arial" w:cs="Arial"/>
          <w:color w:val="000000"/>
        </w:rPr>
        <w:t>–</w:t>
      </w:r>
      <w:r w:rsidR="00186516">
        <w:rPr>
          <w:rFonts w:ascii="Arial" w:hAnsi="Arial" w:cs="Arial"/>
          <w:color w:val="000000"/>
        </w:rPr>
        <w:t>25 through to 2027</w:t>
      </w:r>
      <w:r w:rsidR="00975CEB">
        <w:rPr>
          <w:rFonts w:ascii="Arial" w:hAnsi="Arial" w:cs="Arial"/>
          <w:color w:val="000000"/>
        </w:rPr>
        <w:t>–</w:t>
      </w:r>
      <w:r w:rsidR="00186516">
        <w:rPr>
          <w:rFonts w:ascii="Arial" w:hAnsi="Arial" w:cs="Arial"/>
          <w:color w:val="000000"/>
        </w:rPr>
        <w:t>28 to support this measure.</w:t>
      </w:r>
    </w:p>
    <w:p w14:paraId="5283105F" w14:textId="77777777" w:rsidR="00D52C59" w:rsidRDefault="00D52C59" w:rsidP="009434C2">
      <w:pPr>
        <w:pStyle w:val="DHSBodytext"/>
      </w:pPr>
    </w:p>
    <w:p w14:paraId="4A05EAD8" w14:textId="796ED480" w:rsidR="00BC5C89" w:rsidRPr="00921C7F" w:rsidRDefault="00E4177E" w:rsidP="00E4177E">
      <w:pPr>
        <w:pStyle w:val="DHSBodytext"/>
      </w:pPr>
      <w:r>
        <w:rPr>
          <w:rStyle w:val="Style2"/>
        </w:rPr>
        <w:t>This measure is subject to</w:t>
      </w:r>
      <w:r w:rsidR="009D4BFF">
        <w:rPr>
          <w:rStyle w:val="Style2"/>
        </w:rPr>
        <w:t xml:space="preserve"> successful negotiations and</w:t>
      </w:r>
      <w:r>
        <w:rPr>
          <w:rStyle w:val="Style2"/>
        </w:rPr>
        <w:t xml:space="preserve"> legislation passing.</w:t>
      </w: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4D9E501B" w14:textId="0C180E96" w:rsidR="00792502" w:rsidRDefault="00A1636D" w:rsidP="00A1636D">
      <w:pPr>
        <w:pStyle w:val="DHSBodytext"/>
      </w:pPr>
      <w:r>
        <w:t>Th</w:t>
      </w:r>
      <w:r w:rsidR="00997E56">
        <w:t xml:space="preserve">e </w:t>
      </w:r>
      <w:r w:rsidR="00D84CCA">
        <w:t>a</w:t>
      </w:r>
      <w:r w:rsidR="00997E56">
        <w:t>greement will benefit</w:t>
      </w:r>
      <w:r w:rsidR="00792502">
        <w:t>:</w:t>
      </w:r>
    </w:p>
    <w:p w14:paraId="64EDB195" w14:textId="604676E4" w:rsidR="00792502" w:rsidRDefault="00A1636D" w:rsidP="009E5720">
      <w:pPr>
        <w:pStyle w:val="DHSBodytext"/>
        <w:numPr>
          <w:ilvl w:val="0"/>
          <w:numId w:val="16"/>
        </w:numPr>
      </w:pPr>
      <w:r>
        <w:t>Australian residents who have previously worked in or who wish to move to Uruguay in their retirement</w:t>
      </w:r>
    </w:p>
    <w:p w14:paraId="0EBAFACC" w14:textId="0A4BFDDF" w:rsidR="00792502" w:rsidRDefault="00A1636D" w:rsidP="009E5720">
      <w:pPr>
        <w:pStyle w:val="DHSBodytext"/>
        <w:numPr>
          <w:ilvl w:val="0"/>
          <w:numId w:val="16"/>
        </w:numPr>
      </w:pPr>
      <w:r>
        <w:t>former Australian residents currently living in Ur</w:t>
      </w:r>
      <w:r w:rsidR="00792502">
        <w:t>uguay</w:t>
      </w:r>
    </w:p>
    <w:p w14:paraId="35CC59FA" w14:textId="7D317293" w:rsidR="00EE1ACE" w:rsidRDefault="00A1636D" w:rsidP="009E5720">
      <w:pPr>
        <w:pStyle w:val="DHSBodytext"/>
        <w:numPr>
          <w:ilvl w:val="0"/>
          <w:numId w:val="16"/>
        </w:numPr>
      </w:pPr>
      <w:r>
        <w:t>Australian businesses operating in Uruguay</w:t>
      </w:r>
      <w:r w:rsidR="00792502">
        <w:t>.</w:t>
      </w:r>
    </w:p>
    <w:p w14:paraId="3A8BE76A" w14:textId="77777777" w:rsidR="00BC5C89" w:rsidRPr="008E4E63" w:rsidRDefault="00BC5C89" w:rsidP="00BC5C89">
      <w:pPr>
        <w:pStyle w:val="DHSBodytext"/>
        <w:ind w:left="720"/>
      </w:pP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2534186C" w:rsidR="00847590" w:rsidRPr="00921C7F" w:rsidRDefault="00792502" w:rsidP="00921C7F">
      <w:pPr>
        <w:rPr>
          <w:rFonts w:ascii="Arial" w:hAnsi="Arial" w:cs="Arial"/>
        </w:rPr>
      </w:pPr>
      <w:r>
        <w:rPr>
          <w:rStyle w:val="Style3"/>
          <w:rFonts w:cs="Arial"/>
        </w:rPr>
        <w:t>The</w:t>
      </w:r>
      <w:r w:rsidR="00997E56">
        <w:rPr>
          <w:rStyle w:val="Style3"/>
          <w:rFonts w:cs="Arial"/>
        </w:rPr>
        <w:t xml:space="preserve"> </w:t>
      </w:r>
      <w:r w:rsidR="00D84CCA">
        <w:rPr>
          <w:rStyle w:val="Style3"/>
          <w:rFonts w:cs="Arial"/>
        </w:rPr>
        <w:t>a</w:t>
      </w:r>
      <w:r w:rsidR="00997E56">
        <w:rPr>
          <w:rStyle w:val="Style3"/>
          <w:rFonts w:cs="Arial"/>
        </w:rPr>
        <w:t>greement will</w:t>
      </w:r>
      <w:r w:rsidR="00530456">
        <w:rPr>
          <w:rStyle w:val="Style3"/>
          <w:rFonts w:cs="Arial"/>
        </w:rPr>
        <w:t xml:space="preserve"> start on 1 January 2026</w:t>
      </w:r>
      <w:r>
        <w:rPr>
          <w:rStyle w:val="Style3"/>
          <w:rFonts w:cs="Arial"/>
        </w:rPr>
        <w:t xml:space="preserve"> and is o</w:t>
      </w:r>
      <w:r w:rsidR="00530456">
        <w:rPr>
          <w:rStyle w:val="Style3"/>
          <w:rFonts w:cs="Arial"/>
        </w:rPr>
        <w:t>ngoing.</w:t>
      </w:r>
    </w:p>
    <w:sectPr w:rsidR="00847590" w:rsidRPr="00921C7F" w:rsidSect="000E6826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7F16" w14:textId="77777777" w:rsidR="000E6826" w:rsidRDefault="000E6826">
      <w:r>
        <w:separator/>
      </w:r>
    </w:p>
  </w:endnote>
  <w:endnote w:type="continuationSeparator" w:id="0">
    <w:p w14:paraId="572FA603" w14:textId="77777777" w:rsidR="000E6826" w:rsidRDefault="000E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9250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9250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5252F9C2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92502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92502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6EDA" w14:textId="77777777" w:rsidR="000E6826" w:rsidRDefault="000E6826">
      <w:r>
        <w:separator/>
      </w:r>
    </w:p>
  </w:footnote>
  <w:footnote w:type="continuationSeparator" w:id="0">
    <w:p w14:paraId="4AF67893" w14:textId="77777777" w:rsidR="000E6826" w:rsidRDefault="000E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4F4"/>
    <w:multiLevelType w:val="hybridMultilevel"/>
    <w:tmpl w:val="239ED014"/>
    <w:lvl w:ilvl="0" w:tplc="60B8F6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33FB"/>
    <w:multiLevelType w:val="hybridMultilevel"/>
    <w:tmpl w:val="C87A9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439934">
    <w:abstractNumId w:val="16"/>
  </w:num>
  <w:num w:numId="2" w16cid:durableId="69616475">
    <w:abstractNumId w:val="1"/>
  </w:num>
  <w:num w:numId="3" w16cid:durableId="1378554240">
    <w:abstractNumId w:val="14"/>
  </w:num>
  <w:num w:numId="4" w16cid:durableId="1847476296">
    <w:abstractNumId w:val="2"/>
  </w:num>
  <w:num w:numId="5" w16cid:durableId="569729183">
    <w:abstractNumId w:val="13"/>
  </w:num>
  <w:num w:numId="6" w16cid:durableId="1156143768">
    <w:abstractNumId w:val="6"/>
  </w:num>
  <w:num w:numId="7" w16cid:durableId="1601571108">
    <w:abstractNumId w:val="12"/>
  </w:num>
  <w:num w:numId="8" w16cid:durableId="725227155">
    <w:abstractNumId w:val="15"/>
  </w:num>
  <w:num w:numId="9" w16cid:durableId="513149441">
    <w:abstractNumId w:val="9"/>
  </w:num>
  <w:num w:numId="10" w16cid:durableId="1530533680">
    <w:abstractNumId w:val="10"/>
  </w:num>
  <w:num w:numId="11" w16cid:durableId="1611165010">
    <w:abstractNumId w:val="0"/>
  </w:num>
  <w:num w:numId="12" w16cid:durableId="477190401">
    <w:abstractNumId w:val="11"/>
  </w:num>
  <w:num w:numId="13" w16cid:durableId="643588440">
    <w:abstractNumId w:val="3"/>
  </w:num>
  <w:num w:numId="14" w16cid:durableId="1444642582">
    <w:abstractNumId w:val="8"/>
  </w:num>
  <w:num w:numId="15" w16cid:durableId="1171221613">
    <w:abstractNumId w:val="7"/>
  </w:num>
  <w:num w:numId="16" w16cid:durableId="871726927">
    <w:abstractNumId w:val="4"/>
  </w:num>
  <w:num w:numId="17" w16cid:durableId="1241990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B6BAF"/>
    <w:rsid w:val="000C6C57"/>
    <w:rsid w:val="000D0E18"/>
    <w:rsid w:val="000D6870"/>
    <w:rsid w:val="000E6826"/>
    <w:rsid w:val="000F770A"/>
    <w:rsid w:val="00112F82"/>
    <w:rsid w:val="001172E7"/>
    <w:rsid w:val="001240E8"/>
    <w:rsid w:val="0013636B"/>
    <w:rsid w:val="001415AB"/>
    <w:rsid w:val="001453AD"/>
    <w:rsid w:val="001573A2"/>
    <w:rsid w:val="00183D7B"/>
    <w:rsid w:val="00186516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44CA1"/>
    <w:rsid w:val="002502BE"/>
    <w:rsid w:val="002560EB"/>
    <w:rsid w:val="00266B25"/>
    <w:rsid w:val="00274FFD"/>
    <w:rsid w:val="00281861"/>
    <w:rsid w:val="00284ADE"/>
    <w:rsid w:val="00290FA5"/>
    <w:rsid w:val="002A21C5"/>
    <w:rsid w:val="002A6A2A"/>
    <w:rsid w:val="002C19E4"/>
    <w:rsid w:val="002C78D8"/>
    <w:rsid w:val="002E6283"/>
    <w:rsid w:val="00300015"/>
    <w:rsid w:val="003100BB"/>
    <w:rsid w:val="00316C5E"/>
    <w:rsid w:val="0034186D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37655"/>
    <w:rsid w:val="004714E9"/>
    <w:rsid w:val="004833F2"/>
    <w:rsid w:val="00484CEA"/>
    <w:rsid w:val="004A3217"/>
    <w:rsid w:val="004B6F21"/>
    <w:rsid w:val="004C4B16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30456"/>
    <w:rsid w:val="00571396"/>
    <w:rsid w:val="00571BB0"/>
    <w:rsid w:val="00571C3F"/>
    <w:rsid w:val="00573C0E"/>
    <w:rsid w:val="005A5EDA"/>
    <w:rsid w:val="005C738D"/>
    <w:rsid w:val="005C7D3C"/>
    <w:rsid w:val="00611BB8"/>
    <w:rsid w:val="00620E30"/>
    <w:rsid w:val="00622896"/>
    <w:rsid w:val="00625C70"/>
    <w:rsid w:val="00632BBE"/>
    <w:rsid w:val="00640F2C"/>
    <w:rsid w:val="0067371F"/>
    <w:rsid w:val="0067669C"/>
    <w:rsid w:val="006825DB"/>
    <w:rsid w:val="00685C7C"/>
    <w:rsid w:val="006964A3"/>
    <w:rsid w:val="006A317C"/>
    <w:rsid w:val="006B396F"/>
    <w:rsid w:val="006F0C4D"/>
    <w:rsid w:val="006F3C21"/>
    <w:rsid w:val="00711EA6"/>
    <w:rsid w:val="00715039"/>
    <w:rsid w:val="00722887"/>
    <w:rsid w:val="00730A3D"/>
    <w:rsid w:val="00746A31"/>
    <w:rsid w:val="00756927"/>
    <w:rsid w:val="00761D32"/>
    <w:rsid w:val="00772C06"/>
    <w:rsid w:val="00792502"/>
    <w:rsid w:val="007A251F"/>
    <w:rsid w:val="007B4F51"/>
    <w:rsid w:val="007F79FF"/>
    <w:rsid w:val="00801D1A"/>
    <w:rsid w:val="008457BC"/>
    <w:rsid w:val="00847590"/>
    <w:rsid w:val="00850873"/>
    <w:rsid w:val="00850DF2"/>
    <w:rsid w:val="00851251"/>
    <w:rsid w:val="00863A82"/>
    <w:rsid w:val="00863D78"/>
    <w:rsid w:val="0086632C"/>
    <w:rsid w:val="00873080"/>
    <w:rsid w:val="0087534C"/>
    <w:rsid w:val="008968B7"/>
    <w:rsid w:val="008B1A23"/>
    <w:rsid w:val="008E4E63"/>
    <w:rsid w:val="008E61D0"/>
    <w:rsid w:val="008F235D"/>
    <w:rsid w:val="009009BC"/>
    <w:rsid w:val="0090591C"/>
    <w:rsid w:val="00907D7A"/>
    <w:rsid w:val="00915568"/>
    <w:rsid w:val="009174A0"/>
    <w:rsid w:val="00921C7F"/>
    <w:rsid w:val="00923854"/>
    <w:rsid w:val="00932AA3"/>
    <w:rsid w:val="009434C2"/>
    <w:rsid w:val="009635D0"/>
    <w:rsid w:val="00964E44"/>
    <w:rsid w:val="00965631"/>
    <w:rsid w:val="009667CB"/>
    <w:rsid w:val="0097065D"/>
    <w:rsid w:val="00975CEB"/>
    <w:rsid w:val="00983BBD"/>
    <w:rsid w:val="009905A7"/>
    <w:rsid w:val="00995023"/>
    <w:rsid w:val="00997E56"/>
    <w:rsid w:val="009A099C"/>
    <w:rsid w:val="009D371D"/>
    <w:rsid w:val="009D4BFF"/>
    <w:rsid w:val="009E1E1B"/>
    <w:rsid w:val="009E3B3A"/>
    <w:rsid w:val="009E5720"/>
    <w:rsid w:val="00A1636D"/>
    <w:rsid w:val="00A163B5"/>
    <w:rsid w:val="00A16C8F"/>
    <w:rsid w:val="00A3536B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C34FD"/>
    <w:rsid w:val="00AC7892"/>
    <w:rsid w:val="00AE0688"/>
    <w:rsid w:val="00AF4424"/>
    <w:rsid w:val="00B13CCE"/>
    <w:rsid w:val="00B26D06"/>
    <w:rsid w:val="00B27C58"/>
    <w:rsid w:val="00B31763"/>
    <w:rsid w:val="00B32B9E"/>
    <w:rsid w:val="00B362B6"/>
    <w:rsid w:val="00B46C32"/>
    <w:rsid w:val="00B55601"/>
    <w:rsid w:val="00B82348"/>
    <w:rsid w:val="00B86E2B"/>
    <w:rsid w:val="00B87453"/>
    <w:rsid w:val="00B9008C"/>
    <w:rsid w:val="00BA77DE"/>
    <w:rsid w:val="00BB4D6C"/>
    <w:rsid w:val="00BB7DE5"/>
    <w:rsid w:val="00BC5C89"/>
    <w:rsid w:val="00BD00E7"/>
    <w:rsid w:val="00BE0EB8"/>
    <w:rsid w:val="00BF19E8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84CCA"/>
    <w:rsid w:val="00D8551F"/>
    <w:rsid w:val="00D95C6D"/>
    <w:rsid w:val="00D97F3F"/>
    <w:rsid w:val="00DA1A3B"/>
    <w:rsid w:val="00DB64A8"/>
    <w:rsid w:val="00DB6596"/>
    <w:rsid w:val="00DB7DD8"/>
    <w:rsid w:val="00DC74FA"/>
    <w:rsid w:val="00DD3085"/>
    <w:rsid w:val="00DD49A2"/>
    <w:rsid w:val="00DD517B"/>
    <w:rsid w:val="00DD694E"/>
    <w:rsid w:val="00DE29B5"/>
    <w:rsid w:val="00E076AE"/>
    <w:rsid w:val="00E277F4"/>
    <w:rsid w:val="00E30CA7"/>
    <w:rsid w:val="00E31B70"/>
    <w:rsid w:val="00E323C3"/>
    <w:rsid w:val="00E33470"/>
    <w:rsid w:val="00E409B0"/>
    <w:rsid w:val="00E4177E"/>
    <w:rsid w:val="00E4594F"/>
    <w:rsid w:val="00E45BAD"/>
    <w:rsid w:val="00E56944"/>
    <w:rsid w:val="00E5725A"/>
    <w:rsid w:val="00E63EC2"/>
    <w:rsid w:val="00E768D0"/>
    <w:rsid w:val="00E76D5A"/>
    <w:rsid w:val="00EA2350"/>
    <w:rsid w:val="00EA7A22"/>
    <w:rsid w:val="00EB20C6"/>
    <w:rsid w:val="00EB7C8A"/>
    <w:rsid w:val="00EC3E4A"/>
    <w:rsid w:val="00EE1ACE"/>
    <w:rsid w:val="00EE3E1E"/>
    <w:rsid w:val="00EE78F0"/>
    <w:rsid w:val="00EF7943"/>
    <w:rsid w:val="00F17318"/>
    <w:rsid w:val="00F237B2"/>
    <w:rsid w:val="00F34E10"/>
    <w:rsid w:val="00F70B0F"/>
    <w:rsid w:val="00F719FD"/>
    <w:rsid w:val="00F8091B"/>
    <w:rsid w:val="00F85641"/>
    <w:rsid w:val="00F85C8F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5975-8DE8-48FA-9978-613D1EAA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of the Social Security Agreement between Australia and the Oriental Republic of Uruguay</dc:title>
  <dc:subject/>
  <dc:creator>Services Australia</dc:creator>
  <cp:keywords>Budget 2024-25</cp:keywords>
  <dc:description/>
  <cp:lastModifiedBy/>
  <cp:revision>1</cp:revision>
  <dcterms:created xsi:type="dcterms:W3CDTF">2024-05-14T07:29:00Z</dcterms:created>
  <dcterms:modified xsi:type="dcterms:W3CDTF">2024-05-14T07:29:00Z</dcterms:modified>
  <cp:category/>
</cp:coreProperties>
</file>