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809B45" w14:textId="77777777" w:rsidR="00A82C12" w:rsidRPr="001D4174" w:rsidRDefault="00274FFD" w:rsidP="00A82C12">
      <w:pPr>
        <w:pStyle w:val="DHSHeadinglevel1"/>
      </w:pPr>
      <w:bookmarkStart w:id="0" w:name="_Toc142718988"/>
      <w:r w:rsidRPr="00B27C58">
        <w:t>Budget</w:t>
      </w:r>
      <w:r w:rsidR="00915568" w:rsidRPr="00B27C58">
        <w:t xml:space="preserve"> </w:t>
      </w:r>
      <w:r w:rsidR="00183D7B" w:rsidRPr="00B27C58">
        <w:rPr>
          <w:color w:val="000000" w:themeColor="text1"/>
        </w:rPr>
        <w:t>202</w:t>
      </w:r>
      <w:r w:rsidR="00EE3E1E">
        <w:rPr>
          <w:color w:val="000000" w:themeColor="text1"/>
        </w:rPr>
        <w:t>4</w:t>
      </w:r>
      <w:r w:rsidR="00B27C58" w:rsidRPr="00B27C58">
        <w:rPr>
          <w:color w:val="000000" w:themeColor="text1"/>
        </w:rPr>
        <w:t>-2</w:t>
      </w:r>
      <w:r w:rsidR="00EE3E1E">
        <w:rPr>
          <w:color w:val="000000" w:themeColor="text1"/>
        </w:rPr>
        <w:t>5</w:t>
      </w:r>
    </w:p>
    <w:p w14:paraId="02220252" w14:textId="37317D1D" w:rsidR="00870EDE" w:rsidRDefault="00A82C12" w:rsidP="001D6030">
      <w:pPr>
        <w:pStyle w:val="DHSBodytext"/>
      </w:pPr>
      <w:r>
        <w:t xml:space="preserve">This information is accurate as of </w:t>
      </w:r>
      <w:r w:rsidR="00EE3E1E">
        <w:t xml:space="preserve">14 </w:t>
      </w:r>
      <w:r w:rsidR="002C78D8">
        <w:t>May 202</w:t>
      </w:r>
      <w:r w:rsidR="00EE3E1E">
        <w:t>4</w:t>
      </w:r>
      <w:r>
        <w:t>.</w:t>
      </w:r>
    </w:p>
    <w:p w14:paraId="5B29DD0F" w14:textId="31907A2B" w:rsidR="00D52C59" w:rsidRPr="00F85C8F" w:rsidRDefault="00DC28D3" w:rsidP="001D6030">
      <w:pPr>
        <w:pStyle w:val="DHSHeadinglevel2"/>
      </w:pPr>
      <w:r w:rsidRPr="00DC28D3">
        <w:t>Strengthening Medicare – an effective and clinically appropriate Medicare Benefits Schedule</w:t>
      </w:r>
      <w:r w:rsidR="0095287D">
        <w:t xml:space="preserve"> (MBS)</w:t>
      </w:r>
    </w:p>
    <w:p w14:paraId="1600527D" w14:textId="6C829B88" w:rsidR="004F5343" w:rsidRPr="004F5343" w:rsidRDefault="004F5343" w:rsidP="004F5343">
      <w:pPr>
        <w:rPr>
          <w:rStyle w:val="Style3"/>
          <w:rFonts w:ascii="Times New Roman" w:hAnsi="Times New Roman"/>
        </w:rPr>
      </w:pPr>
      <w:r>
        <w:rPr>
          <w:rStyle w:val="Style3"/>
          <w:rFonts w:cs="Arial"/>
        </w:rPr>
        <w:t xml:space="preserve">This measure </w:t>
      </w:r>
      <w:r w:rsidRPr="0019528B">
        <w:rPr>
          <w:rStyle w:val="Style3"/>
          <w:rFonts w:cs="Arial"/>
        </w:rPr>
        <w:t>introduces</w:t>
      </w:r>
      <w:r>
        <w:rPr>
          <w:rStyle w:val="Style3"/>
          <w:rFonts w:cs="Arial"/>
        </w:rPr>
        <w:t xml:space="preserve"> a reform to diagnostic imaging to: </w:t>
      </w:r>
    </w:p>
    <w:p w14:paraId="256934FE" w14:textId="77777777" w:rsidR="004F5343" w:rsidRPr="00CE318C" w:rsidRDefault="004F5343" w:rsidP="004F5343">
      <w:pPr>
        <w:pStyle w:val="ListParagraph"/>
        <w:numPr>
          <w:ilvl w:val="0"/>
          <w:numId w:val="25"/>
        </w:numPr>
        <w:rPr>
          <w:rStyle w:val="Style3"/>
          <w:rFonts w:cs="Arial"/>
        </w:rPr>
      </w:pPr>
      <w:r w:rsidRPr="0094298D">
        <w:rPr>
          <w:rStyle w:val="Style3"/>
          <w:rFonts w:cs="Arial"/>
        </w:rPr>
        <w:t xml:space="preserve">strengthen Medicare </w:t>
      </w:r>
    </w:p>
    <w:p w14:paraId="5022B4DC" w14:textId="77777777" w:rsidR="004F5343" w:rsidRPr="0094298D" w:rsidRDefault="004F5343" w:rsidP="004F5343">
      <w:pPr>
        <w:pStyle w:val="ListParagraph"/>
        <w:numPr>
          <w:ilvl w:val="0"/>
          <w:numId w:val="25"/>
        </w:numPr>
        <w:rPr>
          <w:rStyle w:val="Style3"/>
          <w:rFonts w:cs="Arial"/>
        </w:rPr>
      </w:pPr>
      <w:r w:rsidRPr="00CE318C">
        <w:rPr>
          <w:rStyle w:val="Style3"/>
          <w:rFonts w:cs="Arial"/>
        </w:rPr>
        <w:t xml:space="preserve">provide </w:t>
      </w:r>
      <w:r w:rsidRPr="00241EFE">
        <w:rPr>
          <w:rStyle w:val="Style3"/>
        </w:rPr>
        <w:t>increase</w:t>
      </w:r>
      <w:r w:rsidRPr="0094298D">
        <w:rPr>
          <w:rStyle w:val="Style3"/>
          <w:rFonts w:cs="Arial"/>
        </w:rPr>
        <w:t xml:space="preserve">d </w:t>
      </w:r>
      <w:r w:rsidRPr="00D405C1">
        <w:rPr>
          <w:rStyle w:val="Style3"/>
          <w:rFonts w:cs="Arial"/>
        </w:rPr>
        <w:t xml:space="preserve">affordability and access to Medicare. </w:t>
      </w:r>
    </w:p>
    <w:p w14:paraId="5E814BCA" w14:textId="77777777" w:rsidR="004F5343" w:rsidRDefault="004F5343" w:rsidP="004F5343">
      <w:pPr>
        <w:rPr>
          <w:rStyle w:val="Style3"/>
          <w:rFonts w:cs="Arial"/>
        </w:rPr>
      </w:pPr>
    </w:p>
    <w:p w14:paraId="7E5355D5" w14:textId="099D3756" w:rsidR="004F5343" w:rsidRDefault="004F5343" w:rsidP="004F5343">
      <w:pPr>
        <w:rPr>
          <w:rStyle w:val="Style3"/>
          <w:rFonts w:cs="Arial"/>
        </w:rPr>
      </w:pPr>
      <w:r>
        <w:rPr>
          <w:rStyle w:val="Style3"/>
          <w:rFonts w:cs="Arial"/>
        </w:rPr>
        <w:t>Funding for this measure will:</w:t>
      </w:r>
    </w:p>
    <w:p w14:paraId="5E10BC05" w14:textId="7AE38615" w:rsidR="004F5343" w:rsidRDefault="000E4892" w:rsidP="004F5343">
      <w:pPr>
        <w:pStyle w:val="ListParagraph"/>
        <w:numPr>
          <w:ilvl w:val="0"/>
          <w:numId w:val="24"/>
        </w:numPr>
        <w:rPr>
          <w:rStyle w:val="Style3"/>
          <w:rFonts w:cs="Arial"/>
        </w:rPr>
      </w:pPr>
      <w:r>
        <w:rPr>
          <w:rStyle w:val="Style3"/>
          <w:rFonts w:cs="Arial"/>
        </w:rPr>
        <w:t xml:space="preserve">introduce annual </w:t>
      </w:r>
      <w:r w:rsidR="004F5343">
        <w:rPr>
          <w:rStyle w:val="Style3"/>
          <w:rFonts w:cs="Arial"/>
        </w:rPr>
        <w:t>i</w:t>
      </w:r>
      <w:r w:rsidR="004F5343" w:rsidRPr="009B465C">
        <w:rPr>
          <w:rStyle w:val="Style3"/>
          <w:rFonts w:cs="Arial"/>
        </w:rPr>
        <w:t>ndex</w:t>
      </w:r>
      <w:r>
        <w:rPr>
          <w:rStyle w:val="Style3"/>
          <w:rFonts w:cs="Arial"/>
        </w:rPr>
        <w:t>ation of Medicare Benefit Schedule (MBS) amounts for</w:t>
      </w:r>
      <w:r w:rsidR="004F5343" w:rsidRPr="009B465C">
        <w:rPr>
          <w:rStyle w:val="Style3"/>
          <w:rFonts w:cs="Arial"/>
        </w:rPr>
        <w:t xml:space="preserve"> nuclear medicine imaging services</w:t>
      </w:r>
      <w:r>
        <w:rPr>
          <w:rStyle w:val="Style3"/>
          <w:rFonts w:cs="Arial"/>
        </w:rPr>
        <w:t xml:space="preserve">, </w:t>
      </w:r>
      <w:r w:rsidR="004F5343" w:rsidRPr="009B465C">
        <w:rPr>
          <w:rStyle w:val="Style3"/>
          <w:rFonts w:cs="Arial"/>
        </w:rPr>
        <w:t>align</w:t>
      </w:r>
      <w:r>
        <w:rPr>
          <w:rStyle w:val="Style3"/>
          <w:rFonts w:cs="Arial"/>
        </w:rPr>
        <w:t>ing</w:t>
      </w:r>
      <w:r w:rsidR="004F5343" w:rsidRPr="009B465C">
        <w:rPr>
          <w:rStyle w:val="Style3"/>
          <w:rFonts w:cs="Arial"/>
        </w:rPr>
        <w:t xml:space="preserve"> the</w:t>
      </w:r>
      <w:r>
        <w:rPr>
          <w:rStyle w:val="Style3"/>
          <w:rFonts w:cs="Arial"/>
        </w:rPr>
        <w:t xml:space="preserve">m </w:t>
      </w:r>
      <w:r w:rsidR="004F5343" w:rsidRPr="009B465C">
        <w:rPr>
          <w:rStyle w:val="Style3"/>
          <w:rFonts w:cs="Arial"/>
        </w:rPr>
        <w:t>with all other diagnostic imaging services</w:t>
      </w:r>
    </w:p>
    <w:p w14:paraId="076BF186" w14:textId="31C92A74" w:rsidR="006B29C7" w:rsidRDefault="004F5343" w:rsidP="000C4F82">
      <w:pPr>
        <w:pStyle w:val="ListParagraph"/>
        <w:numPr>
          <w:ilvl w:val="0"/>
          <w:numId w:val="24"/>
        </w:numPr>
        <w:rPr>
          <w:rStyle w:val="Style3"/>
          <w:rFonts w:cs="Arial"/>
        </w:rPr>
      </w:pPr>
      <w:r>
        <w:rPr>
          <w:rStyle w:val="Style3"/>
          <w:rFonts w:cs="Arial"/>
        </w:rPr>
        <w:t>r</w:t>
      </w:r>
      <w:r w:rsidRPr="009A1255">
        <w:rPr>
          <w:rStyle w:val="Style3"/>
          <w:rFonts w:cs="Arial"/>
        </w:rPr>
        <w:t>emove the current</w:t>
      </w:r>
      <w:r w:rsidR="006B29C7">
        <w:rPr>
          <w:rStyle w:val="Style3"/>
          <w:rFonts w:cs="Arial"/>
        </w:rPr>
        <w:t xml:space="preserve"> magnetic resonance imaging (</w:t>
      </w:r>
      <w:r w:rsidRPr="009A1255">
        <w:rPr>
          <w:rStyle w:val="Style3"/>
          <w:rFonts w:cs="Arial"/>
        </w:rPr>
        <w:t>MRI</w:t>
      </w:r>
      <w:r w:rsidR="006B29C7">
        <w:rPr>
          <w:rStyle w:val="Style3"/>
          <w:rFonts w:cs="Arial"/>
        </w:rPr>
        <w:t>)</w:t>
      </w:r>
      <w:r w:rsidRPr="009A1255">
        <w:rPr>
          <w:rStyle w:val="Style3"/>
          <w:rFonts w:cs="Arial"/>
        </w:rPr>
        <w:t xml:space="preserve"> equipment eligibility </w:t>
      </w:r>
      <w:r>
        <w:rPr>
          <w:rStyle w:val="Style3"/>
          <w:rFonts w:cs="Arial"/>
        </w:rPr>
        <w:t xml:space="preserve">requirements </w:t>
      </w:r>
      <w:r w:rsidRPr="009A1255">
        <w:rPr>
          <w:rStyle w:val="Style3"/>
          <w:rFonts w:cs="Arial"/>
        </w:rPr>
        <w:t>in the Diagnostic Imaging Services Table</w:t>
      </w:r>
      <w:r>
        <w:rPr>
          <w:rStyle w:val="Style3"/>
          <w:rFonts w:cs="Arial"/>
        </w:rPr>
        <w:t>.</w:t>
      </w:r>
    </w:p>
    <w:p w14:paraId="605A3515" w14:textId="1C43FBAE" w:rsidR="001D6030" w:rsidRPr="001D6030" w:rsidRDefault="001D6030" w:rsidP="001D6030">
      <w:pPr>
        <w:rPr>
          <w:rFonts w:ascii="Arial" w:hAnsi="Arial" w:cs="Arial"/>
        </w:rPr>
      </w:pPr>
    </w:p>
    <w:p w14:paraId="23522240" w14:textId="0EAB83D7" w:rsidR="0095287D" w:rsidRPr="0095287D" w:rsidRDefault="006B29C7" w:rsidP="0095287D">
      <w:pPr>
        <w:pStyle w:val="DHSBodytext"/>
        <w:rPr>
          <w:rStyle w:val="Style3"/>
        </w:rPr>
      </w:pPr>
      <w:r w:rsidRPr="00497E56">
        <w:t xml:space="preserve">This measure </w:t>
      </w:r>
      <w:r>
        <w:t>also lists new and amended services on the</w:t>
      </w:r>
      <w:r w:rsidR="000E4892">
        <w:t xml:space="preserve"> </w:t>
      </w:r>
      <w:r>
        <w:t>MBS.</w:t>
      </w:r>
    </w:p>
    <w:p w14:paraId="5139FB46" w14:textId="67CBB133" w:rsidR="004F5343" w:rsidRPr="009B465C" w:rsidRDefault="004F5343" w:rsidP="00870EDE">
      <w:pPr>
        <w:pStyle w:val="DHSHeadinglevel4"/>
        <w:rPr>
          <w:rStyle w:val="Style3"/>
          <w:b w:val="0"/>
          <w:bCs w:val="0"/>
        </w:rPr>
      </w:pPr>
      <w:r w:rsidRPr="009B465C">
        <w:rPr>
          <w:rStyle w:val="Style3"/>
        </w:rPr>
        <w:t>Indexation of nuclear medicine</w:t>
      </w:r>
    </w:p>
    <w:p w14:paraId="413B775E" w14:textId="401C5E20" w:rsidR="00D3339D" w:rsidRDefault="004F5343" w:rsidP="004F5343">
      <w:pPr>
        <w:rPr>
          <w:rStyle w:val="Style3"/>
        </w:rPr>
      </w:pPr>
      <w:r w:rsidRPr="00241EFE">
        <w:rPr>
          <w:rStyle w:val="Style3"/>
        </w:rPr>
        <w:t xml:space="preserve">Nuclear medicine is the only diagnostic imaging modality for which annual </w:t>
      </w:r>
      <w:r w:rsidR="002E6109">
        <w:rPr>
          <w:rStyle w:val="Style3"/>
        </w:rPr>
        <w:t>MBS</w:t>
      </w:r>
      <w:r w:rsidR="002E6109" w:rsidRPr="00241EFE">
        <w:rPr>
          <w:rStyle w:val="Style3"/>
        </w:rPr>
        <w:t xml:space="preserve"> </w:t>
      </w:r>
      <w:r w:rsidRPr="00241EFE">
        <w:rPr>
          <w:rStyle w:val="Style3"/>
        </w:rPr>
        <w:t>index</w:t>
      </w:r>
      <w:r>
        <w:rPr>
          <w:rStyle w:val="Style3"/>
        </w:rPr>
        <w:t>a</w:t>
      </w:r>
      <w:r w:rsidRPr="00241EFE">
        <w:rPr>
          <w:rStyle w:val="Style3"/>
        </w:rPr>
        <w:t xml:space="preserve">tion </w:t>
      </w:r>
      <w:r w:rsidR="002E6109">
        <w:rPr>
          <w:rStyle w:val="Style3"/>
        </w:rPr>
        <w:t>isn’t in place</w:t>
      </w:r>
      <w:r w:rsidRPr="00241EFE">
        <w:rPr>
          <w:rStyle w:val="Style3"/>
        </w:rPr>
        <w:t xml:space="preserve">. </w:t>
      </w:r>
      <w:r>
        <w:rPr>
          <w:rStyle w:val="Style3"/>
        </w:rPr>
        <w:t xml:space="preserve">This measure will </w:t>
      </w:r>
      <w:r w:rsidRPr="00241EFE">
        <w:rPr>
          <w:rStyle w:val="Style3"/>
        </w:rPr>
        <w:t>introdu</w:t>
      </w:r>
      <w:r>
        <w:rPr>
          <w:rStyle w:val="Style3"/>
        </w:rPr>
        <w:t>ce</w:t>
      </w:r>
      <w:r w:rsidRPr="00241EFE">
        <w:rPr>
          <w:rStyle w:val="Style3"/>
        </w:rPr>
        <w:t xml:space="preserve"> indexation of nuclear medicine imaging services</w:t>
      </w:r>
      <w:r>
        <w:rPr>
          <w:rStyle w:val="Style3"/>
        </w:rPr>
        <w:t xml:space="preserve">. This </w:t>
      </w:r>
      <w:r w:rsidR="00AF3715">
        <w:rPr>
          <w:rStyle w:val="Style3"/>
        </w:rPr>
        <w:t>is</w:t>
      </w:r>
      <w:r w:rsidRPr="00241EFE">
        <w:rPr>
          <w:rStyle w:val="Style3"/>
        </w:rPr>
        <w:t xml:space="preserve"> consistent with </w:t>
      </w:r>
      <w:r w:rsidR="00D3339D">
        <w:rPr>
          <w:rStyle w:val="Style3"/>
        </w:rPr>
        <w:t>the g</w:t>
      </w:r>
      <w:r w:rsidR="00D3339D" w:rsidRPr="00241EFE">
        <w:rPr>
          <w:rStyle w:val="Style3"/>
        </w:rPr>
        <w:t>overnment</w:t>
      </w:r>
      <w:r w:rsidR="00D3339D">
        <w:rPr>
          <w:rStyle w:val="Style3"/>
        </w:rPr>
        <w:t>’s</w:t>
      </w:r>
      <w:r w:rsidR="00D3339D" w:rsidRPr="00241EFE">
        <w:rPr>
          <w:rStyle w:val="Style3"/>
        </w:rPr>
        <w:t xml:space="preserve"> </w:t>
      </w:r>
      <w:r w:rsidRPr="00241EFE">
        <w:rPr>
          <w:rStyle w:val="Style3"/>
        </w:rPr>
        <w:t>commitment to</w:t>
      </w:r>
      <w:r w:rsidR="00D3339D">
        <w:rPr>
          <w:rStyle w:val="Style3"/>
        </w:rPr>
        <w:t>:</w:t>
      </w:r>
    </w:p>
    <w:p w14:paraId="794F658C" w14:textId="4AC44696" w:rsidR="00D3339D" w:rsidRDefault="004F5343" w:rsidP="00D3339D">
      <w:pPr>
        <w:pStyle w:val="ListParagraph"/>
        <w:numPr>
          <w:ilvl w:val="0"/>
          <w:numId w:val="28"/>
        </w:numPr>
        <w:rPr>
          <w:rStyle w:val="Style3"/>
        </w:rPr>
      </w:pPr>
      <w:r w:rsidRPr="00241EFE">
        <w:rPr>
          <w:rStyle w:val="Style3"/>
        </w:rPr>
        <w:t>increase affordability and access of Medicare</w:t>
      </w:r>
    </w:p>
    <w:p w14:paraId="3869934F" w14:textId="19F579D3" w:rsidR="004F5343" w:rsidRPr="00241EFE" w:rsidRDefault="004F5343" w:rsidP="00991884">
      <w:pPr>
        <w:pStyle w:val="ListParagraph"/>
        <w:numPr>
          <w:ilvl w:val="0"/>
          <w:numId w:val="28"/>
        </w:numPr>
        <w:rPr>
          <w:rStyle w:val="Style3"/>
        </w:rPr>
      </w:pPr>
      <w:r w:rsidRPr="00241EFE">
        <w:rPr>
          <w:rStyle w:val="Style3"/>
        </w:rPr>
        <w:t>better support patients with complex illness.</w:t>
      </w:r>
    </w:p>
    <w:p w14:paraId="4545003C" w14:textId="64ED75C4" w:rsidR="004F5343" w:rsidRDefault="004F5343" w:rsidP="004F5343">
      <w:pPr>
        <w:rPr>
          <w:rStyle w:val="Style3"/>
          <w:rFonts w:cs="Arial"/>
        </w:rPr>
      </w:pPr>
    </w:p>
    <w:p w14:paraId="05E0463C" w14:textId="20F8AAA6" w:rsidR="004F5343" w:rsidRDefault="004F5343" w:rsidP="004F5343">
      <w:pPr>
        <w:rPr>
          <w:rStyle w:val="Style3"/>
          <w:rFonts w:cs="Arial"/>
        </w:rPr>
      </w:pPr>
      <w:r>
        <w:rPr>
          <w:rStyle w:val="Style3"/>
          <w:rFonts w:cs="Arial"/>
        </w:rPr>
        <w:t>This will be introduced in 2 stages</w:t>
      </w:r>
      <w:r w:rsidR="00AF3715">
        <w:rPr>
          <w:rStyle w:val="Style3"/>
          <w:rFonts w:cs="Arial"/>
        </w:rPr>
        <w:t>:</w:t>
      </w:r>
    </w:p>
    <w:p w14:paraId="130F7F9A" w14:textId="34F8EFC4" w:rsidR="004F5343" w:rsidRPr="009B10C5" w:rsidRDefault="004F5343" w:rsidP="00991884">
      <w:pPr>
        <w:pStyle w:val="ListParagraph"/>
        <w:numPr>
          <w:ilvl w:val="0"/>
          <w:numId w:val="26"/>
        </w:numPr>
        <w:rPr>
          <w:rStyle w:val="Style3"/>
          <w:rFonts w:cs="Arial"/>
        </w:rPr>
      </w:pPr>
      <w:r w:rsidRPr="008D2BB5">
        <w:rPr>
          <w:rStyle w:val="Style3"/>
          <w:rFonts w:cs="Arial"/>
        </w:rPr>
        <w:t>In stage 1, all non</w:t>
      </w:r>
      <w:r w:rsidR="00AF3715">
        <w:rPr>
          <w:rStyle w:val="Style3"/>
          <w:rFonts w:cs="Arial"/>
        </w:rPr>
        <w:t>-positron emission tomography (</w:t>
      </w:r>
      <w:r w:rsidRPr="008D2BB5">
        <w:rPr>
          <w:rStyle w:val="Style3"/>
          <w:rFonts w:cs="Arial"/>
        </w:rPr>
        <w:t>PET</w:t>
      </w:r>
      <w:r w:rsidR="00AF3715">
        <w:rPr>
          <w:rStyle w:val="Style3"/>
          <w:rFonts w:cs="Arial"/>
        </w:rPr>
        <w:t>)</w:t>
      </w:r>
      <w:r w:rsidRPr="008D2BB5">
        <w:rPr>
          <w:rStyle w:val="Style3"/>
          <w:rFonts w:cs="Arial"/>
        </w:rPr>
        <w:t xml:space="preserve"> nuclear imaging services will have an initial one-off </w:t>
      </w:r>
      <w:r w:rsidR="002E6109">
        <w:rPr>
          <w:rStyle w:val="Style3"/>
          <w:rFonts w:cs="Arial"/>
        </w:rPr>
        <w:t>benefit</w:t>
      </w:r>
      <w:r w:rsidR="002E6109" w:rsidRPr="008D2BB5">
        <w:rPr>
          <w:rStyle w:val="Style3"/>
          <w:rFonts w:cs="Arial"/>
        </w:rPr>
        <w:t xml:space="preserve"> </w:t>
      </w:r>
      <w:r w:rsidRPr="008D2BB5">
        <w:rPr>
          <w:rStyle w:val="Style3"/>
          <w:rFonts w:cs="Arial"/>
        </w:rPr>
        <w:t>increase of 3.5% from 1 November 2024. This will be followed by the reintroduction of annual indexation from 1 July 2025.</w:t>
      </w:r>
    </w:p>
    <w:p w14:paraId="6FD733E4" w14:textId="70BF5CED" w:rsidR="004F5343" w:rsidRPr="001D6030" w:rsidRDefault="004F5343" w:rsidP="004F5343">
      <w:pPr>
        <w:pStyle w:val="ListParagraph"/>
        <w:numPr>
          <w:ilvl w:val="0"/>
          <w:numId w:val="26"/>
        </w:numPr>
        <w:rPr>
          <w:rStyle w:val="Style3"/>
          <w:rFonts w:cs="Arial"/>
        </w:rPr>
      </w:pPr>
      <w:r w:rsidRPr="009B10C5">
        <w:rPr>
          <w:rStyle w:val="Style3"/>
          <w:rFonts w:cs="Arial"/>
        </w:rPr>
        <w:t>In stage 2, the remaining nuclear medicine imaging services (PET and Adjun</w:t>
      </w:r>
      <w:r w:rsidRPr="000E4892">
        <w:rPr>
          <w:rStyle w:val="Style3"/>
          <w:rFonts w:cs="Arial"/>
        </w:rPr>
        <w:t>ctive) will be indexed from 1 July 2027.</w:t>
      </w:r>
    </w:p>
    <w:p w14:paraId="3650CFC3" w14:textId="0C59F16F" w:rsidR="004F5343" w:rsidRPr="00870EDE" w:rsidRDefault="004F5343" w:rsidP="00870EDE">
      <w:pPr>
        <w:pStyle w:val="DHSHeadinglevel4"/>
        <w:rPr>
          <w:rStyle w:val="Style3"/>
        </w:rPr>
      </w:pPr>
      <w:r w:rsidRPr="00F92905">
        <w:rPr>
          <w:rStyle w:val="Style3"/>
        </w:rPr>
        <w:t>Removing MRI equipment eligibility requirements</w:t>
      </w:r>
    </w:p>
    <w:p w14:paraId="3FFD872C" w14:textId="6DA4EBCE" w:rsidR="00AF3715" w:rsidRDefault="004F5343" w:rsidP="004F5343">
      <w:pPr>
        <w:rPr>
          <w:rStyle w:val="Style3"/>
          <w:rFonts w:cs="Arial"/>
        </w:rPr>
      </w:pPr>
      <w:r>
        <w:rPr>
          <w:rStyle w:val="Style3"/>
          <w:rFonts w:cs="Arial"/>
        </w:rPr>
        <w:t xml:space="preserve">This measure will </w:t>
      </w:r>
      <w:r w:rsidRPr="009A1255">
        <w:rPr>
          <w:rStyle w:val="Style3"/>
          <w:rFonts w:cs="Arial"/>
        </w:rPr>
        <w:t>remove the current MRI equipment eligibility requirements (Modified Monash 1 areas) in the Diagnostic Imaging Services Table</w:t>
      </w:r>
      <w:r>
        <w:rPr>
          <w:rStyle w:val="Style3"/>
          <w:rFonts w:cs="Arial"/>
        </w:rPr>
        <w:t>.</w:t>
      </w:r>
    </w:p>
    <w:p w14:paraId="789CB23C" w14:textId="77777777" w:rsidR="00AF3715" w:rsidRDefault="00AF3715" w:rsidP="004F5343">
      <w:pPr>
        <w:rPr>
          <w:rStyle w:val="Style3"/>
          <w:rFonts w:cs="Arial"/>
        </w:rPr>
      </w:pPr>
    </w:p>
    <w:p w14:paraId="757B2BBC" w14:textId="7EB75B06" w:rsidR="004F5343" w:rsidRPr="009A1255" w:rsidRDefault="004F5343" w:rsidP="004F5343">
      <w:pPr>
        <w:rPr>
          <w:rStyle w:val="Style3"/>
          <w:rFonts w:cs="Arial"/>
        </w:rPr>
      </w:pPr>
      <w:r>
        <w:rPr>
          <w:rStyle w:val="Style3"/>
          <w:rFonts w:cs="Arial"/>
        </w:rPr>
        <w:t>This will be done</w:t>
      </w:r>
      <w:r w:rsidRPr="009A1255">
        <w:rPr>
          <w:rStyle w:val="Style3"/>
          <w:rFonts w:cs="Arial"/>
        </w:rPr>
        <w:t xml:space="preserve"> in </w:t>
      </w:r>
      <w:r>
        <w:rPr>
          <w:rStyle w:val="Style3"/>
          <w:rFonts w:cs="Arial"/>
        </w:rPr>
        <w:t>2</w:t>
      </w:r>
      <w:r w:rsidRPr="009A1255">
        <w:rPr>
          <w:rStyle w:val="Style3"/>
          <w:rFonts w:cs="Arial"/>
        </w:rPr>
        <w:t xml:space="preserve"> stages</w:t>
      </w:r>
      <w:r w:rsidR="00AF3715">
        <w:rPr>
          <w:rStyle w:val="Style3"/>
          <w:rFonts w:cs="Arial"/>
        </w:rPr>
        <w:t>:</w:t>
      </w:r>
    </w:p>
    <w:p w14:paraId="1149D0F9" w14:textId="6200B1FD" w:rsidR="004F5343" w:rsidRDefault="004F5343" w:rsidP="000C4F82">
      <w:pPr>
        <w:pStyle w:val="ListParagraph"/>
        <w:numPr>
          <w:ilvl w:val="0"/>
          <w:numId w:val="27"/>
        </w:numPr>
        <w:rPr>
          <w:rStyle w:val="Style3"/>
          <w:rFonts w:cs="Arial"/>
        </w:rPr>
      </w:pPr>
      <w:r w:rsidRPr="000C4F82">
        <w:rPr>
          <w:rStyle w:val="Style3"/>
          <w:rFonts w:cs="Arial"/>
        </w:rPr>
        <w:t>Stage 1 starts from 1 July 2025. MRI licencing arrangements will change</w:t>
      </w:r>
      <w:r w:rsidR="002E6109">
        <w:rPr>
          <w:rStyle w:val="Style3"/>
          <w:rFonts w:cs="Arial"/>
        </w:rPr>
        <w:t>,</w:t>
      </w:r>
      <w:r w:rsidRPr="000C4F82">
        <w:rPr>
          <w:rStyle w:val="Style3"/>
          <w:rFonts w:cs="Arial"/>
        </w:rPr>
        <w:t xml:space="preserve"> so any registered comprehensive practice that holds a current licence </w:t>
      </w:r>
      <w:r w:rsidR="002E6109">
        <w:rPr>
          <w:rStyle w:val="Style3"/>
          <w:rFonts w:cs="Arial"/>
        </w:rPr>
        <w:t xml:space="preserve">will </w:t>
      </w:r>
      <w:r w:rsidRPr="000C4F82">
        <w:rPr>
          <w:rStyle w:val="Style3"/>
          <w:rFonts w:cs="Arial"/>
        </w:rPr>
        <w:t xml:space="preserve">get a ‘practice-based’ licence. This provides full Medicare eligibility to all MRI equipment located at the practice and listed on the Diagnostic Imaging Register. Practices without an existing MRI licence will need to wait until the next </w:t>
      </w:r>
      <w:r w:rsidR="002E6109">
        <w:rPr>
          <w:rStyle w:val="Style3"/>
          <w:rFonts w:cs="Arial"/>
        </w:rPr>
        <w:t>stage</w:t>
      </w:r>
      <w:r w:rsidRPr="000C4F82">
        <w:rPr>
          <w:rStyle w:val="Style3"/>
          <w:rFonts w:cs="Arial"/>
        </w:rPr>
        <w:t>.</w:t>
      </w:r>
    </w:p>
    <w:p w14:paraId="50E98E99" w14:textId="53188404" w:rsidR="004F5343" w:rsidRPr="001D6030" w:rsidRDefault="004F5343" w:rsidP="00870EDE">
      <w:pPr>
        <w:pStyle w:val="ListParagraph"/>
        <w:numPr>
          <w:ilvl w:val="0"/>
          <w:numId w:val="27"/>
        </w:numPr>
        <w:rPr>
          <w:rFonts w:ascii="Arial" w:hAnsi="Arial" w:cs="Arial"/>
        </w:rPr>
      </w:pPr>
      <w:r>
        <w:rPr>
          <w:rStyle w:val="Style3"/>
          <w:rFonts w:cs="Arial"/>
        </w:rPr>
        <w:t>S</w:t>
      </w:r>
      <w:r w:rsidRPr="00CE318C">
        <w:rPr>
          <w:rStyle w:val="Style3"/>
          <w:rFonts w:cs="Arial"/>
        </w:rPr>
        <w:t xml:space="preserve">tage </w:t>
      </w:r>
      <w:r>
        <w:rPr>
          <w:rStyle w:val="Style3"/>
          <w:rFonts w:cs="Arial"/>
        </w:rPr>
        <w:t>2 starts f</w:t>
      </w:r>
      <w:r w:rsidRPr="00CE318C">
        <w:rPr>
          <w:rStyle w:val="Style3"/>
          <w:rFonts w:cs="Arial"/>
        </w:rPr>
        <w:t>rom 1 July 2027</w:t>
      </w:r>
      <w:r>
        <w:rPr>
          <w:rStyle w:val="Style3"/>
          <w:rFonts w:cs="Arial"/>
        </w:rPr>
        <w:t>.</w:t>
      </w:r>
      <w:r w:rsidRPr="00CE318C">
        <w:rPr>
          <w:rStyle w:val="Style3"/>
          <w:rFonts w:cs="Arial"/>
        </w:rPr>
        <w:t xml:space="preserve"> </w:t>
      </w:r>
      <w:r>
        <w:rPr>
          <w:rStyle w:val="Style3"/>
          <w:rFonts w:cs="Arial"/>
        </w:rPr>
        <w:t>A</w:t>
      </w:r>
      <w:r w:rsidRPr="00CE318C">
        <w:rPr>
          <w:rStyle w:val="Style3"/>
          <w:rFonts w:cs="Arial"/>
        </w:rPr>
        <w:t>ll registered comprehensive diagnostic imaging practices will have their ineligible MRI machines upgraded to access Medicare funded MRI services.</w:t>
      </w:r>
    </w:p>
    <w:p w14:paraId="564B4ACD" w14:textId="57256EC6" w:rsidR="006B29C7" w:rsidRPr="00991884" w:rsidRDefault="006B29C7" w:rsidP="00870EDE">
      <w:pPr>
        <w:pStyle w:val="DHSHeadinglevel4"/>
        <w:rPr>
          <w:rStyle w:val="Style3"/>
          <w:b w:val="0"/>
          <w:bCs w:val="0"/>
        </w:rPr>
      </w:pPr>
      <w:r w:rsidRPr="00991884">
        <w:rPr>
          <w:rStyle w:val="Style3"/>
        </w:rPr>
        <w:lastRenderedPageBreak/>
        <w:t>New and amended MBS listings</w:t>
      </w:r>
    </w:p>
    <w:p w14:paraId="161FA453" w14:textId="0DA13AF0" w:rsidR="007E482B" w:rsidRDefault="007E482B" w:rsidP="007E482B">
      <w:pPr>
        <w:pStyle w:val="DHSBodytext"/>
      </w:pPr>
      <w:r>
        <w:t>From 1 July 2024</w:t>
      </w:r>
      <w:r w:rsidR="004F0859">
        <w:t>,</w:t>
      </w:r>
      <w:r>
        <w:t xml:space="preserve"> new and amended</w:t>
      </w:r>
      <w:r w:rsidR="00AF3715">
        <w:t xml:space="preserve"> </w:t>
      </w:r>
      <w:r w:rsidR="006022A5">
        <w:t>listings</w:t>
      </w:r>
      <w:r>
        <w:t xml:space="preserve"> include:</w:t>
      </w:r>
    </w:p>
    <w:p w14:paraId="686537F4" w14:textId="69620A2B" w:rsidR="009E64A9" w:rsidRDefault="004F0859" w:rsidP="009E64A9">
      <w:pPr>
        <w:pStyle w:val="DHSBodytext"/>
        <w:numPr>
          <w:ilvl w:val="0"/>
          <w:numId w:val="17"/>
        </w:numPr>
        <w:rPr>
          <w:bCs/>
        </w:rPr>
      </w:pPr>
      <w:r>
        <w:rPr>
          <w:bCs/>
        </w:rPr>
        <w:t xml:space="preserve">Introduce </w:t>
      </w:r>
      <w:r w:rsidR="009E64A9">
        <w:rPr>
          <w:bCs/>
        </w:rPr>
        <w:t xml:space="preserve">permanent arrangements for testing of COVID-19 and other respiratory pathogens. These arrangements </w:t>
      </w:r>
      <w:r w:rsidR="004A24AA">
        <w:rPr>
          <w:bCs/>
        </w:rPr>
        <w:t>include</w:t>
      </w:r>
      <w:r w:rsidR="009E64A9">
        <w:rPr>
          <w:bCs/>
        </w:rPr>
        <w:t xml:space="preserve"> </w:t>
      </w:r>
      <w:r w:rsidR="004A24AA">
        <w:rPr>
          <w:bCs/>
        </w:rPr>
        <w:t xml:space="preserve">2 </w:t>
      </w:r>
      <w:r w:rsidR="009E64A9">
        <w:rPr>
          <w:bCs/>
        </w:rPr>
        <w:t>new Medicare items for simultaneous testing for either 4 respiratory pathogens, or 5 or more respiratory pathogens which may include COVID-19.</w:t>
      </w:r>
    </w:p>
    <w:p w14:paraId="4AA28728" w14:textId="7D5EBE02" w:rsidR="004A24AA" w:rsidRPr="004F5343" w:rsidRDefault="004F0859" w:rsidP="007E482B">
      <w:pPr>
        <w:pStyle w:val="DHSBodytext"/>
        <w:numPr>
          <w:ilvl w:val="0"/>
          <w:numId w:val="17"/>
        </w:numPr>
        <w:rPr>
          <w:b/>
          <w:bCs/>
        </w:rPr>
      </w:pPr>
      <w:r>
        <w:t>M</w:t>
      </w:r>
      <w:r w:rsidR="00EB45BA">
        <w:t>ake temporary blood</w:t>
      </w:r>
      <w:r w:rsidR="002E6109">
        <w:t>-</w:t>
      </w:r>
      <w:r w:rsidR="00EB45BA">
        <w:t>borne virus and sexual and reproductive (BBV</w:t>
      </w:r>
      <w:r w:rsidR="00697802">
        <w:t>S</w:t>
      </w:r>
      <w:r w:rsidR="00EB45BA">
        <w:t>R) telehealth MBS items permanent</w:t>
      </w:r>
      <w:r>
        <w:t>.</w:t>
      </w:r>
    </w:p>
    <w:p w14:paraId="56EFC5F0" w14:textId="255BB483" w:rsidR="00EB45BA" w:rsidRPr="00EB45BA" w:rsidRDefault="004F0859" w:rsidP="007E482B">
      <w:pPr>
        <w:pStyle w:val="DHSBodytext"/>
        <w:numPr>
          <w:ilvl w:val="0"/>
          <w:numId w:val="17"/>
        </w:numPr>
        <w:rPr>
          <w:b/>
          <w:bCs/>
        </w:rPr>
      </w:pPr>
      <w:r>
        <w:t>D</w:t>
      </w:r>
      <w:r w:rsidR="00EB45BA">
        <w:t>iscontinue the eligibility exemption for GP non-directive pregnancy counselling services</w:t>
      </w:r>
      <w:r>
        <w:t>.</w:t>
      </w:r>
    </w:p>
    <w:p w14:paraId="47897475" w14:textId="4A28C727" w:rsidR="00EB45BA" w:rsidRPr="0030145F" w:rsidRDefault="004F0859" w:rsidP="007E482B">
      <w:pPr>
        <w:pStyle w:val="DHSBodytext"/>
        <w:numPr>
          <w:ilvl w:val="0"/>
          <w:numId w:val="17"/>
        </w:numPr>
      </w:pPr>
      <w:r>
        <w:t>R</w:t>
      </w:r>
      <w:r w:rsidRPr="0030145F">
        <w:t xml:space="preserve">etain </w:t>
      </w:r>
      <w:r w:rsidR="0030145F" w:rsidRPr="0030145F">
        <w:t>exemptions to telehealth eligibility requirements for MBS GP mental health services</w:t>
      </w:r>
      <w:r>
        <w:t>.</w:t>
      </w:r>
    </w:p>
    <w:p w14:paraId="7F459866" w14:textId="0C49A263" w:rsidR="007E482B" w:rsidRPr="00E762BD" w:rsidRDefault="004F0859" w:rsidP="00E762BD">
      <w:pPr>
        <w:pStyle w:val="DHSBodytext"/>
        <w:numPr>
          <w:ilvl w:val="0"/>
          <w:numId w:val="17"/>
        </w:numPr>
      </w:pPr>
      <w:r>
        <w:t xml:space="preserve">Extend </w:t>
      </w:r>
      <w:r w:rsidR="00EF0DBC">
        <w:t xml:space="preserve">and increase </w:t>
      </w:r>
      <w:r w:rsidR="004A24AA">
        <w:t xml:space="preserve">2 </w:t>
      </w:r>
      <w:r w:rsidR="00C9025B" w:rsidRPr="00C9025B">
        <w:t>nuclear medicine items to continue to support the additional cost of radiopharmaceuticals thallium-201 and gallium-67</w:t>
      </w:r>
      <w:r w:rsidR="00E762BD">
        <w:t>.</w:t>
      </w:r>
    </w:p>
    <w:p w14:paraId="5B8BAFB1" w14:textId="41CFB2F7" w:rsidR="006279C8" w:rsidRDefault="0055054C" w:rsidP="00892DAE">
      <w:pPr>
        <w:pStyle w:val="DHSBodytext"/>
      </w:pPr>
      <w:r>
        <w:t xml:space="preserve">From 1 November 2024, new and amended </w:t>
      </w:r>
      <w:r w:rsidR="006022A5">
        <w:t>listings</w:t>
      </w:r>
      <w:r>
        <w:t xml:space="preserve"> include:</w:t>
      </w:r>
    </w:p>
    <w:p w14:paraId="18DFFC0F" w14:textId="2F7D7254" w:rsidR="0055054C" w:rsidRDefault="00333E29" w:rsidP="004B4CC6">
      <w:pPr>
        <w:pStyle w:val="DHSBodytext"/>
        <w:numPr>
          <w:ilvl w:val="0"/>
          <w:numId w:val="16"/>
        </w:numPr>
      </w:pPr>
      <w:r>
        <w:t xml:space="preserve">an </w:t>
      </w:r>
      <w:r w:rsidR="004A24AA">
        <w:t xml:space="preserve">amendment to </w:t>
      </w:r>
      <w:r w:rsidR="004B4CC6">
        <w:t>enable a cardiothoracic surgeon to provide a backup standby service during low and intermediate surgical risk Transcatheter Aortic Valve Implantation</w:t>
      </w:r>
      <w:r w:rsidR="00ED22D2">
        <w:t xml:space="preserve"> (TAVI)</w:t>
      </w:r>
      <w:r w:rsidR="004B4CC6">
        <w:t xml:space="preserve"> procedures performed by a non-cardiothoracic surgeon</w:t>
      </w:r>
    </w:p>
    <w:p w14:paraId="63D58E5C" w14:textId="60334060" w:rsidR="004B4CC6" w:rsidRDefault="00333E29" w:rsidP="004B4CC6">
      <w:pPr>
        <w:pStyle w:val="DHSBodytext"/>
        <w:numPr>
          <w:ilvl w:val="0"/>
          <w:numId w:val="16"/>
        </w:numPr>
      </w:pPr>
      <w:r>
        <w:t xml:space="preserve">a </w:t>
      </w:r>
      <w:r w:rsidR="00540DA6">
        <w:t>new item for Brain Natriuretic Peptide</w:t>
      </w:r>
      <w:r w:rsidR="00ED22D2">
        <w:t xml:space="preserve"> (BNP)</w:t>
      </w:r>
      <w:r w:rsidR="00540DA6">
        <w:t xml:space="preserve"> and N-Terminal-pro Brain Natriuretic Peptide</w:t>
      </w:r>
      <w:r w:rsidR="00ED22D2">
        <w:t xml:space="preserve"> (NT-proBNP)</w:t>
      </w:r>
      <w:r w:rsidR="00540DA6">
        <w:t xml:space="preserve"> laboratory testing to aid in the diagnosis of suspected heart failure in non-hospital settings</w:t>
      </w:r>
    </w:p>
    <w:p w14:paraId="12C34122" w14:textId="08A1C8C7" w:rsidR="00540DA6" w:rsidRDefault="00333E29" w:rsidP="00784DF7">
      <w:pPr>
        <w:pStyle w:val="DHSBodytext"/>
        <w:numPr>
          <w:ilvl w:val="0"/>
          <w:numId w:val="16"/>
        </w:numPr>
      </w:pPr>
      <w:r>
        <w:t xml:space="preserve">an </w:t>
      </w:r>
      <w:r w:rsidR="009E64A9">
        <w:t>increased</w:t>
      </w:r>
      <w:r w:rsidR="00540DA6">
        <w:t xml:space="preserve"> fee for </w:t>
      </w:r>
      <w:r w:rsidR="00ED22D2">
        <w:t>Rhesus D non-invasive prenatal testing (NIPT) of non-alloimmunised patients</w:t>
      </w:r>
      <w:r w:rsidR="004A24AA">
        <w:t xml:space="preserve"> and </w:t>
      </w:r>
      <w:r w:rsidR="00ED22D2">
        <w:t>amendment to include patients expecting more than one child</w:t>
      </w:r>
    </w:p>
    <w:p w14:paraId="67A6636E" w14:textId="51B7EFF0" w:rsidR="00ED22D2" w:rsidRDefault="00333E29" w:rsidP="004B4CC6">
      <w:pPr>
        <w:pStyle w:val="DHSBodytext"/>
        <w:numPr>
          <w:ilvl w:val="0"/>
          <w:numId w:val="16"/>
        </w:numPr>
      </w:pPr>
      <w:r>
        <w:t xml:space="preserve">an </w:t>
      </w:r>
      <w:r w:rsidR="00C86C85">
        <w:t xml:space="preserve">amendment for genetic testing for childhood hearing loss to allow patients with unilateral hearing loss to access </w:t>
      </w:r>
      <w:r w:rsidR="005E6AF5">
        <w:t>testing</w:t>
      </w:r>
    </w:p>
    <w:p w14:paraId="754167FF" w14:textId="7FE75E91" w:rsidR="0078756F" w:rsidRDefault="00333E29" w:rsidP="004F5343">
      <w:pPr>
        <w:pStyle w:val="DHSBodytext"/>
        <w:numPr>
          <w:ilvl w:val="0"/>
          <w:numId w:val="22"/>
        </w:numPr>
      </w:pPr>
      <w:r>
        <w:t xml:space="preserve">an </w:t>
      </w:r>
      <w:r w:rsidR="0078756F">
        <w:t>amend</w:t>
      </w:r>
      <w:r w:rsidR="009E64A9">
        <w:t>ment</w:t>
      </w:r>
      <w:r w:rsidR="0078756F">
        <w:t xml:space="preserve"> for reproductive carrier testing for cystic fibrosis, spinal muscular atrophy and fragile X syndrome</w:t>
      </w:r>
      <w:r w:rsidR="009E64A9">
        <w:t xml:space="preserve"> to clarify policy intent and mitigate inappropriate co-claiming</w:t>
      </w:r>
    </w:p>
    <w:p w14:paraId="693F9732" w14:textId="6A23E020" w:rsidR="000169FE" w:rsidRDefault="00333E29" w:rsidP="004B4CC6">
      <w:pPr>
        <w:pStyle w:val="DHSBodytext"/>
        <w:numPr>
          <w:ilvl w:val="0"/>
          <w:numId w:val="16"/>
        </w:numPr>
      </w:pPr>
      <w:r>
        <w:t xml:space="preserve">an </w:t>
      </w:r>
      <w:r w:rsidR="000169FE">
        <w:t>amendment for somatic gene panel testing for the diagnosis and classification of gliomas to clarify policy intent and remove specification of test methodology</w:t>
      </w:r>
    </w:p>
    <w:p w14:paraId="47985937" w14:textId="7D5A2AC6" w:rsidR="00B0655D" w:rsidRDefault="00333E29" w:rsidP="004B4CC6">
      <w:pPr>
        <w:pStyle w:val="DHSBodytext"/>
        <w:numPr>
          <w:ilvl w:val="0"/>
          <w:numId w:val="16"/>
        </w:numPr>
      </w:pPr>
      <w:r>
        <w:t xml:space="preserve">an </w:t>
      </w:r>
      <w:r w:rsidR="000169FE">
        <w:t>amendment of deletion testing of patients with chronic lympho</w:t>
      </w:r>
      <w:r w:rsidR="00B0655D">
        <w:t>c</w:t>
      </w:r>
      <w:r w:rsidR="000169FE">
        <w:t xml:space="preserve">ytic </w:t>
      </w:r>
      <w:r w:rsidR="00B0655D">
        <w:t>leukaemia (CLL) or small lymphocytic lymphoma (SLL) to allow for new test methodologies</w:t>
      </w:r>
    </w:p>
    <w:p w14:paraId="3AA37D14" w14:textId="0727F780" w:rsidR="00EE1518" w:rsidRDefault="00784DF7" w:rsidP="004B4CC6">
      <w:pPr>
        <w:pStyle w:val="DHSBodytext"/>
        <w:numPr>
          <w:ilvl w:val="0"/>
          <w:numId w:val="16"/>
        </w:numPr>
      </w:pPr>
      <w:r>
        <w:t xml:space="preserve">an </w:t>
      </w:r>
      <w:r w:rsidR="006E4139">
        <w:t>amendment</w:t>
      </w:r>
      <w:r w:rsidR="00EE1518">
        <w:t xml:space="preserve"> to clarify policy intent and specify the purposes of particular types of genetic testing for various neuromuscular conditions (NMDs)</w:t>
      </w:r>
    </w:p>
    <w:p w14:paraId="2D0249E6" w14:textId="1CBD53E8" w:rsidR="00EE1518" w:rsidRDefault="00333E29" w:rsidP="004B4CC6">
      <w:pPr>
        <w:pStyle w:val="DHSBodytext"/>
        <w:numPr>
          <w:ilvl w:val="0"/>
          <w:numId w:val="16"/>
        </w:numPr>
      </w:pPr>
      <w:r>
        <w:t xml:space="preserve">a </w:t>
      </w:r>
      <w:r w:rsidR="00EE1518">
        <w:t>new item for point</w:t>
      </w:r>
      <w:r w:rsidR="002E6109">
        <w:t>-</w:t>
      </w:r>
      <w:r w:rsidR="00EE1518">
        <w:t>of</w:t>
      </w:r>
      <w:r w:rsidR="002E6109">
        <w:t>-</w:t>
      </w:r>
      <w:r w:rsidR="00EE1518">
        <w:t xml:space="preserve">care testing for detection of neisseria gonorrhoea, chlamydia trachomatis and trichomonas vaginalis provided by providers located in remote and very remote </w:t>
      </w:r>
      <w:r w:rsidR="00EB425C">
        <w:t>communities</w:t>
      </w:r>
    </w:p>
    <w:p w14:paraId="4BD9CA08" w14:textId="44C4D626" w:rsidR="00EB425C" w:rsidRDefault="00333E29" w:rsidP="004B4CC6">
      <w:pPr>
        <w:pStyle w:val="DHSBodytext"/>
        <w:numPr>
          <w:ilvl w:val="0"/>
          <w:numId w:val="16"/>
        </w:numPr>
      </w:pPr>
      <w:r>
        <w:t xml:space="preserve">a </w:t>
      </w:r>
      <w:r w:rsidR="00EB425C">
        <w:t>new item for follow-up PET/</w:t>
      </w:r>
      <w:r w:rsidR="009C4CD0">
        <w:t>computed tomography (</w:t>
      </w:r>
      <w:r w:rsidR="00EB425C">
        <w:t>CT</w:t>
      </w:r>
      <w:r w:rsidR="009C4CD0">
        <w:t>)</w:t>
      </w:r>
      <w:r w:rsidR="00EB425C">
        <w:t xml:space="preserve"> imaging for the assessment of treatment response and recurrence for patients with eligible rare cancer types</w:t>
      </w:r>
    </w:p>
    <w:p w14:paraId="7D2867B3" w14:textId="26489B9D" w:rsidR="00D473EF" w:rsidRDefault="00333E29" w:rsidP="004B4CC6">
      <w:pPr>
        <w:pStyle w:val="DHSBodytext"/>
        <w:numPr>
          <w:ilvl w:val="0"/>
          <w:numId w:val="16"/>
        </w:numPr>
      </w:pPr>
      <w:r>
        <w:lastRenderedPageBreak/>
        <w:t xml:space="preserve">an </w:t>
      </w:r>
      <w:r w:rsidR="00D473EF">
        <w:t>amended MRI item to include its use for the restaging and follow up of rectal cancer</w:t>
      </w:r>
    </w:p>
    <w:p w14:paraId="121F3338" w14:textId="4A868F94" w:rsidR="00C32E54" w:rsidRDefault="00333E29" w:rsidP="004B4CC6">
      <w:pPr>
        <w:pStyle w:val="DHSBodytext"/>
        <w:numPr>
          <w:ilvl w:val="0"/>
          <w:numId w:val="16"/>
        </w:numPr>
      </w:pPr>
      <w:r>
        <w:t xml:space="preserve">an </w:t>
      </w:r>
      <w:r w:rsidR="00784DF7">
        <w:t>amendment</w:t>
      </w:r>
      <w:r w:rsidR="00C32E54">
        <w:t xml:space="preserve"> to allow </w:t>
      </w:r>
      <w:r w:rsidR="002A6539">
        <w:t xml:space="preserve">additional </w:t>
      </w:r>
      <w:r w:rsidR="00697802">
        <w:t xml:space="preserve">appropriately </w:t>
      </w:r>
      <w:r w:rsidR="002A6539">
        <w:t xml:space="preserve">trained </w:t>
      </w:r>
      <w:r w:rsidR="00697802">
        <w:t xml:space="preserve">specialists </w:t>
      </w:r>
      <w:r w:rsidR="00C32E54">
        <w:t>to provide vertebroplasty</w:t>
      </w:r>
    </w:p>
    <w:p w14:paraId="51FCA21E" w14:textId="77777777" w:rsidR="00050D07" w:rsidRDefault="00050D07" w:rsidP="004B4CC6">
      <w:pPr>
        <w:pStyle w:val="DHSBodytext"/>
        <w:numPr>
          <w:ilvl w:val="0"/>
          <w:numId w:val="16"/>
        </w:numPr>
      </w:pPr>
      <w:r>
        <w:t>minor updates to better support GP-led team care for patients with chronic conditions</w:t>
      </w:r>
    </w:p>
    <w:p w14:paraId="43367CF2" w14:textId="273F0DCA" w:rsidR="00983573" w:rsidRDefault="00333E29" w:rsidP="004B4CC6">
      <w:pPr>
        <w:pStyle w:val="DHSBodytext"/>
        <w:numPr>
          <w:ilvl w:val="0"/>
          <w:numId w:val="16"/>
        </w:numPr>
      </w:pPr>
      <w:r>
        <w:t xml:space="preserve">an </w:t>
      </w:r>
      <w:r w:rsidR="00784DF7">
        <w:t>amendment</w:t>
      </w:r>
      <w:r w:rsidR="00983573">
        <w:t xml:space="preserve"> </w:t>
      </w:r>
      <w:r w:rsidR="009C4CD0">
        <w:t xml:space="preserve">to </w:t>
      </w:r>
      <w:r w:rsidR="00983573">
        <w:t>provide operative treatment of all degrees of haemorrhoids</w:t>
      </w:r>
    </w:p>
    <w:p w14:paraId="1C642EA0" w14:textId="7D2E3A3F" w:rsidR="00357E2A" w:rsidRDefault="00357E2A" w:rsidP="004B4CC6">
      <w:pPr>
        <w:pStyle w:val="DHSBodytext"/>
        <w:numPr>
          <w:ilvl w:val="0"/>
          <w:numId w:val="16"/>
        </w:numPr>
      </w:pPr>
      <w:r>
        <w:t>expansion of ultrasound requesting rights for nurse practitioners</w:t>
      </w:r>
      <w:r w:rsidR="00C32E54">
        <w:t xml:space="preserve"> </w:t>
      </w:r>
      <w:r>
        <w:t>to support before</w:t>
      </w:r>
      <w:r w:rsidR="00333E29">
        <w:t>-</w:t>
      </w:r>
      <w:r>
        <w:t xml:space="preserve"> and after</w:t>
      </w:r>
      <w:r w:rsidR="00333E29">
        <w:t>-</w:t>
      </w:r>
      <w:r>
        <w:t>care for the MS-2 Step medical abortion program</w:t>
      </w:r>
    </w:p>
    <w:p w14:paraId="4A5D7A61" w14:textId="6E98314D" w:rsidR="00C86C85" w:rsidRDefault="009E5E8F" w:rsidP="004B4CC6">
      <w:pPr>
        <w:pStyle w:val="DHSBodytext"/>
        <w:numPr>
          <w:ilvl w:val="0"/>
          <w:numId w:val="16"/>
        </w:numPr>
      </w:pPr>
      <w:r>
        <w:t xml:space="preserve">temporarily instating </w:t>
      </w:r>
      <w:r w:rsidR="00814D56">
        <w:t xml:space="preserve">MBS items for </w:t>
      </w:r>
      <w:r w:rsidR="00B8497A">
        <w:t xml:space="preserve">telehealth </w:t>
      </w:r>
      <w:r w:rsidR="00814D56">
        <w:t xml:space="preserve">admission and other subsequent consultation </w:t>
      </w:r>
      <w:r w:rsidR="00B8497A">
        <w:t>by psychiatrists</w:t>
      </w:r>
      <w:r w:rsidR="00C32E54">
        <w:t xml:space="preserve"> </w:t>
      </w:r>
      <w:r w:rsidR="00814D56">
        <w:t>for inpatients in private hospitals</w:t>
      </w:r>
    </w:p>
    <w:p w14:paraId="7134318C" w14:textId="33021503" w:rsidR="00471494" w:rsidRDefault="00333E29" w:rsidP="001D6030">
      <w:pPr>
        <w:pStyle w:val="DHSBodytext"/>
        <w:numPr>
          <w:ilvl w:val="0"/>
          <w:numId w:val="16"/>
        </w:numPr>
      </w:pPr>
      <w:r>
        <w:t xml:space="preserve">an </w:t>
      </w:r>
      <w:r w:rsidR="00784DF7">
        <w:t>amendment</w:t>
      </w:r>
      <w:r w:rsidR="00300D4A">
        <w:t xml:space="preserve"> to allow for intraoperative cell salvage</w:t>
      </w:r>
      <w:r w:rsidR="00E762BD">
        <w:t>.</w:t>
      </w:r>
    </w:p>
    <w:p w14:paraId="7F5AFFF7" w14:textId="052E446E" w:rsidR="00471494" w:rsidRDefault="00333E29" w:rsidP="004F5343">
      <w:pPr>
        <w:pStyle w:val="DHSBodytext"/>
      </w:pPr>
      <w:bookmarkStart w:id="1" w:name="_Hlk165964327"/>
      <w:r>
        <w:t>E</w:t>
      </w:r>
      <w:r w:rsidR="00471494" w:rsidRPr="008D2CC9">
        <w:t>xisting COVID</w:t>
      </w:r>
      <w:r>
        <w:t>-19</w:t>
      </w:r>
      <w:r w:rsidR="00471494" w:rsidRPr="008D2CC9">
        <w:t xml:space="preserve"> vaccine support items </w:t>
      </w:r>
      <w:r w:rsidR="00784DF7">
        <w:t xml:space="preserve">will be extended </w:t>
      </w:r>
      <w:r w:rsidR="00471494" w:rsidRPr="008D2CC9">
        <w:t>to 30 June 2025</w:t>
      </w:r>
      <w:r w:rsidR="00784DF7">
        <w:t>. After this date they</w:t>
      </w:r>
      <w:r w:rsidR="00D3339D">
        <w:t>’</w:t>
      </w:r>
      <w:r w:rsidR="00471494" w:rsidRPr="008D2CC9">
        <w:t>ll cease</w:t>
      </w:r>
      <w:r w:rsidR="004C455E">
        <w:t xml:space="preserve"> </w:t>
      </w:r>
      <w:r w:rsidR="004C455E" w:rsidRPr="00BB39BF">
        <w:t>and be replaced by standard consultation items</w:t>
      </w:r>
      <w:r w:rsidR="00471494" w:rsidRPr="008D2CC9">
        <w:t xml:space="preserve">. The item descriptors and other regulatory requirements </w:t>
      </w:r>
      <w:r w:rsidR="00D3339D">
        <w:t xml:space="preserve">won’t change </w:t>
      </w:r>
      <w:r w:rsidR="00471494" w:rsidRPr="008D2CC9">
        <w:t>until 30 June 2025.</w:t>
      </w:r>
    </w:p>
    <w:p w14:paraId="72280D42" w14:textId="6E8D6950" w:rsidR="00784DF7" w:rsidRPr="001D6030" w:rsidRDefault="009B10C5" w:rsidP="00D159EC">
      <w:pPr>
        <w:pStyle w:val="DHSBodytext"/>
      </w:pPr>
      <w:r>
        <w:t>This measure will streamline and simplify the reporting and treatment of COVID-19 vaccines within the Australian Immunisation Register.</w:t>
      </w:r>
    </w:p>
    <w:bookmarkEnd w:id="1"/>
    <w:p w14:paraId="7447EF0D" w14:textId="2EDACB12" w:rsidR="006022A5" w:rsidRDefault="006022A5" w:rsidP="006022A5">
      <w:pPr>
        <w:pStyle w:val="DHSBodytext"/>
      </w:pPr>
      <w:r>
        <w:t>From 1 March 2025, new and amended listings include:</w:t>
      </w:r>
    </w:p>
    <w:p w14:paraId="06AACBEC" w14:textId="62866B41" w:rsidR="00262500" w:rsidRDefault="003B37F1" w:rsidP="003B37F1">
      <w:pPr>
        <w:pStyle w:val="DHSBodytext"/>
        <w:numPr>
          <w:ilvl w:val="0"/>
          <w:numId w:val="18"/>
        </w:numPr>
      </w:pPr>
      <w:r>
        <w:t>amendments</w:t>
      </w:r>
      <w:r w:rsidR="00262500">
        <w:t xml:space="preserve"> to </w:t>
      </w:r>
      <w:r>
        <w:t xml:space="preserve">antenatal and postnatal </w:t>
      </w:r>
      <w:r w:rsidR="00262500">
        <w:t>MBS items for participating midwives services as recommended by the MBS Review Taskforce</w:t>
      </w:r>
    </w:p>
    <w:p w14:paraId="615DDC7F" w14:textId="77777777" w:rsidR="004B4CC6" w:rsidRDefault="00743EF2" w:rsidP="00D159EC">
      <w:pPr>
        <w:pStyle w:val="DHSBodytext"/>
        <w:numPr>
          <w:ilvl w:val="0"/>
          <w:numId w:val="18"/>
        </w:numPr>
      </w:pPr>
      <w:r>
        <w:t>amendments to MBS items to support improved access to optometry services resulting from recommendations of the MBS Review Taskforce</w:t>
      </w:r>
    </w:p>
    <w:p w14:paraId="68E0E414" w14:textId="5D28A824" w:rsidR="005B5F4A" w:rsidRDefault="005B5F4A" w:rsidP="00D159EC">
      <w:pPr>
        <w:pStyle w:val="DHSBodytext"/>
        <w:numPr>
          <w:ilvl w:val="0"/>
          <w:numId w:val="18"/>
        </w:numPr>
      </w:pPr>
      <w:r>
        <w:t>an amendment to remove the 85</w:t>
      </w:r>
      <w:r w:rsidR="00784DF7">
        <w:t xml:space="preserve">% </w:t>
      </w:r>
      <w:r>
        <w:t>‘out of hospital’ rebate level, while retaining the 75</w:t>
      </w:r>
      <w:r w:rsidR="00784DF7">
        <w:t xml:space="preserve">% </w:t>
      </w:r>
      <w:r>
        <w:t xml:space="preserve">‘in hospital’ rebate level, </w:t>
      </w:r>
      <w:r w:rsidR="00697802">
        <w:t xml:space="preserve">for Category 3, 4 </w:t>
      </w:r>
      <w:r w:rsidR="00BF6A3F">
        <w:t xml:space="preserve">and </w:t>
      </w:r>
      <w:r w:rsidR="00697802">
        <w:t xml:space="preserve">5 – Therapeutic Procedures </w:t>
      </w:r>
      <w:r>
        <w:t>services</w:t>
      </w:r>
      <w:r w:rsidR="00DE5B39">
        <w:t xml:space="preserve"> that should only be provided in a hospital or equivalent environment</w:t>
      </w:r>
    </w:p>
    <w:p w14:paraId="4911DDE9" w14:textId="6C518D0A" w:rsidR="00471494" w:rsidRDefault="004E3B2B" w:rsidP="001D6030">
      <w:pPr>
        <w:pStyle w:val="DHSBodytext"/>
        <w:numPr>
          <w:ilvl w:val="0"/>
          <w:numId w:val="18"/>
        </w:numPr>
      </w:pPr>
      <w:r>
        <w:t>two new general attendance (Level E) items for nurse practitioners to deliver primary health care services</w:t>
      </w:r>
      <w:r w:rsidR="00E762BD">
        <w:t>.</w:t>
      </w:r>
    </w:p>
    <w:p w14:paraId="748156D9" w14:textId="69708105" w:rsidR="002C57F9" w:rsidRDefault="002C57F9" w:rsidP="002C57F9">
      <w:pPr>
        <w:pStyle w:val="DHSBodytext"/>
      </w:pPr>
      <w:r>
        <w:t>From 1 July 2025, new and amended listings include:</w:t>
      </w:r>
    </w:p>
    <w:p w14:paraId="20EDB33B" w14:textId="65835FB3" w:rsidR="00894179" w:rsidRDefault="002C57F9" w:rsidP="002C57F9">
      <w:pPr>
        <w:pStyle w:val="DHSBodytext"/>
        <w:numPr>
          <w:ilvl w:val="0"/>
          <w:numId w:val="18"/>
        </w:numPr>
      </w:pPr>
      <w:r>
        <w:t xml:space="preserve">amendments to MBS services for Ophthalmology </w:t>
      </w:r>
      <w:r w:rsidR="00AD1569">
        <w:t xml:space="preserve">as recommended by the MBS Review Taskforce </w:t>
      </w:r>
      <w:r>
        <w:t xml:space="preserve">and minor administrative changes for MBS items related to </w:t>
      </w:r>
      <w:r w:rsidR="00AD1569">
        <w:t xml:space="preserve">the </w:t>
      </w:r>
      <w:r>
        <w:t>eye and associated anatomy</w:t>
      </w:r>
    </w:p>
    <w:p w14:paraId="1B0C18BB" w14:textId="1968FDFA" w:rsidR="00A9634C" w:rsidRPr="008D2CC9" w:rsidRDefault="004B46C0" w:rsidP="00A9634C">
      <w:pPr>
        <w:pStyle w:val="DHSBodytext"/>
        <w:numPr>
          <w:ilvl w:val="0"/>
          <w:numId w:val="18"/>
        </w:numPr>
      </w:pPr>
      <w:r>
        <w:t>two new items for gynaecology consultations 45 minutes or longer</w:t>
      </w:r>
      <w:r w:rsidR="00333E29">
        <w:t>,</w:t>
      </w:r>
      <w:r>
        <w:t xml:space="preserve"> for patients who have complex needs</w:t>
      </w:r>
      <w:r w:rsidR="009770E8">
        <w:t xml:space="preserve"> such as suspected endometriosis</w:t>
      </w:r>
      <w:r w:rsidR="00784DF7">
        <w:t>.</w:t>
      </w:r>
    </w:p>
    <w:p w14:paraId="5C0E29B1" w14:textId="0FD153A5" w:rsidR="00E33470" w:rsidRPr="000B6BAF" w:rsidRDefault="00AC41BA" w:rsidP="006279C8">
      <w:pPr>
        <w:spacing w:after="120"/>
        <w:rPr>
          <w:rFonts w:ascii="Arial" w:hAnsi="Arial" w:cs="Arial"/>
        </w:rPr>
      </w:pPr>
      <w:r w:rsidRPr="006279C8">
        <w:rPr>
          <w:rFonts w:ascii="Arial" w:hAnsi="Arial" w:cstheme="minorHAnsi"/>
        </w:rPr>
        <w:t>Th</w:t>
      </w:r>
      <w:r w:rsidR="00892DAE" w:rsidRPr="006279C8">
        <w:rPr>
          <w:rFonts w:ascii="Arial" w:hAnsi="Arial" w:cstheme="minorHAnsi"/>
        </w:rPr>
        <w:t>e MBS is managed by the Department of Health and Aged Care and administered by Services Australia.</w:t>
      </w:r>
    </w:p>
    <w:p w14:paraId="26625208" w14:textId="77777777" w:rsidR="00F24342" w:rsidRDefault="00F24342" w:rsidP="00F24342">
      <w:pPr>
        <w:pStyle w:val="DHSBodytext"/>
        <w:spacing w:after="0"/>
      </w:pPr>
    </w:p>
    <w:p w14:paraId="573ADB68" w14:textId="6BE42607" w:rsidR="00870EDE" w:rsidRPr="001D6030" w:rsidRDefault="004F5343" w:rsidP="00F24342">
      <w:pPr>
        <w:pStyle w:val="DHSBodytext"/>
      </w:pPr>
      <w:r>
        <w:rPr>
          <w:rStyle w:val="Style2"/>
        </w:rPr>
        <w:t>This measure is subject to legislation passing.</w:t>
      </w:r>
    </w:p>
    <w:p w14:paraId="67338F55" w14:textId="77777777" w:rsidR="00E4177E" w:rsidRPr="00D52C59" w:rsidRDefault="00E4177E" w:rsidP="00E4177E">
      <w:pPr>
        <w:pStyle w:val="DHSHeadinglevel3"/>
      </w:pPr>
      <w:r w:rsidRPr="00D52C59">
        <w:lastRenderedPageBreak/>
        <w:t>Who this measure affect</w:t>
      </w:r>
      <w:r>
        <w:t>s</w:t>
      </w:r>
    </w:p>
    <w:bookmarkEnd w:id="0"/>
    <w:p w14:paraId="1527D2FB" w14:textId="2A93BBF4" w:rsidR="00870EDE" w:rsidRPr="008E4E63" w:rsidRDefault="00571BB0" w:rsidP="008F235D">
      <w:pPr>
        <w:pStyle w:val="DHSBodytext"/>
      </w:pPr>
      <w:r>
        <w:t xml:space="preserve">This affects </w:t>
      </w:r>
      <w:r w:rsidR="006B74F0">
        <w:rPr>
          <w:rStyle w:val="Style2"/>
        </w:rPr>
        <w:t>patients eligible for these MBS items and health professionals providing these services.</w:t>
      </w:r>
    </w:p>
    <w:p w14:paraId="0AF0F08F" w14:textId="77777777" w:rsidR="00510D3F" w:rsidRPr="00D52C59" w:rsidRDefault="00510D3F" w:rsidP="00D52C59">
      <w:pPr>
        <w:pStyle w:val="DHSHeadinglevel3"/>
      </w:pPr>
      <w:r w:rsidRPr="00D52C59">
        <w:t>When this start</w:t>
      </w:r>
      <w:r w:rsidR="004A3217">
        <w:t>s</w:t>
      </w:r>
      <w:r w:rsidRPr="00D52C59">
        <w:t xml:space="preserve"> and finish</w:t>
      </w:r>
      <w:r w:rsidR="004A3217">
        <w:t>es</w:t>
      </w:r>
    </w:p>
    <w:p w14:paraId="3735AF6B" w14:textId="21DDF5FF" w:rsidR="004F5343" w:rsidRDefault="004F5343" w:rsidP="004F5343">
      <w:pPr>
        <w:rPr>
          <w:rStyle w:val="Style3"/>
          <w:rFonts w:cs="Arial"/>
        </w:rPr>
      </w:pPr>
      <w:r w:rsidRPr="00242E94">
        <w:rPr>
          <w:rStyle w:val="Style3"/>
          <w:rFonts w:cs="Arial"/>
        </w:rPr>
        <w:t>This measure</w:t>
      </w:r>
      <w:r>
        <w:rPr>
          <w:rStyle w:val="Style3"/>
          <w:rFonts w:cs="Arial"/>
        </w:rPr>
        <w:t xml:space="preserve"> is ongoing, and</w:t>
      </w:r>
      <w:r w:rsidRPr="00242E94">
        <w:rPr>
          <w:rStyle w:val="Style3"/>
          <w:rFonts w:cs="Arial"/>
        </w:rPr>
        <w:t xml:space="preserve"> starts</w:t>
      </w:r>
      <w:r>
        <w:rPr>
          <w:rStyle w:val="Style3"/>
          <w:rFonts w:cs="Arial"/>
        </w:rPr>
        <w:t>:</w:t>
      </w:r>
    </w:p>
    <w:p w14:paraId="2197720A" w14:textId="77777777" w:rsidR="004F5343" w:rsidRDefault="004F5343" w:rsidP="004F5343">
      <w:pPr>
        <w:pStyle w:val="ListParagraph"/>
        <w:numPr>
          <w:ilvl w:val="0"/>
          <w:numId w:val="24"/>
        </w:numPr>
        <w:rPr>
          <w:rStyle w:val="Style3"/>
          <w:rFonts w:cs="Arial"/>
        </w:rPr>
      </w:pPr>
      <w:r w:rsidRPr="0094298D">
        <w:rPr>
          <w:rStyle w:val="Style3"/>
          <w:rFonts w:cs="Arial"/>
        </w:rPr>
        <w:t>1 November 2024</w:t>
      </w:r>
      <w:r w:rsidRPr="00D405C1">
        <w:rPr>
          <w:rStyle w:val="Style3"/>
          <w:rFonts w:cs="Arial"/>
        </w:rPr>
        <w:t xml:space="preserve"> </w:t>
      </w:r>
      <w:r w:rsidRPr="00CE318C">
        <w:rPr>
          <w:rStyle w:val="Style3"/>
          <w:rFonts w:cs="Arial"/>
        </w:rPr>
        <w:t>for the indexation of nuclear medicine</w:t>
      </w:r>
    </w:p>
    <w:p w14:paraId="40267388" w14:textId="6EAD28FD" w:rsidR="004F5343" w:rsidRDefault="004F5343" w:rsidP="004F5343">
      <w:pPr>
        <w:pStyle w:val="ListParagraph"/>
        <w:numPr>
          <w:ilvl w:val="0"/>
          <w:numId w:val="24"/>
        </w:numPr>
        <w:rPr>
          <w:rStyle w:val="Style3"/>
          <w:rFonts w:cs="Arial"/>
        </w:rPr>
      </w:pPr>
      <w:r w:rsidRPr="00CE318C">
        <w:rPr>
          <w:rStyle w:val="Style3"/>
          <w:rFonts w:cs="Arial"/>
        </w:rPr>
        <w:t xml:space="preserve">1 July 2025 </w:t>
      </w:r>
      <w:r>
        <w:rPr>
          <w:rStyle w:val="Style3"/>
          <w:rFonts w:cs="Arial"/>
        </w:rPr>
        <w:t>f</w:t>
      </w:r>
      <w:r w:rsidRPr="00CE318C">
        <w:rPr>
          <w:rStyle w:val="Style3"/>
          <w:rFonts w:cs="Arial"/>
        </w:rPr>
        <w:t>or removing MRI equipment eligibility requirements</w:t>
      </w:r>
      <w:r w:rsidR="00BF6A3F">
        <w:rPr>
          <w:rStyle w:val="Style3"/>
          <w:rFonts w:cs="Arial"/>
        </w:rPr>
        <w:t>.</w:t>
      </w:r>
    </w:p>
    <w:p w14:paraId="245DA2A7" w14:textId="77777777" w:rsidR="004F5343" w:rsidRDefault="004F5343" w:rsidP="001573A2">
      <w:pPr>
        <w:rPr>
          <w:rStyle w:val="Style3"/>
          <w:rFonts w:cs="Arial"/>
        </w:rPr>
      </w:pPr>
    </w:p>
    <w:p w14:paraId="4A49A07D" w14:textId="5B330470" w:rsidR="00847590" w:rsidRPr="001D6030" w:rsidRDefault="003C283A" w:rsidP="001D6030">
      <w:pPr>
        <w:rPr>
          <w:rFonts w:ascii="Arial" w:hAnsi="Arial" w:cs="Arial"/>
        </w:rPr>
      </w:pPr>
      <w:r>
        <w:rPr>
          <w:rStyle w:val="Style3"/>
          <w:rFonts w:cs="Arial"/>
        </w:rPr>
        <w:t>Th</w:t>
      </w:r>
      <w:r w:rsidR="006B74F0">
        <w:rPr>
          <w:rStyle w:val="Style3"/>
          <w:rFonts w:cs="Arial"/>
        </w:rPr>
        <w:t>e new and amended MBS listings are effective from dates stated and are ongoing.</w:t>
      </w:r>
    </w:p>
    <w:sectPr w:rsidR="00847590" w:rsidRPr="001D6030" w:rsidSect="00086EA1">
      <w:footerReference w:type="default" r:id="rId8"/>
      <w:headerReference w:type="first" r:id="rId9"/>
      <w:footerReference w:type="first" r:id="rId10"/>
      <w:pgSz w:w="11906" w:h="16838" w:code="9"/>
      <w:pgMar w:top="1702" w:right="1134" w:bottom="1440" w:left="1134" w:header="510"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7AC3CA" w14:textId="77777777" w:rsidR="000C4F82" w:rsidRDefault="000C4F82">
      <w:r>
        <w:separator/>
      </w:r>
    </w:p>
  </w:endnote>
  <w:endnote w:type="continuationSeparator" w:id="0">
    <w:p w14:paraId="33414215" w14:textId="77777777" w:rsidR="000C4F82" w:rsidRDefault="000C4F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A318C" w14:textId="77777777" w:rsidR="007B4F51" w:rsidRPr="00FA7748" w:rsidRDefault="007B4F51" w:rsidP="00082A25">
    <w:pPr>
      <w:pStyle w:val="Footer"/>
      <w:tabs>
        <w:tab w:val="clear" w:pos="8306"/>
        <w:tab w:val="right" w:pos="9639"/>
      </w:tabs>
      <w:rPr>
        <w:rFonts w:ascii="Arial" w:hAnsi="Arial" w:cs="Arial"/>
        <w:color w:val="A6A6A6"/>
        <w:sz w:val="18"/>
        <w:szCs w:val="18"/>
      </w:rPr>
    </w:pPr>
    <w:r w:rsidRPr="00F237B2">
      <w:rPr>
        <w:rFonts w:ascii="Arial" w:hAnsi="Arial" w:cs="Arial"/>
        <w:color w:val="777777"/>
        <w:sz w:val="18"/>
        <w:szCs w:val="18"/>
      </w:rPr>
      <w:t xml:space="preserve">PAGE </w:t>
    </w:r>
    <w:r w:rsidRPr="00F237B2">
      <w:rPr>
        <w:rFonts w:ascii="Arial" w:hAnsi="Arial" w:cs="Arial"/>
        <w:color w:val="777777"/>
        <w:sz w:val="18"/>
        <w:szCs w:val="18"/>
      </w:rPr>
      <w:fldChar w:fldCharType="begin"/>
    </w:r>
    <w:r w:rsidRPr="00F237B2">
      <w:rPr>
        <w:rFonts w:ascii="Arial" w:hAnsi="Arial" w:cs="Arial"/>
        <w:color w:val="777777"/>
        <w:sz w:val="18"/>
        <w:szCs w:val="18"/>
      </w:rPr>
      <w:instrText xml:space="preserve"> PAGE </w:instrText>
    </w:r>
    <w:r w:rsidRPr="00F237B2">
      <w:rPr>
        <w:rFonts w:ascii="Arial" w:hAnsi="Arial" w:cs="Arial"/>
        <w:color w:val="777777"/>
        <w:sz w:val="18"/>
        <w:szCs w:val="18"/>
      </w:rPr>
      <w:fldChar w:fldCharType="separate"/>
    </w:r>
    <w:r w:rsidR="00EB1040">
      <w:rPr>
        <w:rFonts w:ascii="Arial" w:hAnsi="Arial" w:cs="Arial"/>
        <w:noProof/>
        <w:color w:val="777777"/>
        <w:sz w:val="18"/>
        <w:szCs w:val="18"/>
      </w:rPr>
      <w:t>5</w:t>
    </w:r>
    <w:r w:rsidRPr="00F237B2">
      <w:rPr>
        <w:rFonts w:ascii="Arial" w:hAnsi="Arial" w:cs="Arial"/>
        <w:color w:val="777777"/>
        <w:sz w:val="18"/>
        <w:szCs w:val="18"/>
      </w:rPr>
      <w:fldChar w:fldCharType="end"/>
    </w:r>
    <w:r w:rsidRPr="00F237B2">
      <w:rPr>
        <w:rFonts w:ascii="Arial" w:hAnsi="Arial" w:cs="Arial"/>
        <w:color w:val="777777"/>
        <w:sz w:val="18"/>
        <w:szCs w:val="18"/>
      </w:rPr>
      <w:t xml:space="preserve"> OF </w:t>
    </w:r>
    <w:r w:rsidRPr="00F237B2">
      <w:rPr>
        <w:rFonts w:ascii="Arial" w:hAnsi="Arial" w:cs="Arial"/>
        <w:color w:val="777777"/>
        <w:sz w:val="18"/>
        <w:szCs w:val="18"/>
      </w:rPr>
      <w:fldChar w:fldCharType="begin"/>
    </w:r>
    <w:r w:rsidRPr="00F237B2">
      <w:rPr>
        <w:rFonts w:ascii="Arial" w:hAnsi="Arial" w:cs="Arial"/>
        <w:color w:val="777777"/>
        <w:sz w:val="18"/>
        <w:szCs w:val="18"/>
      </w:rPr>
      <w:instrText xml:space="preserve"> NUMPAGES </w:instrText>
    </w:r>
    <w:r w:rsidRPr="00F237B2">
      <w:rPr>
        <w:rFonts w:ascii="Arial" w:hAnsi="Arial" w:cs="Arial"/>
        <w:color w:val="777777"/>
        <w:sz w:val="18"/>
        <w:szCs w:val="18"/>
      </w:rPr>
      <w:fldChar w:fldCharType="separate"/>
    </w:r>
    <w:r w:rsidR="00EB1040">
      <w:rPr>
        <w:rFonts w:ascii="Arial" w:hAnsi="Arial" w:cs="Arial"/>
        <w:noProof/>
        <w:color w:val="777777"/>
        <w:sz w:val="18"/>
        <w:szCs w:val="18"/>
      </w:rPr>
      <w:t>5</w:t>
    </w:r>
    <w:r w:rsidRPr="00F237B2">
      <w:rPr>
        <w:rFonts w:ascii="Arial" w:hAnsi="Arial" w:cs="Arial"/>
        <w:color w:val="777777"/>
        <w:sz w:val="18"/>
        <w:szCs w:val="18"/>
      </w:rPr>
      <w:fldChar w:fldCharType="end"/>
    </w:r>
    <w:r>
      <w:rPr>
        <w:rFonts w:ascii="Arial" w:hAnsi="Arial" w:cs="Arial"/>
        <w:color w:val="999999"/>
        <w:sz w:val="18"/>
        <w:szCs w:val="18"/>
      </w:rPr>
      <w:tab/>
    </w:r>
    <w:r>
      <w:rPr>
        <w:rFonts w:ascii="Arial" w:hAnsi="Arial" w:cs="Arial"/>
        <w:color w:val="999999"/>
        <w:sz w:val="18"/>
        <w:szCs w:val="18"/>
      </w:rPr>
      <w:tab/>
    </w:r>
    <w:r w:rsidRPr="00F237B2">
      <w:rPr>
        <w:rFonts w:ascii="Arial" w:hAnsi="Arial" w:cs="Arial"/>
        <w:color w:val="777777"/>
        <w:sz w:val="18"/>
        <w:szCs w:val="18"/>
      </w:rPr>
      <w:t>Services</w:t>
    </w:r>
    <w:r w:rsidR="009635D0" w:rsidRPr="00F237B2">
      <w:rPr>
        <w:rFonts w:ascii="Arial" w:hAnsi="Arial" w:cs="Arial"/>
        <w:color w:val="777777"/>
        <w:sz w:val="18"/>
        <w:szCs w:val="18"/>
      </w:rPr>
      <w:t xml:space="preserve"> Australia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E6139" w14:textId="77777777" w:rsidR="00FF2C3C" w:rsidRDefault="00FF2C3C" w:rsidP="00FF2C3C">
    <w:pPr>
      <w:pStyle w:val="Footer"/>
    </w:pPr>
    <w:r w:rsidRPr="00F237B2">
      <w:rPr>
        <w:rFonts w:ascii="Arial" w:hAnsi="Arial" w:cs="Arial"/>
        <w:color w:val="777777"/>
        <w:sz w:val="18"/>
        <w:szCs w:val="18"/>
      </w:rPr>
      <w:t xml:space="preserve">PAGE </w:t>
    </w:r>
    <w:r w:rsidRPr="00F237B2">
      <w:rPr>
        <w:rFonts w:ascii="Arial" w:hAnsi="Arial" w:cs="Arial"/>
        <w:color w:val="777777"/>
        <w:sz w:val="18"/>
        <w:szCs w:val="18"/>
      </w:rPr>
      <w:fldChar w:fldCharType="begin"/>
    </w:r>
    <w:r w:rsidRPr="00F237B2">
      <w:rPr>
        <w:rFonts w:ascii="Arial" w:hAnsi="Arial" w:cs="Arial"/>
        <w:color w:val="777777"/>
        <w:sz w:val="18"/>
        <w:szCs w:val="18"/>
      </w:rPr>
      <w:instrText xml:space="preserve"> PAGE </w:instrText>
    </w:r>
    <w:r w:rsidRPr="00F237B2">
      <w:rPr>
        <w:rFonts w:ascii="Arial" w:hAnsi="Arial" w:cs="Arial"/>
        <w:color w:val="777777"/>
        <w:sz w:val="18"/>
        <w:szCs w:val="18"/>
      </w:rPr>
      <w:fldChar w:fldCharType="separate"/>
    </w:r>
    <w:r w:rsidR="00EB1040">
      <w:rPr>
        <w:rFonts w:ascii="Arial" w:hAnsi="Arial" w:cs="Arial"/>
        <w:noProof/>
        <w:color w:val="777777"/>
        <w:sz w:val="18"/>
        <w:szCs w:val="18"/>
      </w:rPr>
      <w:t>1</w:t>
    </w:r>
    <w:r w:rsidRPr="00F237B2">
      <w:rPr>
        <w:rFonts w:ascii="Arial" w:hAnsi="Arial" w:cs="Arial"/>
        <w:color w:val="777777"/>
        <w:sz w:val="18"/>
        <w:szCs w:val="18"/>
      </w:rPr>
      <w:fldChar w:fldCharType="end"/>
    </w:r>
    <w:r w:rsidRPr="00F237B2">
      <w:rPr>
        <w:rFonts w:ascii="Arial" w:hAnsi="Arial" w:cs="Arial"/>
        <w:color w:val="777777"/>
        <w:sz w:val="18"/>
        <w:szCs w:val="18"/>
      </w:rPr>
      <w:t xml:space="preserve"> OF </w:t>
    </w:r>
    <w:r w:rsidRPr="00F237B2">
      <w:rPr>
        <w:rFonts w:ascii="Arial" w:hAnsi="Arial" w:cs="Arial"/>
        <w:color w:val="777777"/>
        <w:sz w:val="18"/>
        <w:szCs w:val="18"/>
      </w:rPr>
      <w:fldChar w:fldCharType="begin"/>
    </w:r>
    <w:r w:rsidRPr="00F237B2">
      <w:rPr>
        <w:rFonts w:ascii="Arial" w:hAnsi="Arial" w:cs="Arial"/>
        <w:color w:val="777777"/>
        <w:sz w:val="18"/>
        <w:szCs w:val="18"/>
      </w:rPr>
      <w:instrText xml:space="preserve"> NUMPAGES </w:instrText>
    </w:r>
    <w:r w:rsidRPr="00F237B2">
      <w:rPr>
        <w:rFonts w:ascii="Arial" w:hAnsi="Arial" w:cs="Arial"/>
        <w:color w:val="777777"/>
        <w:sz w:val="18"/>
        <w:szCs w:val="18"/>
      </w:rPr>
      <w:fldChar w:fldCharType="separate"/>
    </w:r>
    <w:r w:rsidR="00EB1040">
      <w:rPr>
        <w:rFonts w:ascii="Arial" w:hAnsi="Arial" w:cs="Arial"/>
        <w:noProof/>
        <w:color w:val="777777"/>
        <w:sz w:val="18"/>
        <w:szCs w:val="18"/>
      </w:rPr>
      <w:t>5</w:t>
    </w:r>
    <w:r w:rsidRPr="00F237B2">
      <w:rPr>
        <w:rFonts w:ascii="Arial" w:hAnsi="Arial" w:cs="Arial"/>
        <w:color w:val="777777"/>
        <w:sz w:val="18"/>
        <w:szCs w:val="18"/>
      </w:rPr>
      <w:fldChar w:fldCharType="end"/>
    </w:r>
    <w:r>
      <w:rPr>
        <w:rFonts w:ascii="Arial" w:hAnsi="Arial" w:cs="Arial"/>
        <w:color w:val="999999"/>
        <w:sz w:val="18"/>
        <w:szCs w:val="18"/>
      </w:rPr>
      <w:tab/>
    </w:r>
    <w:r>
      <w:rPr>
        <w:rFonts w:ascii="Arial" w:hAnsi="Arial" w:cs="Arial"/>
        <w:color w:val="999999"/>
        <w:sz w:val="18"/>
        <w:szCs w:val="18"/>
      </w:rPr>
      <w:tab/>
    </w:r>
    <w:r w:rsidRPr="00F237B2">
      <w:rPr>
        <w:rFonts w:ascii="Arial" w:hAnsi="Arial" w:cs="Arial"/>
        <w:color w:val="777777"/>
        <w:sz w:val="18"/>
        <w:szCs w:val="18"/>
      </w:rPr>
      <w:t>Services Australia</w:t>
    </w:r>
  </w:p>
  <w:p w14:paraId="31448539" w14:textId="77777777" w:rsidR="007B4F51" w:rsidRDefault="007B4F51" w:rsidP="00FF2C3C">
    <w:pPr>
      <w:pStyle w:val="Footer"/>
      <w:tabs>
        <w:tab w:val="clear" w:pos="8306"/>
      </w:tabs>
      <w:ind w:right="-56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1C042F" w14:textId="77777777" w:rsidR="000C4F82" w:rsidRDefault="000C4F82">
      <w:r>
        <w:separator/>
      </w:r>
    </w:p>
  </w:footnote>
  <w:footnote w:type="continuationSeparator" w:id="0">
    <w:p w14:paraId="08D7AE67" w14:textId="77777777" w:rsidR="000C4F82" w:rsidRDefault="000C4F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93013" w14:textId="77777777" w:rsidR="007B4F51" w:rsidRPr="001573A2" w:rsidRDefault="001573A2" w:rsidP="001573A2">
    <w:pPr>
      <w:pStyle w:val="Header"/>
    </w:pPr>
    <w:r>
      <w:rPr>
        <w:noProof/>
      </w:rPr>
      <w:drawing>
        <wp:inline distT="0" distB="0" distL="0" distR="0" wp14:anchorId="426F56B0" wp14:editId="445D8484">
          <wp:extent cx="2236484" cy="610716"/>
          <wp:effectExtent l="0" t="0" r="0" b="0"/>
          <wp:docPr id="21" name="Picture 0" descr="Australian Government Services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This image represents the Australian Government Department of Human Services Crest"/>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53031" cy="61523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434ED"/>
    <w:multiLevelType w:val="hybridMultilevel"/>
    <w:tmpl w:val="5694F0B0"/>
    <w:lvl w:ilvl="0" w:tplc="0C090001">
      <w:start w:val="1"/>
      <w:numFmt w:val="bullet"/>
      <w:lvlText w:val=""/>
      <w:lvlJc w:val="left"/>
      <w:pPr>
        <w:ind w:left="360" w:hanging="360"/>
      </w:pPr>
      <w:rPr>
        <w:rFonts w:ascii="Symbol" w:hAnsi="Symbol" w:hint="default"/>
      </w:rPr>
    </w:lvl>
    <w:lvl w:ilvl="1" w:tplc="934684FC">
      <w:start w:val="1"/>
      <w:numFmt w:val="bullet"/>
      <w:lvlText w:val="o"/>
      <w:lvlJc w:val="left"/>
      <w:pPr>
        <w:ind w:left="680" w:hanging="34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214594F"/>
    <w:multiLevelType w:val="multilevel"/>
    <w:tmpl w:val="3BCEC33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D44E34"/>
    <w:multiLevelType w:val="multilevel"/>
    <w:tmpl w:val="B70E390A"/>
    <w:lvl w:ilvl="0">
      <w:start w:val="1"/>
      <w:numFmt w:val="bullet"/>
      <w:lvlText w:val=""/>
      <w:lvlJc w:val="left"/>
      <w:pPr>
        <w:tabs>
          <w:tab w:val="num" w:pos="454"/>
        </w:tabs>
        <w:ind w:left="454" w:hanging="454"/>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E410A7"/>
    <w:multiLevelType w:val="hybridMultilevel"/>
    <w:tmpl w:val="161A24D8"/>
    <w:lvl w:ilvl="0" w:tplc="C3E234CA">
      <w:start w:val="1"/>
      <w:numFmt w:val="bullet"/>
      <w:pStyle w:val="DHSBulletslevel"/>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960689"/>
    <w:multiLevelType w:val="hybridMultilevel"/>
    <w:tmpl w:val="E20EF4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7927DD9"/>
    <w:multiLevelType w:val="hybridMultilevel"/>
    <w:tmpl w:val="679683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4EA60FB"/>
    <w:multiLevelType w:val="hybridMultilevel"/>
    <w:tmpl w:val="C8B450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B382E6F"/>
    <w:multiLevelType w:val="hybridMultilevel"/>
    <w:tmpl w:val="0CD45C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FB97DF7"/>
    <w:multiLevelType w:val="hybridMultilevel"/>
    <w:tmpl w:val="6A8CFE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1943EDD"/>
    <w:multiLevelType w:val="hybridMultilevel"/>
    <w:tmpl w:val="ABAC6F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F2412A1"/>
    <w:multiLevelType w:val="hybridMultilevel"/>
    <w:tmpl w:val="37040258"/>
    <w:lvl w:ilvl="0" w:tplc="415CCEE0">
      <w:start w:val="1"/>
      <w:numFmt w:val="bullet"/>
      <w:pStyle w:val="DHSBulletslevel2"/>
      <w:lvlText w:val="o"/>
      <w:lvlJc w:val="left"/>
      <w:pPr>
        <w:ind w:left="70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521507C"/>
    <w:multiLevelType w:val="multilevel"/>
    <w:tmpl w:val="F65E3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73C137A"/>
    <w:multiLevelType w:val="hybridMultilevel"/>
    <w:tmpl w:val="C08A2098"/>
    <w:lvl w:ilvl="0" w:tplc="7E3C311E">
      <w:numFmt w:val="bullet"/>
      <w:lvlText w:val=""/>
      <w:lvlJc w:val="left"/>
      <w:pPr>
        <w:ind w:left="720" w:hanging="360"/>
      </w:pPr>
      <w:rPr>
        <w:rFonts w:ascii="Symbol" w:eastAsia="Times New Roman" w:hAnsi="Symbol" w:cs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94B0ADA"/>
    <w:multiLevelType w:val="hybridMultilevel"/>
    <w:tmpl w:val="1884067E"/>
    <w:lvl w:ilvl="0" w:tplc="EDCC6750">
      <w:start w:val="1"/>
      <w:numFmt w:val="decimal"/>
      <w:lvlText w:val="%1."/>
      <w:lvlJc w:val="left"/>
      <w:pPr>
        <w:ind w:left="340" w:hanging="340"/>
      </w:pPr>
      <w:rPr>
        <w:rFonts w:hint="default"/>
      </w:rPr>
    </w:lvl>
    <w:lvl w:ilvl="1" w:tplc="98EE8FA2">
      <w:start w:val="1"/>
      <w:numFmt w:val="lowerLetter"/>
      <w:lvlText w:val="%2."/>
      <w:lvlJc w:val="left"/>
      <w:pPr>
        <w:ind w:left="680" w:hanging="34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D4059D4"/>
    <w:multiLevelType w:val="hybridMultilevel"/>
    <w:tmpl w:val="D27A4020"/>
    <w:lvl w:ilvl="0" w:tplc="EDCC6750">
      <w:start w:val="1"/>
      <w:numFmt w:val="decimal"/>
      <w:lvlText w:val="%1."/>
      <w:lvlJc w:val="left"/>
      <w:pPr>
        <w:ind w:left="340" w:hanging="34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3A52626"/>
    <w:multiLevelType w:val="hybridMultilevel"/>
    <w:tmpl w:val="E2741A9E"/>
    <w:lvl w:ilvl="0" w:tplc="7B8ABDC0">
      <w:numFmt w:val="bullet"/>
      <w:lvlText w:val=""/>
      <w:lvlJc w:val="left"/>
      <w:pPr>
        <w:ind w:left="720" w:hanging="360"/>
      </w:pPr>
      <w:rPr>
        <w:rFonts w:ascii="Symbol" w:eastAsia="Calibri"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15:restartNumberingAfterBreak="0">
    <w:nsid w:val="54AB6410"/>
    <w:multiLevelType w:val="hybridMultilevel"/>
    <w:tmpl w:val="FB1A9F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C476B67"/>
    <w:multiLevelType w:val="hybridMultilevel"/>
    <w:tmpl w:val="324266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CB01EFE"/>
    <w:multiLevelType w:val="hybridMultilevel"/>
    <w:tmpl w:val="6E8ECE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35A5207"/>
    <w:multiLevelType w:val="hybridMultilevel"/>
    <w:tmpl w:val="E102AFF0"/>
    <w:lvl w:ilvl="0" w:tplc="0C462F74">
      <w:start w:val="1"/>
      <w:numFmt w:val="decimal"/>
      <w:pStyle w:val="DHSNumberslevel1"/>
      <w:lvlText w:val="%1."/>
      <w:lvlJc w:val="left"/>
      <w:pPr>
        <w:ind w:left="1060" w:hanging="360"/>
      </w:pPr>
    </w:lvl>
    <w:lvl w:ilvl="1" w:tplc="0C090019" w:tentative="1">
      <w:start w:val="1"/>
      <w:numFmt w:val="lowerLetter"/>
      <w:lvlText w:val="%2."/>
      <w:lvlJc w:val="left"/>
      <w:pPr>
        <w:ind w:left="1780" w:hanging="360"/>
      </w:pPr>
    </w:lvl>
    <w:lvl w:ilvl="2" w:tplc="0C09001B" w:tentative="1">
      <w:start w:val="1"/>
      <w:numFmt w:val="lowerRoman"/>
      <w:lvlText w:val="%3."/>
      <w:lvlJc w:val="right"/>
      <w:pPr>
        <w:ind w:left="2500" w:hanging="180"/>
      </w:pPr>
    </w:lvl>
    <w:lvl w:ilvl="3" w:tplc="0C09000F" w:tentative="1">
      <w:start w:val="1"/>
      <w:numFmt w:val="decimal"/>
      <w:lvlText w:val="%4."/>
      <w:lvlJc w:val="left"/>
      <w:pPr>
        <w:ind w:left="3220" w:hanging="360"/>
      </w:pPr>
    </w:lvl>
    <w:lvl w:ilvl="4" w:tplc="0C090019" w:tentative="1">
      <w:start w:val="1"/>
      <w:numFmt w:val="lowerLetter"/>
      <w:lvlText w:val="%5."/>
      <w:lvlJc w:val="left"/>
      <w:pPr>
        <w:ind w:left="3940" w:hanging="360"/>
      </w:pPr>
    </w:lvl>
    <w:lvl w:ilvl="5" w:tplc="0C09001B" w:tentative="1">
      <w:start w:val="1"/>
      <w:numFmt w:val="lowerRoman"/>
      <w:lvlText w:val="%6."/>
      <w:lvlJc w:val="right"/>
      <w:pPr>
        <w:ind w:left="4660" w:hanging="180"/>
      </w:pPr>
    </w:lvl>
    <w:lvl w:ilvl="6" w:tplc="0C09000F" w:tentative="1">
      <w:start w:val="1"/>
      <w:numFmt w:val="decimal"/>
      <w:lvlText w:val="%7."/>
      <w:lvlJc w:val="left"/>
      <w:pPr>
        <w:ind w:left="5380" w:hanging="360"/>
      </w:pPr>
    </w:lvl>
    <w:lvl w:ilvl="7" w:tplc="0C090019" w:tentative="1">
      <w:start w:val="1"/>
      <w:numFmt w:val="lowerLetter"/>
      <w:lvlText w:val="%8."/>
      <w:lvlJc w:val="left"/>
      <w:pPr>
        <w:ind w:left="6100" w:hanging="360"/>
      </w:pPr>
    </w:lvl>
    <w:lvl w:ilvl="8" w:tplc="0C09001B" w:tentative="1">
      <w:start w:val="1"/>
      <w:numFmt w:val="lowerRoman"/>
      <w:lvlText w:val="%9."/>
      <w:lvlJc w:val="right"/>
      <w:pPr>
        <w:ind w:left="6820" w:hanging="180"/>
      </w:pPr>
    </w:lvl>
  </w:abstractNum>
  <w:abstractNum w:abstractNumId="20" w15:restartNumberingAfterBreak="0">
    <w:nsid w:val="63F02DBE"/>
    <w:multiLevelType w:val="hybridMultilevel"/>
    <w:tmpl w:val="087CC7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AB31082"/>
    <w:multiLevelType w:val="hybridMultilevel"/>
    <w:tmpl w:val="72FA6812"/>
    <w:lvl w:ilvl="0" w:tplc="E0AA65B6">
      <w:start w:val="1"/>
      <w:numFmt w:val="bullet"/>
      <w:lvlText w:val=""/>
      <w:lvlJc w:val="left"/>
      <w:pPr>
        <w:tabs>
          <w:tab w:val="num" w:pos="284"/>
        </w:tabs>
        <w:ind w:left="284" w:hanging="284"/>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816401A"/>
    <w:multiLevelType w:val="hybridMultilevel"/>
    <w:tmpl w:val="B70E390A"/>
    <w:lvl w:ilvl="0" w:tplc="50A2BA7E">
      <w:start w:val="1"/>
      <w:numFmt w:val="bullet"/>
      <w:lvlText w:val=""/>
      <w:lvlJc w:val="left"/>
      <w:pPr>
        <w:tabs>
          <w:tab w:val="num" w:pos="454"/>
        </w:tabs>
        <w:ind w:left="454" w:hanging="45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8DF521F"/>
    <w:multiLevelType w:val="hybridMultilevel"/>
    <w:tmpl w:val="5E4CF8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D4343E8"/>
    <w:multiLevelType w:val="hybridMultilevel"/>
    <w:tmpl w:val="C658C410"/>
    <w:lvl w:ilvl="0" w:tplc="6408EF10">
      <w:start w:val="1"/>
      <w:numFmt w:val="lowerLetter"/>
      <w:pStyle w:val="DHSNumberslevel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7FE41F01"/>
    <w:multiLevelType w:val="hybridMultilevel"/>
    <w:tmpl w:val="3BCEC33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16cid:durableId="896547252">
    <w:abstractNumId w:val="25"/>
  </w:num>
  <w:num w:numId="2" w16cid:durableId="1885289011">
    <w:abstractNumId w:val="1"/>
  </w:num>
  <w:num w:numId="3" w16cid:durableId="507795139">
    <w:abstractNumId w:val="22"/>
  </w:num>
  <w:num w:numId="4" w16cid:durableId="111558035">
    <w:abstractNumId w:val="2"/>
  </w:num>
  <w:num w:numId="5" w16cid:durableId="426315780">
    <w:abstractNumId w:val="21"/>
  </w:num>
  <w:num w:numId="6" w16cid:durableId="1452893654">
    <w:abstractNumId w:val="10"/>
  </w:num>
  <w:num w:numId="7" w16cid:durableId="1231116135">
    <w:abstractNumId w:val="19"/>
  </w:num>
  <w:num w:numId="8" w16cid:durableId="21513480">
    <w:abstractNumId w:val="24"/>
  </w:num>
  <w:num w:numId="9" w16cid:durableId="1374111676">
    <w:abstractNumId w:val="13"/>
  </w:num>
  <w:num w:numId="10" w16cid:durableId="1896894226">
    <w:abstractNumId w:val="14"/>
  </w:num>
  <w:num w:numId="11" w16cid:durableId="2112163841">
    <w:abstractNumId w:val="0"/>
  </w:num>
  <w:num w:numId="12" w16cid:durableId="2066219557">
    <w:abstractNumId w:val="18"/>
  </w:num>
  <w:num w:numId="13" w16cid:durableId="327253193">
    <w:abstractNumId w:val="3"/>
  </w:num>
  <w:num w:numId="14" w16cid:durableId="641808890">
    <w:abstractNumId w:val="12"/>
  </w:num>
  <w:num w:numId="15" w16cid:durableId="15229179">
    <w:abstractNumId w:val="11"/>
  </w:num>
  <w:num w:numId="16" w16cid:durableId="2015448669">
    <w:abstractNumId w:val="5"/>
  </w:num>
  <w:num w:numId="17" w16cid:durableId="1827161068">
    <w:abstractNumId w:val="16"/>
  </w:num>
  <w:num w:numId="18" w16cid:durableId="1431001443">
    <w:abstractNumId w:val="23"/>
  </w:num>
  <w:num w:numId="19" w16cid:durableId="646132237">
    <w:abstractNumId w:val="7"/>
  </w:num>
  <w:num w:numId="20" w16cid:durableId="1267040176">
    <w:abstractNumId w:val="4"/>
  </w:num>
  <w:num w:numId="21" w16cid:durableId="946473891">
    <w:abstractNumId w:val="16"/>
  </w:num>
  <w:num w:numId="22" w16cid:durableId="991761333">
    <w:abstractNumId w:val="5"/>
  </w:num>
  <w:num w:numId="23" w16cid:durableId="497497314">
    <w:abstractNumId w:val="15"/>
  </w:num>
  <w:num w:numId="24" w16cid:durableId="511262668">
    <w:abstractNumId w:val="8"/>
  </w:num>
  <w:num w:numId="25" w16cid:durableId="1272084803">
    <w:abstractNumId w:val="9"/>
  </w:num>
  <w:num w:numId="26" w16cid:durableId="750928610">
    <w:abstractNumId w:val="6"/>
  </w:num>
  <w:num w:numId="27" w16cid:durableId="364603180">
    <w:abstractNumId w:val="20"/>
  </w:num>
  <w:num w:numId="28" w16cid:durableId="134093608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documentProtection w:edit="forms" w:formatting="1" w:enforcement="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0D3F"/>
    <w:rsid w:val="000004D0"/>
    <w:rsid w:val="00004CCE"/>
    <w:rsid w:val="000169FE"/>
    <w:rsid w:val="00022736"/>
    <w:rsid w:val="00026916"/>
    <w:rsid w:val="00041A39"/>
    <w:rsid w:val="00044F87"/>
    <w:rsid w:val="00046591"/>
    <w:rsid w:val="00050809"/>
    <w:rsid w:val="00050D07"/>
    <w:rsid w:val="00062997"/>
    <w:rsid w:val="00064184"/>
    <w:rsid w:val="00081069"/>
    <w:rsid w:val="00082A25"/>
    <w:rsid w:val="00086EA1"/>
    <w:rsid w:val="000A0B73"/>
    <w:rsid w:val="000A1A44"/>
    <w:rsid w:val="000B6BAF"/>
    <w:rsid w:val="000C4F82"/>
    <w:rsid w:val="000C6C57"/>
    <w:rsid w:val="000D0E18"/>
    <w:rsid w:val="000D6870"/>
    <w:rsid w:val="000E4892"/>
    <w:rsid w:val="000E57A2"/>
    <w:rsid w:val="000F4FE3"/>
    <w:rsid w:val="000F770A"/>
    <w:rsid w:val="00112F82"/>
    <w:rsid w:val="001172E7"/>
    <w:rsid w:val="001240E8"/>
    <w:rsid w:val="0013636B"/>
    <w:rsid w:val="001453AD"/>
    <w:rsid w:val="001573A2"/>
    <w:rsid w:val="00183D7B"/>
    <w:rsid w:val="00190BC7"/>
    <w:rsid w:val="00193F2E"/>
    <w:rsid w:val="001A1B66"/>
    <w:rsid w:val="001A214B"/>
    <w:rsid w:val="001A3074"/>
    <w:rsid w:val="001A4EB0"/>
    <w:rsid w:val="001B379E"/>
    <w:rsid w:val="001C4103"/>
    <w:rsid w:val="001D1F61"/>
    <w:rsid w:val="001D4174"/>
    <w:rsid w:val="001D52B8"/>
    <w:rsid w:val="001D6030"/>
    <w:rsid w:val="001E0F14"/>
    <w:rsid w:val="001E6CFA"/>
    <w:rsid w:val="001F7324"/>
    <w:rsid w:val="00204B1D"/>
    <w:rsid w:val="002449B8"/>
    <w:rsid w:val="00244CA1"/>
    <w:rsid w:val="002502BE"/>
    <w:rsid w:val="002560EB"/>
    <w:rsid w:val="00262038"/>
    <w:rsid w:val="00262500"/>
    <w:rsid w:val="00266B25"/>
    <w:rsid w:val="00274FFD"/>
    <w:rsid w:val="002755A3"/>
    <w:rsid w:val="00281861"/>
    <w:rsid w:val="00284ADE"/>
    <w:rsid w:val="00290FA5"/>
    <w:rsid w:val="00297BA8"/>
    <w:rsid w:val="002A21C5"/>
    <w:rsid w:val="002A6539"/>
    <w:rsid w:val="002C19E4"/>
    <w:rsid w:val="002C57F9"/>
    <w:rsid w:val="002C78D8"/>
    <w:rsid w:val="002E6109"/>
    <w:rsid w:val="002E6283"/>
    <w:rsid w:val="002F5EBA"/>
    <w:rsid w:val="00300015"/>
    <w:rsid w:val="00300D4A"/>
    <w:rsid w:val="0030145F"/>
    <w:rsid w:val="003046E4"/>
    <w:rsid w:val="0030488E"/>
    <w:rsid w:val="003100BB"/>
    <w:rsid w:val="00316C5E"/>
    <w:rsid w:val="00333E29"/>
    <w:rsid w:val="0033576D"/>
    <w:rsid w:val="00357E2A"/>
    <w:rsid w:val="00360888"/>
    <w:rsid w:val="00361F19"/>
    <w:rsid w:val="0036350A"/>
    <w:rsid w:val="00364300"/>
    <w:rsid w:val="0036436D"/>
    <w:rsid w:val="0038253F"/>
    <w:rsid w:val="00390DD4"/>
    <w:rsid w:val="003A012C"/>
    <w:rsid w:val="003A53A0"/>
    <w:rsid w:val="003B37F1"/>
    <w:rsid w:val="003B453F"/>
    <w:rsid w:val="003B4D4E"/>
    <w:rsid w:val="003C283A"/>
    <w:rsid w:val="003C673A"/>
    <w:rsid w:val="003D3F47"/>
    <w:rsid w:val="003F3F96"/>
    <w:rsid w:val="003F72E8"/>
    <w:rsid w:val="00405768"/>
    <w:rsid w:val="00414BF8"/>
    <w:rsid w:val="004203AA"/>
    <w:rsid w:val="00420EFC"/>
    <w:rsid w:val="00426CFE"/>
    <w:rsid w:val="00432428"/>
    <w:rsid w:val="00471494"/>
    <w:rsid w:val="004714E9"/>
    <w:rsid w:val="004833F2"/>
    <w:rsid w:val="00484CEA"/>
    <w:rsid w:val="00497E56"/>
    <w:rsid w:val="004A24AA"/>
    <w:rsid w:val="004A3217"/>
    <w:rsid w:val="004B46C0"/>
    <w:rsid w:val="004B4CC6"/>
    <w:rsid w:val="004B6F21"/>
    <w:rsid w:val="004C455E"/>
    <w:rsid w:val="004C60C9"/>
    <w:rsid w:val="004C77D7"/>
    <w:rsid w:val="004E0DA8"/>
    <w:rsid w:val="004E3276"/>
    <w:rsid w:val="004E3B2B"/>
    <w:rsid w:val="004F0859"/>
    <w:rsid w:val="004F095C"/>
    <w:rsid w:val="004F1F72"/>
    <w:rsid w:val="004F5343"/>
    <w:rsid w:val="004F68C2"/>
    <w:rsid w:val="00502461"/>
    <w:rsid w:val="00504497"/>
    <w:rsid w:val="00504AA8"/>
    <w:rsid w:val="00507EB2"/>
    <w:rsid w:val="00510D3F"/>
    <w:rsid w:val="00516D40"/>
    <w:rsid w:val="00520850"/>
    <w:rsid w:val="00540DA6"/>
    <w:rsid w:val="00550371"/>
    <w:rsid w:val="0055054C"/>
    <w:rsid w:val="00555D7B"/>
    <w:rsid w:val="00571396"/>
    <w:rsid w:val="00571BB0"/>
    <w:rsid w:val="00571C3F"/>
    <w:rsid w:val="00573C0E"/>
    <w:rsid w:val="005A5EDA"/>
    <w:rsid w:val="005B5F4A"/>
    <w:rsid w:val="005C738D"/>
    <w:rsid w:val="005C7D3C"/>
    <w:rsid w:val="005C7EA4"/>
    <w:rsid w:val="005E6AF5"/>
    <w:rsid w:val="006022A5"/>
    <w:rsid w:val="00620E30"/>
    <w:rsid w:val="00622896"/>
    <w:rsid w:val="00625BE3"/>
    <w:rsid w:val="006279C8"/>
    <w:rsid w:val="00632BBE"/>
    <w:rsid w:val="00634DC9"/>
    <w:rsid w:val="00640F2C"/>
    <w:rsid w:val="0067371F"/>
    <w:rsid w:val="0067669C"/>
    <w:rsid w:val="0068026E"/>
    <w:rsid w:val="006825DB"/>
    <w:rsid w:val="00685C7C"/>
    <w:rsid w:val="006964A3"/>
    <w:rsid w:val="00697802"/>
    <w:rsid w:val="006A317C"/>
    <w:rsid w:val="006B29C7"/>
    <w:rsid w:val="006B396F"/>
    <w:rsid w:val="006B74F0"/>
    <w:rsid w:val="006C4973"/>
    <w:rsid w:val="006D2A72"/>
    <w:rsid w:val="006D3979"/>
    <w:rsid w:val="006E2F35"/>
    <w:rsid w:val="006E4139"/>
    <w:rsid w:val="006F3C21"/>
    <w:rsid w:val="00711EA6"/>
    <w:rsid w:val="00713CC3"/>
    <w:rsid w:val="00715039"/>
    <w:rsid w:val="00722887"/>
    <w:rsid w:val="00730A3D"/>
    <w:rsid w:val="00737DFB"/>
    <w:rsid w:val="00743EF2"/>
    <w:rsid w:val="00746A31"/>
    <w:rsid w:val="00755A02"/>
    <w:rsid w:val="00756927"/>
    <w:rsid w:val="00772C06"/>
    <w:rsid w:val="00784DF7"/>
    <w:rsid w:val="0078756F"/>
    <w:rsid w:val="007B4F51"/>
    <w:rsid w:val="007C160A"/>
    <w:rsid w:val="007E0591"/>
    <w:rsid w:val="007E482B"/>
    <w:rsid w:val="00801D1A"/>
    <w:rsid w:val="00814D56"/>
    <w:rsid w:val="008457BC"/>
    <w:rsid w:val="00847590"/>
    <w:rsid w:val="00850873"/>
    <w:rsid w:val="00850DF2"/>
    <w:rsid w:val="00851251"/>
    <w:rsid w:val="00863A82"/>
    <w:rsid w:val="0086632C"/>
    <w:rsid w:val="00870EDE"/>
    <w:rsid w:val="00873080"/>
    <w:rsid w:val="0087534C"/>
    <w:rsid w:val="0088038D"/>
    <w:rsid w:val="00890072"/>
    <w:rsid w:val="00892DAE"/>
    <w:rsid w:val="00894179"/>
    <w:rsid w:val="008968B7"/>
    <w:rsid w:val="008B3E52"/>
    <w:rsid w:val="008D2BB5"/>
    <w:rsid w:val="008D2CC9"/>
    <w:rsid w:val="008E42FD"/>
    <w:rsid w:val="008E4E63"/>
    <w:rsid w:val="008E61D0"/>
    <w:rsid w:val="008F235D"/>
    <w:rsid w:val="009009BC"/>
    <w:rsid w:val="0090591C"/>
    <w:rsid w:val="00906806"/>
    <w:rsid w:val="00907D7A"/>
    <w:rsid w:val="00915568"/>
    <w:rsid w:val="009174A0"/>
    <w:rsid w:val="00923854"/>
    <w:rsid w:val="0093033C"/>
    <w:rsid w:val="00932AA3"/>
    <w:rsid w:val="009434C2"/>
    <w:rsid w:val="0095287D"/>
    <w:rsid w:val="009635D0"/>
    <w:rsid w:val="00965631"/>
    <w:rsid w:val="0097065D"/>
    <w:rsid w:val="009770E8"/>
    <w:rsid w:val="00983573"/>
    <w:rsid w:val="00983BBD"/>
    <w:rsid w:val="009905A7"/>
    <w:rsid w:val="00991884"/>
    <w:rsid w:val="00995023"/>
    <w:rsid w:val="009A099C"/>
    <w:rsid w:val="009B10C5"/>
    <w:rsid w:val="009C4CD0"/>
    <w:rsid w:val="009D371D"/>
    <w:rsid w:val="009D5919"/>
    <w:rsid w:val="009E1E1B"/>
    <w:rsid w:val="009E3B3A"/>
    <w:rsid w:val="009E5E8F"/>
    <w:rsid w:val="009E64A9"/>
    <w:rsid w:val="00A059A5"/>
    <w:rsid w:val="00A163B5"/>
    <w:rsid w:val="00A16C8F"/>
    <w:rsid w:val="00A3536B"/>
    <w:rsid w:val="00A52AE3"/>
    <w:rsid w:val="00A530A5"/>
    <w:rsid w:val="00A568A9"/>
    <w:rsid w:val="00A6107A"/>
    <w:rsid w:val="00A63082"/>
    <w:rsid w:val="00A80B85"/>
    <w:rsid w:val="00A82C12"/>
    <w:rsid w:val="00A848C2"/>
    <w:rsid w:val="00A9634C"/>
    <w:rsid w:val="00AA48F5"/>
    <w:rsid w:val="00AA6001"/>
    <w:rsid w:val="00AA67F4"/>
    <w:rsid w:val="00AC34FD"/>
    <w:rsid w:val="00AC41BA"/>
    <w:rsid w:val="00AC7892"/>
    <w:rsid w:val="00AD1569"/>
    <w:rsid w:val="00AE0688"/>
    <w:rsid w:val="00AF3715"/>
    <w:rsid w:val="00AF4424"/>
    <w:rsid w:val="00B0655D"/>
    <w:rsid w:val="00B13CCE"/>
    <w:rsid w:val="00B26D06"/>
    <w:rsid w:val="00B27C58"/>
    <w:rsid w:val="00B32B9E"/>
    <w:rsid w:val="00B362B6"/>
    <w:rsid w:val="00B42EC9"/>
    <w:rsid w:val="00B46C32"/>
    <w:rsid w:val="00B55601"/>
    <w:rsid w:val="00B8497A"/>
    <w:rsid w:val="00B86E2B"/>
    <w:rsid w:val="00B87453"/>
    <w:rsid w:val="00B9008C"/>
    <w:rsid w:val="00BA77DE"/>
    <w:rsid w:val="00BB39BF"/>
    <w:rsid w:val="00BB4D6C"/>
    <w:rsid w:val="00BB7DE5"/>
    <w:rsid w:val="00BD5746"/>
    <w:rsid w:val="00BE0EB8"/>
    <w:rsid w:val="00BE53AF"/>
    <w:rsid w:val="00BF6A3F"/>
    <w:rsid w:val="00C021DC"/>
    <w:rsid w:val="00C025D8"/>
    <w:rsid w:val="00C13453"/>
    <w:rsid w:val="00C15DA5"/>
    <w:rsid w:val="00C207C1"/>
    <w:rsid w:val="00C27EAD"/>
    <w:rsid w:val="00C32E54"/>
    <w:rsid w:val="00C46EFA"/>
    <w:rsid w:val="00C602E2"/>
    <w:rsid w:val="00C60743"/>
    <w:rsid w:val="00C73C50"/>
    <w:rsid w:val="00C74B43"/>
    <w:rsid w:val="00C80580"/>
    <w:rsid w:val="00C81922"/>
    <w:rsid w:val="00C86C85"/>
    <w:rsid w:val="00C87853"/>
    <w:rsid w:val="00C9025B"/>
    <w:rsid w:val="00CB4F98"/>
    <w:rsid w:val="00CC24BE"/>
    <w:rsid w:val="00CC50CC"/>
    <w:rsid w:val="00CE56A0"/>
    <w:rsid w:val="00D13062"/>
    <w:rsid w:val="00D14B82"/>
    <w:rsid w:val="00D159EC"/>
    <w:rsid w:val="00D15B45"/>
    <w:rsid w:val="00D220CD"/>
    <w:rsid w:val="00D3339D"/>
    <w:rsid w:val="00D44D5F"/>
    <w:rsid w:val="00D473EF"/>
    <w:rsid w:val="00D47993"/>
    <w:rsid w:val="00D52C59"/>
    <w:rsid w:val="00D603ED"/>
    <w:rsid w:val="00D67391"/>
    <w:rsid w:val="00D8551F"/>
    <w:rsid w:val="00D95C6D"/>
    <w:rsid w:val="00D97F3F"/>
    <w:rsid w:val="00DA1A3B"/>
    <w:rsid w:val="00DB64A8"/>
    <w:rsid w:val="00DB6596"/>
    <w:rsid w:val="00DB7DD8"/>
    <w:rsid w:val="00DC28D3"/>
    <w:rsid w:val="00DD3085"/>
    <w:rsid w:val="00DD49A2"/>
    <w:rsid w:val="00DD517B"/>
    <w:rsid w:val="00DD694E"/>
    <w:rsid w:val="00DE29B5"/>
    <w:rsid w:val="00DE5B39"/>
    <w:rsid w:val="00E076AE"/>
    <w:rsid w:val="00E277F4"/>
    <w:rsid w:val="00E31B70"/>
    <w:rsid w:val="00E33470"/>
    <w:rsid w:val="00E33A5D"/>
    <w:rsid w:val="00E364E4"/>
    <w:rsid w:val="00E409B0"/>
    <w:rsid w:val="00E4177E"/>
    <w:rsid w:val="00E4594F"/>
    <w:rsid w:val="00E45BAD"/>
    <w:rsid w:val="00E5725A"/>
    <w:rsid w:val="00E63EC2"/>
    <w:rsid w:val="00E762BD"/>
    <w:rsid w:val="00E768D0"/>
    <w:rsid w:val="00E76D5A"/>
    <w:rsid w:val="00E90EAD"/>
    <w:rsid w:val="00EA2350"/>
    <w:rsid w:val="00EA7A22"/>
    <w:rsid w:val="00EB1040"/>
    <w:rsid w:val="00EB20C6"/>
    <w:rsid w:val="00EB425C"/>
    <w:rsid w:val="00EB45BA"/>
    <w:rsid w:val="00EC3E4A"/>
    <w:rsid w:val="00ED22D2"/>
    <w:rsid w:val="00EE1518"/>
    <w:rsid w:val="00EE1ACE"/>
    <w:rsid w:val="00EE3E1E"/>
    <w:rsid w:val="00EE58FF"/>
    <w:rsid w:val="00EE78F0"/>
    <w:rsid w:val="00EF0DBC"/>
    <w:rsid w:val="00EF7943"/>
    <w:rsid w:val="00F02BED"/>
    <w:rsid w:val="00F17318"/>
    <w:rsid w:val="00F237B2"/>
    <w:rsid w:val="00F24342"/>
    <w:rsid w:val="00F34E10"/>
    <w:rsid w:val="00F70B0F"/>
    <w:rsid w:val="00F8091B"/>
    <w:rsid w:val="00F85641"/>
    <w:rsid w:val="00F85C8F"/>
    <w:rsid w:val="00FA6F65"/>
    <w:rsid w:val="00FA7748"/>
    <w:rsid w:val="00FA7AC7"/>
    <w:rsid w:val="00FC3645"/>
    <w:rsid w:val="00FC5C12"/>
    <w:rsid w:val="00FF2C3C"/>
    <w:rsid w:val="11A7713B"/>
    <w:rsid w:val="1B921B80"/>
    <w:rsid w:val="1DDDE6D5"/>
    <w:rsid w:val="24435569"/>
    <w:rsid w:val="27A8AB22"/>
    <w:rsid w:val="28F1D592"/>
    <w:rsid w:val="29447B83"/>
    <w:rsid w:val="45BEB75A"/>
    <w:rsid w:val="5A2C6499"/>
    <w:rsid w:val="6A4D420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435C6F0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1" w:defUIPriority="0" w:defSemiHidden="0" w:defUnhideWhenUsed="0" w:defQFormat="0" w:count="376">
    <w:lsdException w:name="Normal" w:locked="0"/>
    <w:lsdException w:name="heading 1" w:locked="0"/>
    <w:lsdException w:name="heading 2" w:locked="0" w:semiHidden="1" w:unhideWhenUsed="1" w:qFormat="1"/>
    <w:lsdException w:name="heading 3" w:locked="0" w:semiHidden="1" w:unhideWhenUsed="1" w:qFormat="1"/>
    <w:lsdException w:name="heading 4" w:locked="0" w:semiHidden="1" w:unhideWhenUsed="1" w:qFormat="1"/>
    <w:lsdException w:name="heading 5" w:locked="0" w:semiHidden="1" w:unhideWhenUsed="1" w:qFormat="1"/>
    <w:lsdException w:name="heading 6" w:locked="0" w:semiHidden="1" w:unhideWhenUsed="1" w:qFormat="1"/>
    <w:lsdException w:name="heading 7" w:locked="0" w:semiHidden="1" w:unhideWhenUsed="1" w:qFormat="1"/>
    <w:lsdException w:name="heading 8" w:locked="0" w:semiHidden="1" w:unhideWhenUsed="1" w:qFormat="1"/>
    <w:lsdException w:name="heading 9" w:locked="0" w:semiHidden="1" w:unhideWhenUsed="1"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locked="0"/>
    <w:lsdException w:name="toc 2" w:locked="0"/>
    <w:lsdException w:name="toc 3" w:locked="0"/>
    <w:lsdException w:name="toc 4" w:locked="0"/>
    <w:lsdException w:name="toc 5" w:locked="0"/>
    <w:lsdException w:name="toc 6" w:locked="0"/>
    <w:lsdException w:name="toc 7" w:locked="0"/>
    <w:lsdException w:name="toc 8" w:locked="0"/>
    <w:lsdException w:name="toc 9" w:locked="0"/>
    <w:lsdException w:name="Normal Indent" w:locked="0"/>
    <w:lsdException w:name="footnote text" w:locked="0"/>
    <w:lsdException w:name="annotation text" w:locked="0"/>
    <w:lsdException w:name="header" w:locked="0"/>
    <w:lsdException w:name="footer" w:locked="0"/>
    <w:lsdException w:name="index heading" w:locked="0"/>
    <w:lsdException w:name="caption" w:locked="0" w:semiHidden="1" w:unhideWhenUsed="1" w:qFormat="1"/>
    <w:lsdException w:name="table of figures" w:locked="0"/>
    <w:lsdException w:name="envelope address" w:locked="0"/>
    <w:lsdException w:name="envelope return" w:locked="0"/>
    <w:lsdException w:name="footnote reference" w:locked="0"/>
    <w:lsdException w:name="annotation reference" w:locked="0"/>
    <w:lsdException w:name="line number" w:locked="0"/>
    <w:lsdException w:name="page number" w:locked="0"/>
    <w:lsdException w:name="endnote reference" w:locked="0"/>
    <w:lsdException w:name="endnote text" w:locked="0"/>
    <w:lsdException w:name="table of authorities" w:locked="0"/>
    <w:lsdException w:name="macro" w:locked="0"/>
    <w:lsdException w:name="toa heading" w:locked="0"/>
    <w:lsdException w:name="List" w:locked="0"/>
    <w:lsdException w:name="List Bullet" w:locked="0"/>
    <w:lsdException w:name="List Number" w:locked="0"/>
    <w:lsdException w:name="List 2" w:locked="0"/>
    <w:lsdException w:name="List 3" w:locked="0"/>
    <w:lsdException w:name="List 4" w:locked="0"/>
    <w:lsdException w:name="List 5" w:lock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locked="0"/>
    <w:lsdException w:name="Closing" w:locked="0"/>
    <w:lsdException w:name="Signature" w:locked="0"/>
    <w:lsdException w:name="Default Paragraph Font" w:locked="0"/>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locked="0"/>
    <w:lsdException w:name="Salutation" w:locked="0"/>
    <w:lsdException w:name="Date" w:locked="0"/>
    <w:lsdException w:name="Body Text First Indent" w:locked="0"/>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Hyperlink" w:locked="0"/>
    <w:lsdException w:name="FollowedHyperlink" w:locked="0"/>
    <w:lsdException w:name="Strong" w:locked="0"/>
    <w:lsdException w:name="Emphasis" w:locked="0"/>
    <w:lsdException w:name="Document Map" w:locked="0"/>
    <w:lsdException w:name="Plain Text" w:locked="0"/>
    <w:lsdException w:name="E-mail Signature" w:locked="0"/>
    <w:lsdException w:name="HTML Top of Form" w:locked="0"/>
    <w:lsdException w:name="HTML Bottom of Form" w:locked="0"/>
    <w:lsdException w:name="Normal (Web)" w:locked="0" w:uiPriority="99"/>
    <w:lsdException w:name="HTML Acronym" w:locked="0"/>
    <w:lsdException w:name="HTML Address" w:locked="0"/>
    <w:lsdException w:name="HTML Cite" w:locked="0"/>
    <w:lsdException w:name="HTML Code" w:locked="0"/>
    <w:lsdException w:name="HTML Definition" w:locked="0"/>
    <w:lsdException w:name="HTML Keyboard" w:locked="0" w:semiHidden="1" w:unhideWhenUsed="1"/>
    <w:lsdException w:name="HTML Preformatted" w:locked="0"/>
    <w:lsdException w:name="HTML Sample" w:locked="0"/>
    <w:lsdException w:name="HTML Typewriter" w:locked="0"/>
    <w:lsdException w:name="HTML Variable" w:locked="0"/>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Theme" w:semiHidden="1" w:unhideWhenUsed="1"/>
    <w:lsdException w:name="Placeholder Text" w:locked="0" w:semiHidden="1" w:uiPriority="99"/>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locked="0" w:uiPriority="29"/>
    <w:lsdException w:name="Intense Quote" w:locked="0"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locked="0" w:uiPriority="21"/>
    <w:lsdException w:name="Subtle Reference" w:locked="0" w:uiPriority="31"/>
    <w:lsdException w:name="Intense Reference" w:locked="0" w:uiPriority="32"/>
    <w:lsdException w:name="Book Title" w:locked="0" w:uiPriority="33"/>
    <w:lsdException w:name="Bibliography" w:locked="0"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semiHidden/>
    <w:rsid w:val="00C207C1"/>
    <w:rPr>
      <w:sz w:val="24"/>
      <w:szCs w:val="24"/>
    </w:rPr>
  </w:style>
  <w:style w:type="paragraph" w:styleId="Heading1">
    <w:name w:val="heading 1"/>
    <w:basedOn w:val="Normal"/>
    <w:next w:val="Normal"/>
    <w:link w:val="Heading1Char"/>
    <w:semiHidden/>
    <w:rsid w:val="00AC34FD"/>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semiHidden/>
    <w:unhideWhenUsed/>
    <w:qFormat/>
    <w:rsid w:val="00AC34FD"/>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AC34FD"/>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AC34FD"/>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290FA5"/>
    <w:pPr>
      <w:tabs>
        <w:tab w:val="center" w:pos="4153"/>
        <w:tab w:val="right" w:pos="8306"/>
      </w:tabs>
    </w:pPr>
  </w:style>
  <w:style w:type="paragraph" w:styleId="Footer">
    <w:name w:val="footer"/>
    <w:basedOn w:val="Normal"/>
    <w:link w:val="FooterChar"/>
    <w:semiHidden/>
    <w:rsid w:val="00290FA5"/>
    <w:pPr>
      <w:tabs>
        <w:tab w:val="center" w:pos="4153"/>
        <w:tab w:val="right" w:pos="8306"/>
      </w:tabs>
    </w:pPr>
  </w:style>
  <w:style w:type="paragraph" w:customStyle="1" w:styleId="DHSHeadinglevel1">
    <w:name w:val="DHS Heading level 1"/>
    <w:basedOn w:val="Heading1"/>
    <w:next w:val="DHSBodytext"/>
    <w:qFormat/>
    <w:locked/>
    <w:rsid w:val="009434C2"/>
    <w:pPr>
      <w:spacing w:before="60" w:after="240"/>
    </w:pPr>
    <w:rPr>
      <w:rFonts w:ascii="Arial" w:hAnsi="Arial" w:cs="Arial"/>
      <w:sz w:val="44"/>
      <w:szCs w:val="40"/>
    </w:rPr>
  </w:style>
  <w:style w:type="paragraph" w:customStyle="1" w:styleId="DHSHeadinglevel2">
    <w:name w:val="DHS Heading level 2"/>
    <w:basedOn w:val="Heading2"/>
    <w:next w:val="DHSBodytext"/>
    <w:qFormat/>
    <w:locked/>
    <w:rsid w:val="009434C2"/>
    <w:pPr>
      <w:spacing w:after="120"/>
    </w:pPr>
    <w:rPr>
      <w:rFonts w:ascii="Arial" w:hAnsi="Arial" w:cstheme="minorHAnsi"/>
      <w:b w:val="0"/>
      <w:i w:val="0"/>
      <w:color w:val="000000"/>
      <w:sz w:val="36"/>
    </w:rPr>
  </w:style>
  <w:style w:type="paragraph" w:customStyle="1" w:styleId="DHSHeadinglevel3">
    <w:name w:val="DHS Heading level 3"/>
    <w:basedOn w:val="Heading3"/>
    <w:next w:val="DHSBodytext"/>
    <w:qFormat/>
    <w:locked/>
    <w:rsid w:val="00D52C59"/>
    <w:pPr>
      <w:spacing w:after="120"/>
    </w:pPr>
    <w:rPr>
      <w:rFonts w:ascii="Arial" w:hAnsi="Arial" w:cstheme="minorHAnsi"/>
      <w:sz w:val="28"/>
    </w:rPr>
  </w:style>
  <w:style w:type="paragraph" w:customStyle="1" w:styleId="DHSHeadinglevel4">
    <w:name w:val="DHS Heading level 4"/>
    <w:basedOn w:val="Heading4"/>
    <w:next w:val="DHSBodytext"/>
    <w:qFormat/>
    <w:locked/>
    <w:rsid w:val="00D52C59"/>
    <w:pPr>
      <w:spacing w:after="120"/>
    </w:pPr>
    <w:rPr>
      <w:rFonts w:ascii="Arial" w:hAnsi="Arial" w:cs="Arial"/>
      <w:sz w:val="24"/>
      <w:szCs w:val="22"/>
    </w:rPr>
  </w:style>
  <w:style w:type="paragraph" w:customStyle="1" w:styleId="DHSBodytext">
    <w:name w:val="DHS Body text"/>
    <w:basedOn w:val="Normal"/>
    <w:qFormat/>
    <w:locked/>
    <w:rsid w:val="009434C2"/>
    <w:pPr>
      <w:spacing w:after="120"/>
    </w:pPr>
    <w:rPr>
      <w:rFonts w:ascii="Arial" w:hAnsi="Arial" w:cstheme="minorHAnsi"/>
    </w:rPr>
  </w:style>
  <w:style w:type="paragraph" w:customStyle="1" w:styleId="DHSBulletslevel2">
    <w:name w:val="DHS Bullets level 2"/>
    <w:basedOn w:val="Normal"/>
    <w:locked/>
    <w:rsid w:val="00F85641"/>
    <w:pPr>
      <w:numPr>
        <w:numId w:val="6"/>
      </w:numPr>
      <w:spacing w:after="120"/>
      <w:ind w:left="680" w:hanging="340"/>
    </w:pPr>
    <w:rPr>
      <w:rFonts w:ascii="Arial" w:hAnsi="Arial" w:cs="Arial"/>
      <w:sz w:val="22"/>
      <w:szCs w:val="22"/>
    </w:rPr>
  </w:style>
  <w:style w:type="paragraph" w:styleId="TOC1">
    <w:name w:val="toc 1"/>
    <w:basedOn w:val="Normal"/>
    <w:next w:val="Normal"/>
    <w:autoRedefine/>
    <w:semiHidden/>
    <w:rsid w:val="009E3B3A"/>
    <w:pPr>
      <w:spacing w:after="120"/>
    </w:pPr>
    <w:rPr>
      <w:rFonts w:ascii="Arial" w:hAnsi="Arial"/>
      <w:b/>
      <w:sz w:val="22"/>
    </w:rPr>
  </w:style>
  <w:style w:type="paragraph" w:styleId="TOC2">
    <w:name w:val="toc 2"/>
    <w:basedOn w:val="Normal"/>
    <w:next w:val="Normal"/>
    <w:autoRedefine/>
    <w:semiHidden/>
    <w:rsid w:val="009E3B3A"/>
    <w:pPr>
      <w:spacing w:after="120"/>
      <w:ind w:left="238"/>
    </w:pPr>
    <w:rPr>
      <w:rFonts w:ascii="Arial" w:hAnsi="Arial"/>
      <w:sz w:val="22"/>
    </w:rPr>
  </w:style>
  <w:style w:type="paragraph" w:styleId="TOC3">
    <w:name w:val="toc 3"/>
    <w:basedOn w:val="Normal"/>
    <w:next w:val="Normal"/>
    <w:autoRedefine/>
    <w:semiHidden/>
    <w:rsid w:val="00685C7C"/>
    <w:pPr>
      <w:spacing w:after="120"/>
      <w:ind w:left="482"/>
    </w:pPr>
    <w:rPr>
      <w:rFonts w:ascii="Arial" w:hAnsi="Arial"/>
      <w:sz w:val="22"/>
    </w:rPr>
  </w:style>
  <w:style w:type="character" w:styleId="Hyperlink">
    <w:name w:val="Hyperlink"/>
    <w:rsid w:val="009E3B3A"/>
    <w:rPr>
      <w:color w:val="0000FF"/>
      <w:u w:val="single"/>
    </w:rPr>
  </w:style>
  <w:style w:type="paragraph" w:customStyle="1" w:styleId="DHSNumberslevel1">
    <w:name w:val="DHS Numbers level 1"/>
    <w:basedOn w:val="Normal"/>
    <w:qFormat/>
    <w:locked/>
    <w:rsid w:val="00F85641"/>
    <w:pPr>
      <w:numPr>
        <w:numId w:val="7"/>
      </w:numPr>
      <w:spacing w:after="120"/>
      <w:ind w:left="357" w:hanging="357"/>
    </w:pPr>
    <w:rPr>
      <w:rFonts w:ascii="Arial" w:hAnsi="Arial" w:cs="Arial"/>
      <w:sz w:val="22"/>
      <w:szCs w:val="22"/>
    </w:rPr>
  </w:style>
  <w:style w:type="paragraph" w:customStyle="1" w:styleId="DHSNumberslevel2">
    <w:name w:val="DHS Numbers level 2"/>
    <w:basedOn w:val="DHSNumberslevel1"/>
    <w:qFormat/>
    <w:locked/>
    <w:rsid w:val="00772C06"/>
    <w:pPr>
      <w:numPr>
        <w:numId w:val="8"/>
      </w:numPr>
      <w:ind w:left="680" w:hanging="340"/>
    </w:pPr>
  </w:style>
  <w:style w:type="character" w:customStyle="1" w:styleId="Heading1Char">
    <w:name w:val="Heading 1 Char"/>
    <w:link w:val="Heading1"/>
    <w:semiHidden/>
    <w:rsid w:val="00C207C1"/>
    <w:rPr>
      <w:rFonts w:ascii="Cambria" w:hAnsi="Cambria"/>
      <w:b/>
      <w:bCs/>
      <w:kern w:val="32"/>
      <w:sz w:val="32"/>
      <w:szCs w:val="32"/>
    </w:rPr>
  </w:style>
  <w:style w:type="character" w:customStyle="1" w:styleId="Heading2Char">
    <w:name w:val="Heading 2 Char"/>
    <w:link w:val="Heading2"/>
    <w:semiHidden/>
    <w:rsid w:val="00AC34FD"/>
    <w:rPr>
      <w:rFonts w:ascii="Cambria" w:eastAsia="Times New Roman" w:hAnsi="Cambria" w:cs="Times New Roman"/>
      <w:b/>
      <w:bCs/>
      <w:i/>
      <w:iCs/>
      <w:sz w:val="28"/>
      <w:szCs w:val="28"/>
    </w:rPr>
  </w:style>
  <w:style w:type="character" w:customStyle="1" w:styleId="Heading3Char">
    <w:name w:val="Heading 3 Char"/>
    <w:link w:val="Heading3"/>
    <w:semiHidden/>
    <w:rsid w:val="00AC34FD"/>
    <w:rPr>
      <w:rFonts w:ascii="Cambria" w:eastAsia="Times New Roman" w:hAnsi="Cambria" w:cs="Times New Roman"/>
      <w:b/>
      <w:bCs/>
      <w:sz w:val="26"/>
      <w:szCs w:val="26"/>
    </w:rPr>
  </w:style>
  <w:style w:type="character" w:customStyle="1" w:styleId="Heading4Char">
    <w:name w:val="Heading 4 Char"/>
    <w:link w:val="Heading4"/>
    <w:semiHidden/>
    <w:rsid w:val="00AC34FD"/>
    <w:rPr>
      <w:rFonts w:ascii="Calibri" w:eastAsia="Times New Roman" w:hAnsi="Calibri" w:cs="Times New Roman"/>
      <w:b/>
      <w:bCs/>
      <w:sz w:val="28"/>
      <w:szCs w:val="28"/>
    </w:rPr>
  </w:style>
  <w:style w:type="paragraph" w:customStyle="1" w:styleId="DHSBulletslevel">
    <w:name w:val="DHS Bullets level"/>
    <w:basedOn w:val="Normal"/>
    <w:locked/>
    <w:rsid w:val="00EB20C6"/>
    <w:pPr>
      <w:numPr>
        <w:numId w:val="13"/>
      </w:numPr>
      <w:spacing w:after="120"/>
    </w:pPr>
    <w:rPr>
      <w:rFonts w:asciiTheme="minorHAnsi" w:hAnsiTheme="minorHAnsi" w:cstheme="minorHAnsi"/>
      <w:sz w:val="22"/>
      <w:szCs w:val="22"/>
    </w:rPr>
  </w:style>
  <w:style w:type="paragraph" w:styleId="ListParagraph">
    <w:name w:val="List Paragraph"/>
    <w:basedOn w:val="Normal"/>
    <w:uiPriority w:val="34"/>
    <w:qFormat/>
    <w:rsid w:val="00510D3F"/>
    <w:pPr>
      <w:ind w:left="720"/>
      <w:contextualSpacing/>
    </w:pPr>
    <w:rPr>
      <w:rFonts w:eastAsiaTheme="minorEastAsia"/>
    </w:rPr>
  </w:style>
  <w:style w:type="paragraph" w:styleId="BalloonText">
    <w:name w:val="Balloon Text"/>
    <w:basedOn w:val="Normal"/>
    <w:link w:val="BalloonTextChar"/>
    <w:rsid w:val="00A82C12"/>
    <w:rPr>
      <w:rFonts w:ascii="Segoe UI" w:hAnsi="Segoe UI" w:cs="Segoe UI"/>
      <w:sz w:val="18"/>
      <w:szCs w:val="18"/>
    </w:rPr>
  </w:style>
  <w:style w:type="character" w:customStyle="1" w:styleId="BalloonTextChar">
    <w:name w:val="Balloon Text Char"/>
    <w:basedOn w:val="DefaultParagraphFont"/>
    <w:link w:val="BalloonText"/>
    <w:rsid w:val="00A82C12"/>
    <w:rPr>
      <w:rFonts w:ascii="Segoe UI" w:hAnsi="Segoe UI" w:cs="Segoe UI"/>
      <w:sz w:val="18"/>
      <w:szCs w:val="18"/>
    </w:rPr>
  </w:style>
  <w:style w:type="character" w:styleId="CommentReference">
    <w:name w:val="annotation reference"/>
    <w:basedOn w:val="DefaultParagraphFont"/>
    <w:rsid w:val="00CC24BE"/>
    <w:rPr>
      <w:sz w:val="16"/>
      <w:szCs w:val="16"/>
    </w:rPr>
  </w:style>
  <w:style w:type="paragraph" w:styleId="CommentText">
    <w:name w:val="annotation text"/>
    <w:basedOn w:val="Normal"/>
    <w:link w:val="CommentTextChar"/>
    <w:rsid w:val="00CC24BE"/>
    <w:rPr>
      <w:sz w:val="20"/>
      <w:szCs w:val="20"/>
    </w:rPr>
  </w:style>
  <w:style w:type="character" w:customStyle="1" w:styleId="CommentTextChar">
    <w:name w:val="Comment Text Char"/>
    <w:basedOn w:val="DefaultParagraphFont"/>
    <w:link w:val="CommentText"/>
    <w:rsid w:val="00CC24BE"/>
  </w:style>
  <w:style w:type="paragraph" w:styleId="CommentSubject">
    <w:name w:val="annotation subject"/>
    <w:basedOn w:val="CommentText"/>
    <w:next w:val="CommentText"/>
    <w:link w:val="CommentSubjectChar"/>
    <w:rsid w:val="00CC24BE"/>
    <w:rPr>
      <w:b/>
      <w:bCs/>
    </w:rPr>
  </w:style>
  <w:style w:type="character" w:customStyle="1" w:styleId="CommentSubjectChar">
    <w:name w:val="Comment Subject Char"/>
    <w:basedOn w:val="CommentTextChar"/>
    <w:link w:val="CommentSubject"/>
    <w:rsid w:val="00CC24BE"/>
    <w:rPr>
      <w:b/>
      <w:bCs/>
    </w:rPr>
  </w:style>
  <w:style w:type="paragraph" w:customStyle="1" w:styleId="CABNETParagraph">
    <w:name w:val="CABNET Paragraph."/>
    <w:basedOn w:val="Normal"/>
    <w:link w:val="CABNETParagraphChar"/>
    <w:uiPriority w:val="98"/>
    <w:qFormat/>
    <w:locked/>
    <w:rsid w:val="00EE1ACE"/>
    <w:pPr>
      <w:spacing w:before="120" w:after="120"/>
    </w:pPr>
    <w:rPr>
      <w:rFonts w:ascii="Arial" w:eastAsiaTheme="minorHAnsi" w:hAnsi="Arial" w:cstheme="minorHAnsi"/>
      <w:sz w:val="22"/>
      <w:szCs w:val="22"/>
      <w:lang w:eastAsia="en-US"/>
    </w:rPr>
  </w:style>
  <w:style w:type="character" w:customStyle="1" w:styleId="CABNETParagraphChar">
    <w:name w:val="CABNET Paragraph. Char"/>
    <w:basedOn w:val="DefaultParagraphFont"/>
    <w:link w:val="CABNETParagraph"/>
    <w:uiPriority w:val="98"/>
    <w:rsid w:val="00EE1ACE"/>
    <w:rPr>
      <w:rFonts w:ascii="Arial" w:eastAsiaTheme="minorHAnsi" w:hAnsi="Arial" w:cstheme="minorHAnsi"/>
      <w:sz w:val="22"/>
      <w:szCs w:val="22"/>
      <w:lang w:eastAsia="en-US"/>
    </w:rPr>
  </w:style>
  <w:style w:type="character" w:styleId="PlaceholderText">
    <w:name w:val="Placeholder Text"/>
    <w:basedOn w:val="DefaultParagraphFont"/>
    <w:uiPriority w:val="99"/>
    <w:semiHidden/>
    <w:rsid w:val="009434C2"/>
    <w:rPr>
      <w:color w:val="808080"/>
    </w:rPr>
  </w:style>
  <w:style w:type="character" w:customStyle="1" w:styleId="Style1">
    <w:name w:val="Style1"/>
    <w:basedOn w:val="DefaultParagraphFont"/>
    <w:uiPriority w:val="1"/>
    <w:locked/>
    <w:rsid w:val="00D52C59"/>
    <w:rPr>
      <w:rFonts w:ascii="Arial" w:hAnsi="Arial"/>
      <w:sz w:val="24"/>
    </w:rPr>
  </w:style>
  <w:style w:type="character" w:customStyle="1" w:styleId="Style2">
    <w:name w:val="Style2"/>
    <w:basedOn w:val="DefaultParagraphFont"/>
    <w:uiPriority w:val="1"/>
    <w:locked/>
    <w:rsid w:val="00D52C59"/>
    <w:rPr>
      <w:rFonts w:ascii="Arial" w:hAnsi="Arial"/>
      <w:sz w:val="24"/>
    </w:rPr>
  </w:style>
  <w:style w:type="character" w:customStyle="1" w:styleId="FooterChar">
    <w:name w:val="Footer Char"/>
    <w:basedOn w:val="DefaultParagraphFont"/>
    <w:link w:val="Footer"/>
    <w:semiHidden/>
    <w:rsid w:val="00FF2C3C"/>
    <w:rPr>
      <w:sz w:val="24"/>
      <w:szCs w:val="24"/>
    </w:rPr>
  </w:style>
  <w:style w:type="character" w:styleId="FollowedHyperlink">
    <w:name w:val="FollowedHyperlink"/>
    <w:basedOn w:val="DefaultParagraphFont"/>
    <w:rsid w:val="0036436D"/>
    <w:rPr>
      <w:color w:val="954F72" w:themeColor="followedHyperlink"/>
      <w:u w:val="single"/>
    </w:rPr>
  </w:style>
  <w:style w:type="character" w:customStyle="1" w:styleId="Style3">
    <w:name w:val="Style3"/>
    <w:basedOn w:val="DefaultParagraphFont"/>
    <w:uiPriority w:val="1"/>
    <w:rsid w:val="00E4594F"/>
    <w:rPr>
      <w:rFonts w:ascii="Arial" w:hAnsi="Arial"/>
      <w:sz w:val="24"/>
    </w:rPr>
  </w:style>
  <w:style w:type="paragraph" w:styleId="NormalWeb">
    <w:name w:val="Normal (Web)"/>
    <w:basedOn w:val="Normal"/>
    <w:uiPriority w:val="99"/>
    <w:unhideWhenUsed/>
    <w:rsid w:val="004B6F21"/>
    <w:pPr>
      <w:spacing w:before="100" w:beforeAutospacing="1" w:after="100" w:afterAutospacing="1"/>
    </w:pPr>
  </w:style>
  <w:style w:type="paragraph" w:styleId="Revision">
    <w:name w:val="Revision"/>
    <w:hidden/>
    <w:uiPriority w:val="99"/>
    <w:semiHidden/>
    <w:rsid w:val="001A214B"/>
    <w:rPr>
      <w:sz w:val="24"/>
      <w:szCs w:val="24"/>
    </w:rPr>
  </w:style>
  <w:style w:type="character" w:customStyle="1" w:styleId="UnresolvedMention1">
    <w:name w:val="Unresolved Mention1"/>
    <w:basedOn w:val="DefaultParagraphFont"/>
    <w:uiPriority w:val="99"/>
    <w:semiHidden/>
    <w:unhideWhenUsed/>
    <w:rsid w:val="00EE3E1E"/>
    <w:rPr>
      <w:color w:val="605E5C"/>
      <w:shd w:val="clear" w:color="auto" w:fill="E1DFDD"/>
    </w:rPr>
  </w:style>
  <w:style w:type="character" w:customStyle="1" w:styleId="StyleArial10pt">
    <w:name w:val="Style Arial 10 pt"/>
    <w:basedOn w:val="DefaultParagraphFont"/>
    <w:uiPriority w:val="99"/>
    <w:rsid w:val="00497E56"/>
    <w:rPr>
      <w:rFonts w:ascii="Arial" w:hAnsi="Arial" w:cs="Times New Roman"/>
      <w:sz w:val="20"/>
    </w:rPr>
  </w:style>
  <w:style w:type="character" w:customStyle="1" w:styleId="UnresolvedMention2">
    <w:name w:val="Unresolved Mention2"/>
    <w:basedOn w:val="DefaultParagraphFont"/>
    <w:uiPriority w:val="99"/>
    <w:semiHidden/>
    <w:unhideWhenUsed/>
    <w:rsid w:val="009C4C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029500">
      <w:bodyDiv w:val="1"/>
      <w:marLeft w:val="0"/>
      <w:marRight w:val="0"/>
      <w:marTop w:val="0"/>
      <w:marBottom w:val="0"/>
      <w:divBdr>
        <w:top w:val="none" w:sz="0" w:space="0" w:color="auto"/>
        <w:left w:val="none" w:sz="0" w:space="0" w:color="auto"/>
        <w:bottom w:val="none" w:sz="0" w:space="0" w:color="auto"/>
        <w:right w:val="none" w:sz="0" w:space="0" w:color="auto"/>
      </w:divBdr>
    </w:div>
    <w:div w:id="121928661">
      <w:bodyDiv w:val="1"/>
      <w:marLeft w:val="0"/>
      <w:marRight w:val="0"/>
      <w:marTop w:val="0"/>
      <w:marBottom w:val="0"/>
      <w:divBdr>
        <w:top w:val="none" w:sz="0" w:space="0" w:color="auto"/>
        <w:left w:val="none" w:sz="0" w:space="0" w:color="auto"/>
        <w:bottom w:val="none" w:sz="0" w:space="0" w:color="auto"/>
        <w:right w:val="none" w:sz="0" w:space="0" w:color="auto"/>
      </w:divBdr>
    </w:div>
    <w:div w:id="994181988">
      <w:bodyDiv w:val="1"/>
      <w:marLeft w:val="0"/>
      <w:marRight w:val="0"/>
      <w:marTop w:val="0"/>
      <w:marBottom w:val="0"/>
      <w:divBdr>
        <w:top w:val="none" w:sz="0" w:space="0" w:color="auto"/>
        <w:left w:val="none" w:sz="0" w:space="0" w:color="auto"/>
        <w:bottom w:val="none" w:sz="0" w:space="0" w:color="auto"/>
        <w:right w:val="none" w:sz="0" w:space="0" w:color="auto"/>
      </w:divBdr>
    </w:div>
    <w:div w:id="1152674274">
      <w:bodyDiv w:val="1"/>
      <w:marLeft w:val="0"/>
      <w:marRight w:val="0"/>
      <w:marTop w:val="0"/>
      <w:marBottom w:val="0"/>
      <w:divBdr>
        <w:top w:val="none" w:sz="0" w:space="0" w:color="auto"/>
        <w:left w:val="none" w:sz="0" w:space="0" w:color="auto"/>
        <w:bottom w:val="none" w:sz="0" w:space="0" w:color="auto"/>
        <w:right w:val="none" w:sz="0" w:space="0" w:color="auto"/>
      </w:divBdr>
    </w:div>
    <w:div w:id="1252541502">
      <w:bodyDiv w:val="1"/>
      <w:marLeft w:val="0"/>
      <w:marRight w:val="0"/>
      <w:marTop w:val="0"/>
      <w:marBottom w:val="0"/>
      <w:divBdr>
        <w:top w:val="none" w:sz="0" w:space="0" w:color="auto"/>
        <w:left w:val="none" w:sz="0" w:space="0" w:color="auto"/>
        <w:bottom w:val="none" w:sz="0" w:space="0" w:color="auto"/>
        <w:right w:val="none" w:sz="0" w:space="0" w:color="auto"/>
      </w:divBdr>
    </w:div>
    <w:div w:id="1546677841">
      <w:bodyDiv w:val="1"/>
      <w:marLeft w:val="0"/>
      <w:marRight w:val="0"/>
      <w:marTop w:val="0"/>
      <w:marBottom w:val="0"/>
      <w:divBdr>
        <w:top w:val="none" w:sz="0" w:space="0" w:color="auto"/>
        <w:left w:val="none" w:sz="0" w:space="0" w:color="auto"/>
        <w:bottom w:val="none" w:sz="0" w:space="0" w:color="auto"/>
        <w:right w:val="none" w:sz="0" w:space="0" w:color="auto"/>
      </w:divBdr>
    </w:div>
    <w:div w:id="1835562246">
      <w:bodyDiv w:val="1"/>
      <w:marLeft w:val="0"/>
      <w:marRight w:val="0"/>
      <w:marTop w:val="0"/>
      <w:marBottom w:val="0"/>
      <w:divBdr>
        <w:top w:val="none" w:sz="0" w:space="0" w:color="auto"/>
        <w:left w:val="none" w:sz="0" w:space="0" w:color="auto"/>
        <w:bottom w:val="none" w:sz="0" w:space="0" w:color="auto"/>
        <w:right w:val="none" w:sz="0" w:space="0" w:color="auto"/>
      </w:divBdr>
    </w:div>
    <w:div w:id="2103911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D31C18-9CC1-4793-9BD4-F8DCBB451B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1077</Words>
  <Characters>6330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Strengthening Medicare – an effective and clinically appropriate Medicare Benefits Schedule (MBS)</dc:title>
  <dc:subject/>
  <dc:creator>Services Australia</dc:creator>
  <cp:keywords>Budget 2024-25</cp:keywords>
  <dc:description/>
  <cp:lastModifiedBy/>
  <cp:revision>1</cp:revision>
  <dcterms:created xsi:type="dcterms:W3CDTF">2024-05-14T06:57:00Z</dcterms:created>
  <dcterms:modified xsi:type="dcterms:W3CDTF">2024-05-14T07:00:00Z</dcterms:modified>
</cp:coreProperties>
</file>