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CBAF" w14:textId="170D75D4" w:rsidR="00150FAA" w:rsidRDefault="00BA19AF" w:rsidP="00FD0A3C">
      <w:pPr>
        <w:pStyle w:val="Title"/>
      </w:pPr>
      <w:r>
        <w:rPr>
          <w:noProof/>
          <w:lang w:eastAsia="en-AU"/>
        </w:rPr>
        <mc:AlternateContent>
          <mc:Choice Requires="wps">
            <w:drawing>
              <wp:anchor distT="0" distB="0" distL="114300" distR="114300" simplePos="0" relativeHeight="251663360" behindDoc="0" locked="0" layoutInCell="1" allowOverlap="1" wp14:anchorId="550955FE" wp14:editId="2A18833F">
                <wp:simplePos x="0" y="0"/>
                <wp:positionH relativeFrom="column">
                  <wp:posOffset>-908050</wp:posOffset>
                </wp:positionH>
                <wp:positionV relativeFrom="paragraph">
                  <wp:posOffset>1097915</wp:posOffset>
                </wp:positionV>
                <wp:extent cx="7540625" cy="352304"/>
                <wp:effectExtent l="0" t="0" r="3175" b="0"/>
                <wp:wrapNone/>
                <wp:docPr id="2" name="Rectangle 2" descr="Decorative image" title="Decorative image"/>
                <wp:cNvGraphicFramePr/>
                <a:graphic xmlns:a="http://schemas.openxmlformats.org/drawingml/2006/main">
                  <a:graphicData uri="http://schemas.microsoft.com/office/word/2010/wordprocessingShape">
                    <wps:wsp>
                      <wps:cNvSpPr/>
                      <wps:spPr>
                        <a:xfrm>
                          <a:off x="0" y="0"/>
                          <a:ext cx="7540625" cy="3523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30F795" id="Rectangle 2" o:spid="_x0000_s1026" alt="Title: Decorative image - Description: Decorative image" style="position:absolute;margin-left:-71.5pt;margin-top:86.45pt;width:593.75pt;height:2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" fillcolor="white [3212]" stroked="f" strokeweight="1pt"/>
            </w:pict>
          </mc:Fallback>
        </mc:AlternateContent>
      </w:r>
      <w:r w:rsidRPr="00150FAA">
        <w:rPr>
          <w:noProof/>
          <w:lang w:eastAsia="en-AU"/>
        </w:rPr>
        <w:drawing>
          <wp:anchor distT="0" distB="0" distL="114300" distR="114300" simplePos="0" relativeHeight="251659264" behindDoc="1" locked="0" layoutInCell="1" allowOverlap="1" wp14:anchorId="5EE17473" wp14:editId="5467C648">
            <wp:simplePos x="0" y="0"/>
            <wp:positionH relativeFrom="page">
              <wp:posOffset>4445</wp:posOffset>
            </wp:positionH>
            <wp:positionV relativeFrom="page">
              <wp:posOffset>15240</wp:posOffset>
            </wp:positionV>
            <wp:extent cx="7540625" cy="10659110"/>
            <wp:effectExtent l="0" t="0" r="3175" b="8890"/>
            <wp:wrapNone/>
            <wp:docPr id="1" name="Picture 1" descr="Decorative cover page image showing an abstract magnifying glass" title="Decorative cover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006.2302_ENT_ITPC_D1.png"/>
                    <pic:cNvPicPr/>
                  </pic:nvPicPr>
                  <pic:blipFill>
                    <a:blip r:embed="rId8">
                      <a:extLst>
                        <a:ext uri="{28A0092B-C50C-407E-A947-70E740481C1C}">
                          <a14:useLocalDpi xmlns:a14="http://schemas.microsoft.com/office/drawing/2010/main" val="0"/>
                        </a:ext>
                      </a:extLst>
                    </a:blip>
                    <a:stretch>
                      <a:fillRect/>
                    </a:stretch>
                  </pic:blipFill>
                  <pic:spPr>
                    <a:xfrm>
                      <a:off x="0" y="0"/>
                      <a:ext cx="7540625" cy="10659110"/>
                    </a:xfrm>
                    <a:prstGeom prst="rect">
                      <a:avLst/>
                    </a:prstGeom>
                  </pic:spPr>
                </pic:pic>
              </a:graphicData>
            </a:graphic>
            <wp14:sizeRelH relativeFrom="margin">
              <wp14:pctWidth>0</wp14:pctWidth>
            </wp14:sizeRelH>
            <wp14:sizeRelV relativeFrom="margin">
              <wp14:pctHeight>0</wp14:pctHeight>
            </wp14:sizeRelV>
          </wp:anchor>
        </w:drawing>
      </w:r>
      <w:r w:rsidR="001D7C1A" w:rsidRPr="00150FAA">
        <w:rPr>
          <w:noProof/>
          <w:lang w:eastAsia="en-AU"/>
        </w:rPr>
        <mc:AlternateContent>
          <mc:Choice Requires="wps">
            <w:drawing>
              <wp:anchor distT="0" distB="0" distL="114300" distR="114300" simplePos="0" relativeHeight="251660288" behindDoc="0" locked="0" layoutInCell="1" allowOverlap="1" wp14:anchorId="69EC532A" wp14:editId="3F7F0A71">
                <wp:simplePos x="0" y="0"/>
                <wp:positionH relativeFrom="margin">
                  <wp:align>center</wp:align>
                </wp:positionH>
                <wp:positionV relativeFrom="paragraph">
                  <wp:posOffset>0</wp:posOffset>
                </wp:positionV>
                <wp:extent cx="6153150" cy="79883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153150" cy="798830"/>
                        </a:xfrm>
                        <a:prstGeom prst="rect">
                          <a:avLst/>
                        </a:prstGeom>
                        <a:noFill/>
                        <a:ln w="6350">
                          <a:noFill/>
                        </a:ln>
                      </wps:spPr>
                      <wps:txbx>
                        <w:txbxContent>
                          <w:p w14:paraId="3E508F53" w14:textId="0804CED2" w:rsidR="005178F8" w:rsidRPr="00FD0A3C" w:rsidRDefault="005178F8" w:rsidP="00FF1E44">
                            <w:pPr>
                              <w:pStyle w:val="Title"/>
                              <w:rPr>
                                <w:rStyle w:val="SubtitleChar"/>
                              </w:rPr>
                            </w:pPr>
                            <w:r w:rsidRPr="00FF1E44">
                              <w:rPr>
                                <w:lang w:val="en-US"/>
                                <w14:textOutline w14:w="9525" w14:cap="rnd" w14:cmpd="sng" w14:algn="ctr">
                                  <w14:solidFill>
                                    <w14:schemeClr w14:val="tx1"/>
                                  </w14:solidFill>
                                  <w14:prstDash w14:val="solid"/>
                                  <w14:bevel/>
                                </w14:textOutline>
                              </w:rPr>
                              <w:t>Independent Review of Services Australia and NDIA Procurement and Contracting</w:t>
                            </w:r>
                            <w:r w:rsidR="00BA3FCA">
                              <w:rPr>
                                <w:lang w:val="en-US"/>
                                <w14:textOutline w14:w="9525" w14:cap="rnd" w14:cmpd="sng" w14:algn="ctr">
                                  <w14:solidFill>
                                    <w14:schemeClr w14:val="tx1"/>
                                  </w14:solidFill>
                                  <w14:prstDash w14:val="solid"/>
                                  <w14:bevel/>
                                </w14:textOutline>
                              </w:rPr>
                              <w:t>:</w:t>
                            </w:r>
                            <w:r w:rsidR="00FD0A3C" w:rsidRPr="00FD0A3C">
                              <w:rPr>
                                <w:rStyle w:val="SubtitleChar"/>
                              </w:rPr>
                              <w:t xml:space="preserve"> Independent Reviewer’s Report</w:t>
                            </w:r>
                          </w:p>
                          <w:p w14:paraId="4DB62DC9" w14:textId="77777777" w:rsidR="00FD0A3C" w:rsidRDefault="00FD0A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9EC532A" id="_x0000_t202" coordsize="21600,21600" o:spt="202" path="m,l,21600r21600,l21600,xe">
                <v:stroke joinstyle="miter"/>
                <v:path gradientshapeok="t" o:connecttype="rect"/>
              </v:shapetype>
              <v:shape id="Text Box 4" o:spid="_x0000_s1026" type="#_x0000_t202" style="position:absolute;margin-left:0;margin-top:0;width:484.5pt;height:62.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" filled="f" stroked="f" strokeweight=".5pt">
                <v:textbox style="mso-fit-shape-to-text:t">
                  <w:txbxContent>
                    <w:p w14:paraId="3E508F53" w14:textId="0804CED2" w:rsidR="005178F8" w:rsidRPr="00FD0A3C" w:rsidRDefault="005178F8" w:rsidP="00FF1E44">
                      <w:pPr>
                        <w:pStyle w:val="Title"/>
                        <w:rPr>
                          <w:rStyle w:val="SubtitleChar"/>
                        </w:rPr>
                      </w:pPr>
                      <w:r w:rsidRPr="00FF1E44">
                        <w:rPr>
                          <w:lang w:val="en-US"/>
                          <w14:textOutline w14:w="9525" w14:cap="rnd" w14:cmpd="sng" w14:algn="ctr">
                            <w14:solidFill>
                              <w14:schemeClr w14:val="tx1"/>
                            </w14:solidFill>
                            <w14:prstDash w14:val="solid"/>
                            <w14:bevel/>
                          </w14:textOutline>
                        </w:rPr>
                        <w:t>Independent Review of Services Australia and NDIA Procurement and Contracting</w:t>
                      </w:r>
                      <w:r w:rsidR="00BA3FCA">
                        <w:rPr>
                          <w:lang w:val="en-US"/>
                          <w14:textOutline w14:w="9525" w14:cap="rnd" w14:cmpd="sng" w14:algn="ctr">
                            <w14:solidFill>
                              <w14:schemeClr w14:val="tx1"/>
                            </w14:solidFill>
                            <w14:prstDash w14:val="solid"/>
                            <w14:bevel/>
                          </w14:textOutline>
                        </w:rPr>
                        <w:t>:</w:t>
                      </w:r>
                      <w:r w:rsidR="00FD0A3C" w:rsidRPr="00FD0A3C">
                        <w:rPr>
                          <w:rStyle w:val="SubtitleChar"/>
                        </w:rPr>
                        <w:t xml:space="preserve"> Independent Reviewer’s Report</w:t>
                      </w:r>
                    </w:p>
                    <w:p w14:paraId="4DB62DC9" w14:textId="77777777" w:rsidR="00FD0A3C" w:rsidRDefault="00FD0A3C"/>
                  </w:txbxContent>
                </v:textbox>
                <w10:wrap type="square" anchorx="margin"/>
              </v:shape>
            </w:pict>
          </mc:Fallback>
        </mc:AlternateContent>
      </w:r>
      <w:r w:rsidR="00150FAA" w:rsidRPr="00150FAA">
        <w:rPr>
          <w:noProof/>
          <w:lang w:eastAsia="en-AU"/>
        </w:rPr>
        <mc:AlternateContent>
          <mc:Choice Requires="wps">
            <w:drawing>
              <wp:anchor distT="0" distB="0" distL="114300" distR="114300" simplePos="0" relativeHeight="251661312" behindDoc="0" locked="0" layoutInCell="1" allowOverlap="1" wp14:anchorId="5AB2FD1B" wp14:editId="00A3EAAE">
                <wp:simplePos x="0" y="0"/>
                <wp:positionH relativeFrom="column">
                  <wp:posOffset>-184150</wp:posOffset>
                </wp:positionH>
                <wp:positionV relativeFrom="paragraph">
                  <wp:posOffset>1828800</wp:posOffset>
                </wp:positionV>
                <wp:extent cx="591185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911850" cy="1828800"/>
                        </a:xfrm>
                        <a:prstGeom prst="rect">
                          <a:avLst/>
                        </a:prstGeom>
                        <a:noFill/>
                        <a:ln w="6350">
                          <a:noFill/>
                        </a:ln>
                      </wps:spPr>
                      <wps:txbx>
                        <w:txbxContent>
                          <w:p w14:paraId="4B53B639" w14:textId="5B885BEA" w:rsidR="005178F8" w:rsidRPr="00FF1E44" w:rsidRDefault="00BA19AF" w:rsidP="00150FAA">
                            <w:pPr>
                              <w:rPr>
                                <w:color w:val="FFFFFF" w:themeColor="background1"/>
                                <w:sz w:val="28"/>
                                <w:lang w:val="en-US"/>
                              </w:rPr>
                            </w:pPr>
                            <w:r>
                              <w:rPr>
                                <w:color w:val="FFFFFF" w:themeColor="background1"/>
                                <w:sz w:val="28"/>
                                <w:lang w:val="en-US"/>
                              </w:rPr>
                              <w:t xml:space="preserve">6 March </w:t>
                            </w:r>
                            <w:r w:rsidR="005178F8" w:rsidRPr="00FF1E44">
                              <w:rPr>
                                <w:color w:val="FFFFFF" w:themeColor="background1"/>
                                <w:sz w:val="28"/>
                                <w:lang w:val="en-US"/>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AB2FD1B" id="Text Box 5" o:spid="_x0000_s1027" type="#_x0000_t202" style="position:absolute;margin-left:-14.5pt;margin-top:2in;width:465.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" filled="f" stroked="f" strokeweight=".5pt">
                <v:textbox style="mso-fit-shape-to-text:t">
                  <w:txbxContent>
                    <w:p w14:paraId="4B53B639" w14:textId="5B885BEA" w:rsidR="005178F8" w:rsidRPr="00FF1E44" w:rsidRDefault="00BA19AF" w:rsidP="00150FAA">
                      <w:pPr>
                        <w:rPr>
                          <w:color w:val="FFFFFF" w:themeColor="background1"/>
                          <w:sz w:val="28"/>
                          <w:lang w:val="en-US"/>
                        </w:rPr>
                      </w:pPr>
                      <w:r>
                        <w:rPr>
                          <w:color w:val="FFFFFF" w:themeColor="background1"/>
                          <w:sz w:val="28"/>
                          <w:lang w:val="en-US"/>
                        </w:rPr>
                        <w:t xml:space="preserve">6 March </w:t>
                      </w:r>
                      <w:r w:rsidR="005178F8" w:rsidRPr="00FF1E44">
                        <w:rPr>
                          <w:color w:val="FFFFFF" w:themeColor="background1"/>
                          <w:sz w:val="28"/>
                          <w:lang w:val="en-US"/>
                        </w:rPr>
                        <w:t>2023</w:t>
                      </w:r>
                    </w:p>
                  </w:txbxContent>
                </v:textbox>
                <w10:wrap type="square"/>
              </v:shape>
            </w:pict>
          </mc:Fallback>
        </mc:AlternateContent>
      </w:r>
      <w:r w:rsidR="00150FAA">
        <w:br w:type="page"/>
      </w:r>
    </w:p>
    <w:p w14:paraId="25754CA6" w14:textId="77777777" w:rsidR="00DA503D" w:rsidRPr="00153766" w:rsidRDefault="00810B5D" w:rsidP="00FF1E44">
      <w:pPr>
        <w:pStyle w:val="Heading1"/>
      </w:pPr>
      <w:r w:rsidRPr="000F0C99">
        <w:lastRenderedPageBreak/>
        <w:t>Introduction</w:t>
      </w:r>
    </w:p>
    <w:p w14:paraId="200A52D9" w14:textId="70A93526" w:rsidR="00DA503D" w:rsidRPr="00DA503D" w:rsidRDefault="00DA503D" w:rsidP="00FF1E44">
      <w:r>
        <w:t>O</w:t>
      </w:r>
      <w:r w:rsidRPr="003F03CE">
        <w:t>n 1 December 2022</w:t>
      </w:r>
      <w:r>
        <w:t>, t</w:t>
      </w:r>
      <w:r w:rsidRPr="00153766">
        <w:t xml:space="preserve">he </w:t>
      </w:r>
      <w:r w:rsidRPr="003F03CE">
        <w:t xml:space="preserve">Minister for Government </w:t>
      </w:r>
      <w:proofErr w:type="gramStart"/>
      <w:r w:rsidRPr="003F03CE">
        <w:t>Services</w:t>
      </w:r>
      <w:proofErr w:type="gramEnd"/>
      <w:r w:rsidRPr="003F03CE">
        <w:t xml:space="preserve"> and the Minister for the National Disability Insurance Scheme (NDIS), the Hon Bill Shorten MP </w:t>
      </w:r>
      <w:r w:rsidR="00C528F6">
        <w:t xml:space="preserve">announced that </w:t>
      </w:r>
      <w:r w:rsidR="00C528F6">
        <w:br/>
        <w:t xml:space="preserve">Ms Rebecca Skinner PSM, CEO, Services Australia </w:t>
      </w:r>
      <w:r w:rsidR="007078D1">
        <w:t xml:space="preserve">(SA) </w:t>
      </w:r>
      <w:r w:rsidR="00C528F6">
        <w:t>and Ms Rebecca Falkingham PSM, CEO, Na</w:t>
      </w:r>
      <w:r w:rsidR="000B1BCC">
        <w:t>t</w:t>
      </w:r>
      <w:r w:rsidR="00C528F6">
        <w:t xml:space="preserve">ional Disability Insurance Agency (NDIA), had jointly </w:t>
      </w:r>
      <w:r>
        <w:t xml:space="preserve">established </w:t>
      </w:r>
      <w:r w:rsidR="000F0C99">
        <w:t xml:space="preserve">the </w:t>
      </w:r>
      <w:r w:rsidRPr="00153766">
        <w:rPr>
          <w:lang w:eastAsia="en-AU"/>
        </w:rPr>
        <w:t>Independent Review of Services Australia and NDIA Procurement and Contracting</w:t>
      </w:r>
      <w:r w:rsidRPr="00153766">
        <w:t xml:space="preserve"> (the</w:t>
      </w:r>
      <w:r w:rsidR="006E3557">
        <w:t> </w:t>
      </w:r>
      <w:r w:rsidRPr="00153766">
        <w:t>Review)</w:t>
      </w:r>
      <w:r w:rsidR="00C528F6">
        <w:t>.</w:t>
      </w:r>
    </w:p>
    <w:p w14:paraId="471920CE" w14:textId="2668D530" w:rsidR="00DA503D" w:rsidRDefault="001E270B" w:rsidP="00FF1E44">
      <w:r>
        <w:t xml:space="preserve">A </w:t>
      </w:r>
      <w:r w:rsidR="00DA503D">
        <w:t xml:space="preserve">joint </w:t>
      </w:r>
      <w:r w:rsidR="00CF423C">
        <w:t>NDIA-SA</w:t>
      </w:r>
      <w:r w:rsidR="00DA503D">
        <w:t xml:space="preserve"> Tas</w:t>
      </w:r>
      <w:r w:rsidR="009C6F97">
        <w:t>k</w:t>
      </w:r>
      <w:r w:rsidR="00DA503D">
        <w:t xml:space="preserve">force </w:t>
      </w:r>
      <w:r w:rsidR="009C6F97">
        <w:t>(‘</w:t>
      </w:r>
      <w:r w:rsidR="000F0C99">
        <w:t xml:space="preserve">the </w:t>
      </w:r>
      <w:r w:rsidR="009C6F97">
        <w:t xml:space="preserve">Taskforce’) </w:t>
      </w:r>
      <w:r w:rsidR="00DA503D">
        <w:t xml:space="preserve">was established to support the Review led by </w:t>
      </w:r>
      <w:r w:rsidR="001B006D">
        <w:t>the Independent Reviewer, Dr Ian Watt AC</w:t>
      </w:r>
      <w:r w:rsidR="00800716">
        <w:t xml:space="preserve"> (the Reviewer).</w:t>
      </w:r>
    </w:p>
    <w:p w14:paraId="341D2DEE" w14:textId="5BD1F84F" w:rsidR="00032DFD" w:rsidRDefault="00873D60" w:rsidP="00FF1E44">
      <w:pPr>
        <w:rPr>
          <w:rFonts w:cs="Arial"/>
        </w:rPr>
      </w:pPr>
      <w:r>
        <w:rPr>
          <w:rFonts w:cs="Arial"/>
        </w:rPr>
        <w:t>Since then</w:t>
      </w:r>
      <w:r w:rsidR="00DA503D">
        <w:rPr>
          <w:rFonts w:cs="Arial"/>
        </w:rPr>
        <w:t xml:space="preserve">, the Taskforce </w:t>
      </w:r>
      <w:r>
        <w:rPr>
          <w:rFonts w:cs="Arial"/>
        </w:rPr>
        <w:t xml:space="preserve">has </w:t>
      </w:r>
      <w:r w:rsidR="00DA503D" w:rsidRPr="00153766">
        <w:rPr>
          <w:rFonts w:cs="Arial"/>
        </w:rPr>
        <w:t>assessed whether internal agency procurement and contracting processes</w:t>
      </w:r>
      <w:r w:rsidR="00032DFD">
        <w:rPr>
          <w:rFonts w:cs="Arial"/>
        </w:rPr>
        <w:t xml:space="preserve"> </w:t>
      </w:r>
      <w:r w:rsidR="00DA503D" w:rsidRPr="00153766">
        <w:rPr>
          <w:rFonts w:cs="Arial"/>
        </w:rPr>
        <w:t xml:space="preserve">related to </w:t>
      </w:r>
      <w:r w:rsidR="001E270B">
        <w:rPr>
          <w:rFonts w:cs="Arial"/>
        </w:rPr>
        <w:t xml:space="preserve">matters raised in the media regarding </w:t>
      </w:r>
      <w:r w:rsidR="00DA503D" w:rsidRPr="00153766">
        <w:rPr>
          <w:rFonts w:cs="Arial"/>
        </w:rPr>
        <w:t>Synergy 360</w:t>
      </w:r>
      <w:r w:rsidR="001E270B">
        <w:rPr>
          <w:rFonts w:cs="Arial"/>
        </w:rPr>
        <w:t xml:space="preserve"> and</w:t>
      </w:r>
      <w:r w:rsidR="00DA503D" w:rsidRPr="00153766">
        <w:rPr>
          <w:rFonts w:cs="Arial"/>
        </w:rPr>
        <w:t xml:space="preserve"> associated entities were consistent with the Commonwealth Procurement Rules</w:t>
      </w:r>
      <w:r w:rsidR="009F0CA4">
        <w:rPr>
          <w:rFonts w:cs="Arial"/>
        </w:rPr>
        <w:t xml:space="preserve"> (CPRs)</w:t>
      </w:r>
      <w:r w:rsidR="00DA503D" w:rsidRPr="00153766">
        <w:rPr>
          <w:rFonts w:cs="Arial"/>
        </w:rPr>
        <w:t xml:space="preserve"> and </w:t>
      </w:r>
      <w:r>
        <w:rPr>
          <w:rFonts w:cs="Arial"/>
        </w:rPr>
        <w:t>good</w:t>
      </w:r>
      <w:r w:rsidRPr="00153766">
        <w:rPr>
          <w:rFonts w:cs="Arial"/>
        </w:rPr>
        <w:t xml:space="preserve"> </w:t>
      </w:r>
      <w:r w:rsidR="00DA503D" w:rsidRPr="00153766">
        <w:rPr>
          <w:rFonts w:cs="Arial"/>
        </w:rPr>
        <w:t>practice, where applicable.</w:t>
      </w:r>
      <w:r w:rsidR="00E450F1">
        <w:rPr>
          <w:rFonts w:cs="Arial"/>
        </w:rPr>
        <w:t xml:space="preserve"> </w:t>
      </w:r>
      <w:r w:rsidR="00E86E9E">
        <w:rPr>
          <w:rFonts w:cs="Arial"/>
        </w:rPr>
        <w:t xml:space="preserve">A list of </w:t>
      </w:r>
      <w:r w:rsidR="007734B3">
        <w:rPr>
          <w:rFonts w:cs="Arial"/>
        </w:rPr>
        <w:t xml:space="preserve">entities </w:t>
      </w:r>
      <w:r w:rsidR="002F548D">
        <w:rPr>
          <w:rFonts w:cs="Arial"/>
        </w:rPr>
        <w:t xml:space="preserve">with procurements in scope </w:t>
      </w:r>
      <w:r w:rsidR="0063708D">
        <w:rPr>
          <w:rFonts w:cs="Arial"/>
        </w:rPr>
        <w:t xml:space="preserve">for the Review is included </w:t>
      </w:r>
      <w:r w:rsidR="00353A9E">
        <w:rPr>
          <w:rFonts w:cs="Arial"/>
        </w:rPr>
        <w:t>in the Taskforce Report</w:t>
      </w:r>
      <w:r w:rsidR="00E86E9E">
        <w:rPr>
          <w:rFonts w:cs="Arial"/>
        </w:rPr>
        <w:t>.</w:t>
      </w:r>
    </w:p>
    <w:p w14:paraId="6E6EA002" w14:textId="1EC758F3" w:rsidR="00783DE9" w:rsidRDefault="00032DFD" w:rsidP="00FF1E44">
      <w:pPr>
        <w:rPr>
          <w:rFonts w:cs="Arial"/>
        </w:rPr>
      </w:pPr>
      <w:r>
        <w:rPr>
          <w:rFonts w:cs="Arial"/>
        </w:rPr>
        <w:t xml:space="preserve">Media reporting alleged that Synergy 360 was lobbying government officials on behalf of </w:t>
      </w:r>
      <w:proofErr w:type="gramStart"/>
      <w:r>
        <w:rPr>
          <w:rFonts w:cs="Arial"/>
        </w:rPr>
        <w:t>companies, and</w:t>
      </w:r>
      <w:proofErr w:type="gramEnd"/>
      <w:r>
        <w:rPr>
          <w:rFonts w:cs="Arial"/>
        </w:rPr>
        <w:t xml:space="preserve"> was paid a commission if a contract was successfully secured.</w:t>
      </w:r>
      <w:r>
        <w:rPr>
          <w:rStyle w:val="FootnoteReference"/>
          <w:rFonts w:cs="Arial"/>
        </w:rPr>
        <w:footnoteReference w:id="2"/>
      </w:r>
      <w:r>
        <w:rPr>
          <w:rFonts w:cs="Arial"/>
        </w:rPr>
        <w:t xml:space="preserve"> </w:t>
      </w:r>
      <w:r w:rsidR="000E37DD">
        <w:rPr>
          <w:rFonts w:cs="Arial"/>
        </w:rPr>
        <w:t>The media reports included copies of alleged leaked Synergy 360 emails from 2017</w:t>
      </w:r>
      <w:r w:rsidR="003645FA">
        <w:rPr>
          <w:rFonts w:cs="Arial"/>
        </w:rPr>
        <w:t xml:space="preserve"> and 2018</w:t>
      </w:r>
      <w:r w:rsidR="000E37DD">
        <w:rPr>
          <w:rFonts w:cs="Arial"/>
        </w:rPr>
        <w:t>.</w:t>
      </w:r>
    </w:p>
    <w:p w14:paraId="006FE5BC" w14:textId="5605DBF0" w:rsidR="007734B3" w:rsidRDefault="000E37DD" w:rsidP="00FF1E44">
      <w:pPr>
        <w:rPr>
          <w:rFonts w:cs="Arial"/>
        </w:rPr>
      </w:pPr>
      <w:r>
        <w:rPr>
          <w:rFonts w:cs="Arial"/>
        </w:rPr>
        <w:t xml:space="preserve">The </w:t>
      </w:r>
      <w:r w:rsidR="00783DE9">
        <w:rPr>
          <w:rFonts w:cs="Arial"/>
        </w:rPr>
        <w:t xml:space="preserve">Taskforce considered </w:t>
      </w:r>
      <w:r w:rsidR="00032DFD">
        <w:rPr>
          <w:rFonts w:cs="Arial"/>
        </w:rPr>
        <w:t>procurements from 2015-16 to present</w:t>
      </w:r>
      <w:r>
        <w:rPr>
          <w:rFonts w:cs="Arial"/>
        </w:rPr>
        <w:t xml:space="preserve">, to ensure the review was comprehensive. </w:t>
      </w:r>
      <w:r w:rsidR="00783DE9">
        <w:rPr>
          <w:rFonts w:cs="Arial"/>
        </w:rPr>
        <w:t xml:space="preserve">It considered contracts with Synergy 360, other entities named in media reporting, and </w:t>
      </w:r>
      <w:r w:rsidR="00C418BA">
        <w:rPr>
          <w:rFonts w:cs="Arial"/>
        </w:rPr>
        <w:t>entities acquired by entities named in the media.</w:t>
      </w:r>
    </w:p>
    <w:p w14:paraId="350F0967" w14:textId="2EAEBC05" w:rsidR="009C6F97" w:rsidRDefault="009C6F97" w:rsidP="00FF1E44">
      <w:pPr>
        <w:rPr>
          <w:rFonts w:cs="Arial"/>
        </w:rPr>
      </w:pPr>
      <w:r>
        <w:rPr>
          <w:rFonts w:cs="Arial"/>
        </w:rPr>
        <w:t>As per the Terms of Reference, the Review considered, among other things:</w:t>
      </w:r>
    </w:p>
    <w:p w14:paraId="5498C71E" w14:textId="60AC12D4" w:rsidR="00337AB4" w:rsidRPr="00FF1E44" w:rsidRDefault="00337AB4" w:rsidP="00FF1E44">
      <w:pPr>
        <w:pStyle w:val="Bulletlevel1"/>
      </w:pPr>
      <w:r w:rsidRPr="00FF1E44">
        <w:t>Whether the process undertaken in these procurements was consistent with the Commonwealth Procurement Rules and whole-of-APS best practice, where applicable.</w:t>
      </w:r>
    </w:p>
    <w:p w14:paraId="041BA1F1" w14:textId="77777777" w:rsidR="00337AB4" w:rsidRPr="00FF1E44" w:rsidRDefault="00337AB4" w:rsidP="00FF1E44">
      <w:pPr>
        <w:pStyle w:val="Bulletlevel1"/>
      </w:pPr>
      <w:r w:rsidRPr="00FF1E44">
        <w:t>If the processes for, and circumstances surrounding, these procurements were consistent with comparable procurements undertaken by Services Australia and the NDIA within the same reference period.</w:t>
      </w:r>
    </w:p>
    <w:p w14:paraId="33205E70" w14:textId="77777777" w:rsidR="00337AB4" w:rsidRPr="00FF1E44" w:rsidRDefault="00337AB4" w:rsidP="00FF1E44">
      <w:pPr>
        <w:pStyle w:val="Bulletlevel1"/>
      </w:pPr>
      <w:r w:rsidRPr="00FF1E44">
        <w:t>Any real or perceived conflicts of interest, or possible misconduct in these procurements, by Services Australia and NDIA employees and related contractors.</w:t>
      </w:r>
    </w:p>
    <w:p w14:paraId="01F9F309" w14:textId="63C22B63" w:rsidR="00490567" w:rsidRDefault="00490567" w:rsidP="00FF1E44">
      <w:pPr>
        <w:rPr>
          <w:rFonts w:cs="Arial"/>
        </w:rPr>
      </w:pPr>
      <w:r w:rsidRPr="00490567">
        <w:rPr>
          <w:rFonts w:cs="Arial"/>
        </w:rPr>
        <w:lastRenderedPageBreak/>
        <w:t xml:space="preserve">In </w:t>
      </w:r>
      <w:r>
        <w:rPr>
          <w:rFonts w:cs="Arial"/>
        </w:rPr>
        <w:t xml:space="preserve">its only </w:t>
      </w:r>
      <w:r w:rsidRPr="00490567">
        <w:rPr>
          <w:rFonts w:cs="Arial"/>
        </w:rPr>
        <w:t xml:space="preserve">departure from the Terms of Reference, the Taskforce focused on ‘good practice’ not ‘best practice’. ‘Best practice’ is something of an aspirational rather than a practical standard for analysis. ‘Good practice’ (defined as at least consistent with the CPRs) was considered a more relevant comparison for the Report. Further, given the overall standard of the procurements assessed, it is a more useful standard. </w:t>
      </w:r>
      <w:r>
        <w:rPr>
          <w:rFonts w:cs="Arial"/>
        </w:rPr>
        <w:t xml:space="preserve">Relatively few </w:t>
      </w:r>
      <w:r w:rsidRPr="00490567">
        <w:rPr>
          <w:rFonts w:cs="Arial"/>
        </w:rPr>
        <w:t>of the procurements were able to be considered unambiguously 'best practice';</w:t>
      </w:r>
      <w:r>
        <w:rPr>
          <w:rFonts w:cs="Arial"/>
        </w:rPr>
        <w:t xml:space="preserve"> but</w:t>
      </w:r>
      <w:r w:rsidRPr="00490567">
        <w:rPr>
          <w:rFonts w:cs="Arial"/>
        </w:rPr>
        <w:t xml:space="preserve"> many were assessed as 'good practice'. The Reviewer agrees with the changed standard.</w:t>
      </w:r>
    </w:p>
    <w:p w14:paraId="53758478" w14:textId="445B43D4" w:rsidR="001B57EF" w:rsidRDefault="009C6F97" w:rsidP="00FF1E44">
      <w:pPr>
        <w:rPr>
          <w:rFonts w:cs="Arial"/>
        </w:rPr>
      </w:pPr>
      <w:r>
        <w:rPr>
          <w:rFonts w:cs="Arial"/>
        </w:rPr>
        <w:t xml:space="preserve">The Taskforce produced a </w:t>
      </w:r>
      <w:r w:rsidR="001B57EF">
        <w:rPr>
          <w:rFonts w:cs="Arial"/>
        </w:rPr>
        <w:t xml:space="preserve">detailed </w:t>
      </w:r>
      <w:r>
        <w:rPr>
          <w:rFonts w:cs="Arial"/>
        </w:rPr>
        <w:t xml:space="preserve">report outlining </w:t>
      </w:r>
      <w:r w:rsidR="001B57EF">
        <w:rPr>
          <w:rFonts w:cs="Arial"/>
        </w:rPr>
        <w:t xml:space="preserve">its </w:t>
      </w:r>
      <w:r>
        <w:rPr>
          <w:rFonts w:cs="Arial"/>
        </w:rPr>
        <w:t xml:space="preserve">findings </w:t>
      </w:r>
      <w:r w:rsidR="006E3557">
        <w:rPr>
          <w:rFonts w:cs="Arial"/>
        </w:rPr>
        <w:t>–</w:t>
      </w:r>
      <w:r w:rsidR="00F57D0D">
        <w:rPr>
          <w:rFonts w:cs="Arial"/>
        </w:rPr>
        <w:t xml:space="preserve"> </w:t>
      </w:r>
      <w:r w:rsidR="001E270B" w:rsidRPr="00843991">
        <w:rPr>
          <w:rFonts w:cs="Arial"/>
          <w:i/>
        </w:rPr>
        <w:t xml:space="preserve">the Independent </w:t>
      </w:r>
      <w:r w:rsidR="00D41EB2">
        <w:rPr>
          <w:rFonts w:cs="Arial"/>
          <w:i/>
        </w:rPr>
        <w:t xml:space="preserve">Review of </w:t>
      </w:r>
      <w:r w:rsidR="00F57D0D" w:rsidRPr="00843991">
        <w:rPr>
          <w:rFonts w:cs="Arial"/>
          <w:i/>
        </w:rPr>
        <w:t xml:space="preserve">Services Australia </w:t>
      </w:r>
      <w:r w:rsidR="00D41EB2">
        <w:rPr>
          <w:rFonts w:cs="Arial"/>
          <w:i/>
        </w:rPr>
        <w:t xml:space="preserve">and </w:t>
      </w:r>
      <w:r w:rsidR="00F57D0D" w:rsidRPr="00843991">
        <w:rPr>
          <w:rFonts w:cs="Arial"/>
          <w:i/>
        </w:rPr>
        <w:t>NDIA Procurement and Contracting</w:t>
      </w:r>
      <w:r w:rsidR="00D41EB2">
        <w:rPr>
          <w:rFonts w:cs="Arial"/>
          <w:i/>
        </w:rPr>
        <w:t>:</w:t>
      </w:r>
      <w:r w:rsidR="001E270B" w:rsidRPr="00843991">
        <w:rPr>
          <w:rFonts w:cs="Arial"/>
          <w:i/>
        </w:rPr>
        <w:t xml:space="preserve"> Taskforce Report</w:t>
      </w:r>
      <w:r w:rsidR="00825EC7">
        <w:rPr>
          <w:rFonts w:cs="Arial"/>
          <w:i/>
        </w:rPr>
        <w:t xml:space="preserve"> to the Independent Reviewer</w:t>
      </w:r>
      <w:r w:rsidR="00F57D0D">
        <w:rPr>
          <w:rFonts w:cs="Arial"/>
        </w:rPr>
        <w:t xml:space="preserve"> (Taskforce Report</w:t>
      </w:r>
      <w:r w:rsidR="001E270B">
        <w:rPr>
          <w:rFonts w:cs="Arial"/>
        </w:rPr>
        <w:t>)</w:t>
      </w:r>
      <w:r w:rsidR="001B57EF">
        <w:rPr>
          <w:rFonts w:cs="Arial"/>
        </w:rPr>
        <w:t>.</w:t>
      </w:r>
    </w:p>
    <w:p w14:paraId="442CF0D3" w14:textId="7C45FCAB" w:rsidR="007D7BF9" w:rsidRDefault="001B57EF" w:rsidP="00FF1E44">
      <w:pPr>
        <w:rPr>
          <w:rFonts w:cs="Arial"/>
        </w:rPr>
      </w:pPr>
      <w:r>
        <w:rPr>
          <w:rFonts w:cs="Arial"/>
        </w:rPr>
        <w:t>The Reviewer emphasises that</w:t>
      </w:r>
      <w:r w:rsidR="00B868B2">
        <w:rPr>
          <w:rFonts w:cs="Arial"/>
        </w:rPr>
        <w:t>,</w:t>
      </w:r>
      <w:r>
        <w:rPr>
          <w:rFonts w:cs="Arial"/>
        </w:rPr>
        <w:t xml:space="preserve"> while the Taskforce Report has been discussed with him, and he has provided comments on drafts, it remains the work of the Taskforce</w:t>
      </w:r>
      <w:r w:rsidR="001E270B">
        <w:rPr>
          <w:rFonts w:cs="Arial"/>
        </w:rPr>
        <w:t>.</w:t>
      </w:r>
    </w:p>
    <w:p w14:paraId="0B1FAA98" w14:textId="77777777" w:rsidR="00F57D0D" w:rsidRDefault="002A30FF" w:rsidP="00FF1E44">
      <w:pPr>
        <w:rPr>
          <w:rFonts w:cs="Arial"/>
        </w:rPr>
      </w:pPr>
      <w:r>
        <w:rPr>
          <w:rFonts w:cs="Arial"/>
        </w:rPr>
        <w:t xml:space="preserve">The </w:t>
      </w:r>
      <w:r w:rsidR="00102022">
        <w:rPr>
          <w:rFonts w:cs="Arial"/>
        </w:rPr>
        <w:t>Taskforce found</w:t>
      </w:r>
      <w:r w:rsidR="00CA37B6">
        <w:rPr>
          <w:rFonts w:cs="Arial"/>
        </w:rPr>
        <w:t>:</w:t>
      </w:r>
    </w:p>
    <w:p w14:paraId="58E037D3" w14:textId="68753050" w:rsidR="00CA37B6" w:rsidRPr="006E3557" w:rsidRDefault="00CA37B6" w:rsidP="009568A4">
      <w:pPr>
        <w:pStyle w:val="Bulletlevel1"/>
      </w:pPr>
      <w:r w:rsidRPr="009568A4">
        <w:t xml:space="preserve">The majority </w:t>
      </w:r>
      <w:r w:rsidRPr="006E3557">
        <w:t>(</w:t>
      </w:r>
      <w:r w:rsidR="009F0CA4" w:rsidRPr="006E3557">
        <w:t>7</w:t>
      </w:r>
      <w:r w:rsidR="00092213" w:rsidRPr="006E3557">
        <w:t>1</w:t>
      </w:r>
      <w:r w:rsidRPr="006E3557">
        <w:t xml:space="preserve"> per cent) of </w:t>
      </w:r>
      <w:r w:rsidR="00CF423C" w:rsidRPr="006E3557">
        <w:t xml:space="preserve">the 95 </w:t>
      </w:r>
      <w:r w:rsidRPr="006E3557">
        <w:t>procurements</w:t>
      </w:r>
      <w:r w:rsidR="00CA1990">
        <w:t xml:space="preserve"> determined to be in</w:t>
      </w:r>
      <w:r w:rsidR="00231635">
        <w:t xml:space="preserve"> </w:t>
      </w:r>
      <w:r w:rsidR="00CA1990">
        <w:t>scope for the Review (the procurements)</w:t>
      </w:r>
      <w:r w:rsidRPr="006E3557">
        <w:t xml:space="preserve"> were consistent with the CPRs and </w:t>
      </w:r>
      <w:r w:rsidR="00825EC7" w:rsidRPr="006E3557">
        <w:t>broadly demonstrated good practice</w:t>
      </w:r>
      <w:r w:rsidRPr="006E3557">
        <w:t>.</w:t>
      </w:r>
    </w:p>
    <w:p w14:paraId="2CCA72BE" w14:textId="10FFF157" w:rsidR="00CA37B6" w:rsidRPr="006E3557" w:rsidRDefault="00A84C79" w:rsidP="009568A4">
      <w:pPr>
        <w:pStyle w:val="Bulletlevel1"/>
      </w:pPr>
      <w:r w:rsidRPr="006E3557">
        <w:t>Nineteen procurements were fl</w:t>
      </w:r>
      <w:r w:rsidR="00846AE5" w:rsidRPr="006E3557">
        <w:t>agged for further investigation</w:t>
      </w:r>
      <w:r w:rsidRPr="006E3557">
        <w:t xml:space="preserve"> </w:t>
      </w:r>
      <w:r w:rsidR="00423050" w:rsidRPr="006E3557">
        <w:t>due to</w:t>
      </w:r>
      <w:r w:rsidR="001B57EF" w:rsidRPr="006E3557">
        <w:t xml:space="preserve"> </w:t>
      </w:r>
      <w:r w:rsidR="00423050" w:rsidRPr="006E3557">
        <w:t>in</w:t>
      </w:r>
      <w:r w:rsidR="00CA37B6" w:rsidRPr="006E3557">
        <w:t>consisten</w:t>
      </w:r>
      <w:r w:rsidR="00423050" w:rsidRPr="006E3557">
        <w:t>cies</w:t>
      </w:r>
      <w:r w:rsidR="00CA37B6" w:rsidRPr="006E3557">
        <w:t xml:space="preserve"> with the CPRs </w:t>
      </w:r>
      <w:r w:rsidR="00825EC7" w:rsidRPr="006E3557">
        <w:t>or good practice</w:t>
      </w:r>
      <w:r w:rsidR="00423050" w:rsidRPr="006E3557">
        <w:t>.</w:t>
      </w:r>
      <w:r w:rsidR="00CA37B6" w:rsidRPr="006E3557">
        <w:t xml:space="preserve"> </w:t>
      </w:r>
      <w:r w:rsidR="00423050" w:rsidRPr="006E3557">
        <w:t xml:space="preserve">Within these 19, </w:t>
      </w:r>
      <w:r w:rsidR="00CA37B6" w:rsidRPr="006E3557">
        <w:t>common issues included:</w:t>
      </w:r>
    </w:p>
    <w:p w14:paraId="6DA0BBBC" w14:textId="0FBF548F" w:rsidR="00CA37B6" w:rsidRPr="006E3557" w:rsidRDefault="008411BA" w:rsidP="00FF1E44">
      <w:pPr>
        <w:pStyle w:val="BulletLevel2"/>
      </w:pPr>
      <w:r>
        <w:t>l</w:t>
      </w:r>
      <w:r w:rsidR="006F7067">
        <w:t xml:space="preserve">ack of </w:t>
      </w:r>
      <w:r>
        <w:t xml:space="preserve">appropriate </w:t>
      </w:r>
      <w:r w:rsidR="00CA37B6">
        <w:t>documentation and</w:t>
      </w:r>
      <w:r w:rsidR="00C528F6">
        <w:t>/or</w:t>
      </w:r>
      <w:r w:rsidR="00CA37B6">
        <w:t xml:space="preserve"> </w:t>
      </w:r>
      <w:r w:rsidR="00CA37B6" w:rsidRPr="006E3557">
        <w:t>record</w:t>
      </w:r>
      <w:r w:rsidR="006E3557" w:rsidRPr="006E3557">
        <w:t>s</w:t>
      </w:r>
      <w:r w:rsidR="00CA37B6" w:rsidRPr="006E3557">
        <w:t xml:space="preserve"> </w:t>
      </w:r>
      <w:r w:rsidR="00A84C79" w:rsidRPr="006E3557">
        <w:t>(7 of 19 procurements)</w:t>
      </w:r>
    </w:p>
    <w:p w14:paraId="4A4F1DE6" w14:textId="43C7A767" w:rsidR="00CA37B6" w:rsidRDefault="009F0CA4" w:rsidP="00FF1E44">
      <w:pPr>
        <w:pStyle w:val="BulletLevel2"/>
      </w:pPr>
      <w:r>
        <w:t>d</w:t>
      </w:r>
      <w:r w:rsidR="00DC428E">
        <w:t xml:space="preserve">elays in reporting contracts and amendments on AusTender within 42 days of entering into or amending a </w:t>
      </w:r>
      <w:r w:rsidR="00DC428E" w:rsidRPr="006E3557">
        <w:t>contract</w:t>
      </w:r>
      <w:r w:rsidR="00A84C79" w:rsidRPr="006E3557">
        <w:t xml:space="preserve"> (</w:t>
      </w:r>
      <w:r w:rsidR="00A84C79" w:rsidRPr="00B930ED">
        <w:t>9 of 14</w:t>
      </w:r>
      <w:r w:rsidR="00A84C79" w:rsidRPr="006E3557">
        <w:t xml:space="preserve"> SA</w:t>
      </w:r>
      <w:r w:rsidR="00A84C79">
        <w:t xml:space="preserve"> procurements)</w:t>
      </w:r>
    </w:p>
    <w:p w14:paraId="46B6FBB1" w14:textId="3B82A33A" w:rsidR="00CF423C" w:rsidRPr="00512D10" w:rsidRDefault="00F550AA" w:rsidP="00FF1E44">
      <w:pPr>
        <w:pStyle w:val="BulletLevel2"/>
      </w:pPr>
      <w:r>
        <w:t>insufficient</w:t>
      </w:r>
      <w:r w:rsidR="00C528F6">
        <w:t xml:space="preserve"> value for money justifications</w:t>
      </w:r>
      <w:r w:rsidR="00A84C79">
        <w:t xml:space="preserve"> (</w:t>
      </w:r>
      <w:r w:rsidR="004D0DA8" w:rsidRPr="006E3557">
        <w:t xml:space="preserve">12 </w:t>
      </w:r>
      <w:r w:rsidR="00A84C79" w:rsidRPr="004760AD">
        <w:t xml:space="preserve">of 19 </w:t>
      </w:r>
      <w:r w:rsidR="00A84C79">
        <w:t>procurements)</w:t>
      </w:r>
    </w:p>
    <w:p w14:paraId="7AF37E10" w14:textId="3EB33119" w:rsidR="006F6551" w:rsidRPr="006F6551" w:rsidRDefault="00CA37B6" w:rsidP="00FF1E44">
      <w:pPr>
        <w:pStyle w:val="Bulletlevel1"/>
      </w:pPr>
      <w:r>
        <w:t xml:space="preserve">The processes </w:t>
      </w:r>
      <w:r w:rsidR="008C4DCD">
        <w:t>undertaken for</w:t>
      </w:r>
      <w:r>
        <w:t xml:space="preserve"> the procurements were broadly consistent</w:t>
      </w:r>
      <w:r w:rsidR="0021568E">
        <w:t xml:space="preserve"> with</w:t>
      </w:r>
      <w:r w:rsidR="00092213">
        <w:t>, and had similar shortcomings, to</w:t>
      </w:r>
      <w:r>
        <w:t xml:space="preserve"> comparable procurements undertaken by the NDIA and SA within the same reference period</w:t>
      </w:r>
      <w:r w:rsidR="007D7BF9">
        <w:t xml:space="preserve">. </w:t>
      </w:r>
      <w:r w:rsidR="006F6551" w:rsidRPr="006F6551">
        <w:t xml:space="preserve">That said, the standard of the comparator procurements against the CPRs was </w:t>
      </w:r>
      <w:r w:rsidR="007B374E">
        <w:t xml:space="preserve">similarly </w:t>
      </w:r>
      <w:r w:rsidR="006F6551" w:rsidRPr="006F6551">
        <w:t>not always high.</w:t>
      </w:r>
    </w:p>
    <w:p w14:paraId="4BA6D219" w14:textId="5F516D5C" w:rsidR="00C528F6" w:rsidRPr="004760AD" w:rsidRDefault="00C528F6" w:rsidP="00FF1E44">
      <w:pPr>
        <w:pStyle w:val="Bulletlevel1"/>
      </w:pPr>
      <w:r w:rsidRPr="006E3557">
        <w:t>Of the 19 procurements</w:t>
      </w:r>
      <w:r w:rsidR="00034298" w:rsidRPr="006E3557">
        <w:t xml:space="preserve"> flagged </w:t>
      </w:r>
      <w:r w:rsidRPr="004760AD">
        <w:t>for further investigation</w:t>
      </w:r>
      <w:r w:rsidR="00034298" w:rsidRPr="004760AD">
        <w:t xml:space="preserve">, which had an </w:t>
      </w:r>
      <w:r w:rsidR="009B67C5">
        <w:t>approximate</w:t>
      </w:r>
      <w:r w:rsidR="009B67C5" w:rsidRPr="004760AD">
        <w:t xml:space="preserve"> </w:t>
      </w:r>
      <w:r w:rsidR="00034298" w:rsidRPr="004760AD">
        <w:t>value of $374 million</w:t>
      </w:r>
      <w:r w:rsidRPr="004760AD">
        <w:t>:</w:t>
      </w:r>
    </w:p>
    <w:p w14:paraId="08797980" w14:textId="505E2DB7" w:rsidR="001E7F3D" w:rsidRPr="004760AD" w:rsidRDefault="001E7F3D" w:rsidP="00FF1E44">
      <w:pPr>
        <w:pStyle w:val="BulletLevel2"/>
      </w:pPr>
      <w:r w:rsidRPr="004760AD">
        <w:t xml:space="preserve">10 </w:t>
      </w:r>
      <w:r w:rsidR="009F0CA4" w:rsidRPr="004760AD">
        <w:t xml:space="preserve">procurements were found to be of a similar standard </w:t>
      </w:r>
      <w:r w:rsidR="00CE358D" w:rsidRPr="004760AD">
        <w:t>to the comparators</w:t>
      </w:r>
    </w:p>
    <w:p w14:paraId="565EAA88" w14:textId="23FB3877" w:rsidR="001E7F3D" w:rsidRPr="004760AD" w:rsidRDefault="001E7F3D" w:rsidP="00FF1E44">
      <w:pPr>
        <w:pStyle w:val="BulletLevel2"/>
      </w:pPr>
      <w:r w:rsidRPr="004760AD">
        <w:t xml:space="preserve">4 </w:t>
      </w:r>
      <w:r w:rsidR="009F0CA4" w:rsidRPr="004760AD">
        <w:t xml:space="preserve">were found to be of a </w:t>
      </w:r>
      <w:r w:rsidR="00C528F6" w:rsidRPr="004760AD">
        <w:t xml:space="preserve">higher </w:t>
      </w:r>
      <w:r w:rsidR="009F0CA4" w:rsidRPr="004760AD">
        <w:t>standard</w:t>
      </w:r>
      <w:r w:rsidRPr="004760AD">
        <w:t xml:space="preserve"> </w:t>
      </w:r>
      <w:r w:rsidR="009F0CA4" w:rsidRPr="004760AD">
        <w:t>and</w:t>
      </w:r>
    </w:p>
    <w:p w14:paraId="628EC0BE" w14:textId="1EA0B996" w:rsidR="00403D7D" w:rsidRPr="004760AD" w:rsidRDefault="009F0CA4" w:rsidP="00FF1E44">
      <w:pPr>
        <w:pStyle w:val="BulletLevel2"/>
      </w:pPr>
      <w:r w:rsidRPr="004760AD">
        <w:t xml:space="preserve">5 were found to be </w:t>
      </w:r>
      <w:r w:rsidR="001E7F3D" w:rsidRPr="004760AD">
        <w:t xml:space="preserve">of a </w:t>
      </w:r>
      <w:r w:rsidR="00C528F6" w:rsidRPr="004760AD">
        <w:t xml:space="preserve">lower </w:t>
      </w:r>
      <w:r w:rsidR="001E7F3D" w:rsidRPr="004760AD">
        <w:t>standard</w:t>
      </w:r>
      <w:r w:rsidRPr="004760AD">
        <w:t>.</w:t>
      </w:r>
    </w:p>
    <w:p w14:paraId="1985357B" w14:textId="1175BB2D" w:rsidR="00403D7D" w:rsidRDefault="00403D7D" w:rsidP="00FF1E44">
      <w:pPr>
        <w:pStyle w:val="Bulletlevel1"/>
      </w:pPr>
      <w:r>
        <w:t xml:space="preserve">Many procurements </w:t>
      </w:r>
      <w:r w:rsidRPr="00843991">
        <w:t>lack</w:t>
      </w:r>
      <w:r>
        <w:t>ed</w:t>
      </w:r>
      <w:r w:rsidRPr="00843991">
        <w:t xml:space="preserve"> </w:t>
      </w:r>
      <w:r>
        <w:t xml:space="preserve">appropriate </w:t>
      </w:r>
      <w:r w:rsidRPr="00843991">
        <w:t>conflict of interest documentation</w:t>
      </w:r>
      <w:r w:rsidR="00C528F6">
        <w:t xml:space="preserve"> in accessible records</w:t>
      </w:r>
      <w:r>
        <w:t>.</w:t>
      </w:r>
      <w:r w:rsidRPr="00843991">
        <w:t xml:space="preserve"> </w:t>
      </w:r>
      <w:r>
        <w:t xml:space="preserve">Further, a small number of procurements had poorly managed </w:t>
      </w:r>
      <w:r w:rsidRPr="00843991">
        <w:t>actual, potential or perceived conflicts of interest</w:t>
      </w:r>
      <w:r>
        <w:t>.</w:t>
      </w:r>
    </w:p>
    <w:p w14:paraId="0C4D5956" w14:textId="6B990D7D" w:rsidR="00CB5167" w:rsidRPr="00B90EE6" w:rsidRDefault="00CB5167" w:rsidP="00FF1E44">
      <w:pPr>
        <w:pStyle w:val="Bulletlevel1"/>
      </w:pPr>
      <w:r w:rsidRPr="00B90EE6">
        <w:t xml:space="preserve">Consideration of </w:t>
      </w:r>
      <w:r w:rsidR="008A27C0">
        <w:t xml:space="preserve">some </w:t>
      </w:r>
      <w:r w:rsidRPr="00B90EE6">
        <w:t xml:space="preserve">individual procurements </w:t>
      </w:r>
      <w:r w:rsidR="008A68C0">
        <w:t xml:space="preserve">also </w:t>
      </w:r>
      <w:r w:rsidRPr="00B90EE6">
        <w:t xml:space="preserve">suggests that there was </w:t>
      </w:r>
      <w:r w:rsidR="00C75899">
        <w:t xml:space="preserve">sometimes </w:t>
      </w:r>
      <w:r w:rsidRPr="00B90EE6">
        <w:t>a poor understanding of procurement processes and requirements</w:t>
      </w:r>
      <w:r w:rsidR="004D0DA8">
        <w:t>.</w:t>
      </w:r>
    </w:p>
    <w:p w14:paraId="6C9A7966" w14:textId="51DD5A4E" w:rsidR="00CB5167" w:rsidRDefault="00CB5167" w:rsidP="00FF1E44">
      <w:pPr>
        <w:pStyle w:val="Bulletlevel1"/>
      </w:pPr>
      <w:r>
        <w:t xml:space="preserve">Finally, </w:t>
      </w:r>
      <w:r w:rsidR="00C75899">
        <w:t xml:space="preserve">limited documentation and </w:t>
      </w:r>
      <w:r>
        <w:t xml:space="preserve">the extensive use of limited tenders </w:t>
      </w:r>
      <w:r w:rsidR="008A27C0">
        <w:t xml:space="preserve">and single supplier approaches </w:t>
      </w:r>
      <w:r>
        <w:t>makes it difficult to de</w:t>
      </w:r>
      <w:r w:rsidR="007B374E">
        <w:t>termine</w:t>
      </w:r>
      <w:r>
        <w:t xml:space="preserve"> whether or not </w:t>
      </w:r>
      <w:r w:rsidR="00E83A75">
        <w:t>value for money, which is at the heart of the CPRs,</w:t>
      </w:r>
      <w:r w:rsidR="004F161A" w:rsidDel="004F161A">
        <w:t xml:space="preserve"> </w:t>
      </w:r>
      <w:r w:rsidR="004F161A">
        <w:t>was</w:t>
      </w:r>
      <w:r w:rsidR="00E83A75">
        <w:t xml:space="preserve"> being achieved in many procurements.</w:t>
      </w:r>
    </w:p>
    <w:p w14:paraId="2F2F09E7" w14:textId="77B1E8F2" w:rsidR="004B57E2" w:rsidRPr="00092213" w:rsidRDefault="004B57E2" w:rsidP="00FF1E44">
      <w:r>
        <w:t>While the Taskforce found some procurements had poorly managed conflicts of interest,</w:t>
      </w:r>
      <w:r w:rsidR="007B374E">
        <w:t xml:space="preserve"> or questionable judgements about the choice of procurement method and repeated use of </w:t>
      </w:r>
      <w:r w:rsidR="007B374E">
        <w:lastRenderedPageBreak/>
        <w:t>limited or sole sourcing,</w:t>
      </w:r>
      <w:r>
        <w:t xml:space="preserve"> the Taskforce did not find clear misconduct</w:t>
      </w:r>
      <w:r w:rsidR="00034298">
        <w:t xml:space="preserve"> within the 95</w:t>
      </w:r>
      <w:r w:rsidR="00CA1990">
        <w:t xml:space="preserve"> </w:t>
      </w:r>
      <w:r>
        <w:t>procurement processes.</w:t>
      </w:r>
      <w:r w:rsidR="007078D1">
        <w:rPr>
          <w:rStyle w:val="FootnoteReference"/>
        </w:rPr>
        <w:footnoteReference w:id="3"/>
      </w:r>
    </w:p>
    <w:p w14:paraId="05339EE2" w14:textId="7F428332" w:rsidR="00395B23" w:rsidRDefault="00395B23" w:rsidP="00FF1E44">
      <w:r w:rsidRPr="00843991">
        <w:t>The Taskforce Report is specifically focused on the procurements</w:t>
      </w:r>
      <w:r w:rsidR="00CA1990">
        <w:t xml:space="preserve"> determined to be in in-scope for the Review</w:t>
      </w:r>
      <w:r w:rsidRPr="00843991">
        <w:t xml:space="preserve">, including drawing findings and conclusions from these. </w:t>
      </w:r>
      <w:r>
        <w:t xml:space="preserve">While the Taskforce </w:t>
      </w:r>
      <w:r w:rsidR="006E3557">
        <w:t>R</w:t>
      </w:r>
      <w:r>
        <w:t>eport highlights potential areas for improvement, it</w:t>
      </w:r>
      <w:r w:rsidRPr="00843991">
        <w:t xml:space="preserve"> does not </w:t>
      </w:r>
      <w:r>
        <w:t xml:space="preserve">provide </w:t>
      </w:r>
      <w:r w:rsidRPr="00843991">
        <w:t>recommendations.</w:t>
      </w:r>
    </w:p>
    <w:p w14:paraId="2862FF99" w14:textId="2BBFF3D4" w:rsidR="00274323" w:rsidRDefault="00274323" w:rsidP="00FF1E44">
      <w:pPr>
        <w:rPr>
          <w:rFonts w:cs="Arial"/>
        </w:rPr>
      </w:pPr>
      <w:r w:rsidRPr="00843991">
        <w:rPr>
          <w:rFonts w:cs="Arial"/>
        </w:rPr>
        <w:t xml:space="preserve">The Reviewer </w:t>
      </w:r>
      <w:r w:rsidR="00F4125D">
        <w:rPr>
          <w:rFonts w:cs="Arial"/>
        </w:rPr>
        <w:t>considers</w:t>
      </w:r>
      <w:r w:rsidR="00F4125D" w:rsidRPr="00843991">
        <w:rPr>
          <w:rFonts w:cs="Arial"/>
        </w:rPr>
        <w:t xml:space="preserve"> </w:t>
      </w:r>
      <w:r w:rsidRPr="00843991">
        <w:rPr>
          <w:rFonts w:cs="Arial"/>
        </w:rPr>
        <w:t>the Taskforce Report</w:t>
      </w:r>
      <w:r w:rsidR="00F4125D">
        <w:rPr>
          <w:rFonts w:cs="Arial"/>
        </w:rPr>
        <w:t xml:space="preserve"> appropriate</w:t>
      </w:r>
      <w:r w:rsidR="00A84C79">
        <w:rPr>
          <w:rFonts w:cs="Arial"/>
        </w:rPr>
        <w:t xml:space="preserve"> and supports its findings</w:t>
      </w:r>
      <w:r w:rsidRPr="00843991">
        <w:rPr>
          <w:rFonts w:cs="Arial"/>
        </w:rPr>
        <w:t>.</w:t>
      </w:r>
    </w:p>
    <w:p w14:paraId="78F44C99" w14:textId="24470513" w:rsidR="007D7BF9" w:rsidRDefault="007D7BF9" w:rsidP="00FF1E44">
      <w:r w:rsidRPr="00843991">
        <w:t xml:space="preserve">The Taskforce Report, along with this Report, </w:t>
      </w:r>
      <w:r w:rsidR="00C528F6">
        <w:t>is</w:t>
      </w:r>
      <w:r w:rsidRPr="00843991">
        <w:t xml:space="preserve"> provided to the CEOs of </w:t>
      </w:r>
      <w:r w:rsidR="00CF423C">
        <w:t xml:space="preserve">the NDIA and </w:t>
      </w:r>
      <w:r w:rsidRPr="00843991">
        <w:t xml:space="preserve">SA, </w:t>
      </w:r>
      <w:r w:rsidR="00CF423C" w:rsidRPr="00843991">
        <w:t xml:space="preserve">Ms Rebecca Falkingham PSM </w:t>
      </w:r>
      <w:r w:rsidR="00CF423C">
        <w:t xml:space="preserve">and </w:t>
      </w:r>
      <w:r w:rsidRPr="00843991">
        <w:t>Ms Rebecca Skinner PSM, as per the Terms of Reference</w:t>
      </w:r>
      <w:r w:rsidR="00395B23">
        <w:t xml:space="preserve"> of the Review</w:t>
      </w:r>
      <w:r w:rsidRPr="00843991">
        <w:t>.</w:t>
      </w:r>
    </w:p>
    <w:p w14:paraId="4F2B7661" w14:textId="35B01BF6" w:rsidR="00274323" w:rsidRDefault="00F57D0D" w:rsidP="00FF1E44">
      <w:r>
        <w:t>In preparing this report, the Review</w:t>
      </w:r>
      <w:r w:rsidR="00274323">
        <w:t>er</w:t>
      </w:r>
      <w:r>
        <w:t xml:space="preserve"> has taken into consideration the </w:t>
      </w:r>
      <w:r w:rsidR="00274323">
        <w:t xml:space="preserve">findings and </w:t>
      </w:r>
      <w:r>
        <w:t>con</w:t>
      </w:r>
      <w:r w:rsidR="00274323">
        <w:t>clusions drawn by the Taskforce</w:t>
      </w:r>
      <w:r w:rsidR="00C068F2">
        <w:t>.</w:t>
      </w:r>
    </w:p>
    <w:p w14:paraId="51693730" w14:textId="77777777" w:rsidR="00F57D0D" w:rsidRDefault="00F57D0D" w:rsidP="00FF1E44">
      <w:r>
        <w:t xml:space="preserve">The Reviewer has also taken into consideration </w:t>
      </w:r>
      <w:r w:rsidRPr="007C5EFD">
        <w:t xml:space="preserve">insights from </w:t>
      </w:r>
      <w:r w:rsidRPr="00843991">
        <w:t xml:space="preserve">a series of targeted consultations with </w:t>
      </w:r>
      <w:r w:rsidRPr="007C5EFD">
        <w:t>a range of key stakeholders. People consulted included those currently or formerly in relevant roles within the NDIA and SA,</w:t>
      </w:r>
      <w:r w:rsidRPr="00F57D0D">
        <w:t xml:space="preserve"> as well as those across the APS who have an interest in or connection to broader policy matters related to the Review.</w:t>
      </w:r>
    </w:p>
    <w:p w14:paraId="4C76FF02" w14:textId="5FE36CB5" w:rsidR="00F57D0D" w:rsidRDefault="00F57D0D" w:rsidP="00FF1E44">
      <w:r w:rsidRPr="00B868F7">
        <w:t xml:space="preserve">In total, the Reviewer had formal consultations with </w:t>
      </w:r>
      <w:r w:rsidR="00C528F6" w:rsidRPr="004E5507">
        <w:t>1</w:t>
      </w:r>
      <w:r w:rsidR="00EA5799" w:rsidRPr="004E5507">
        <w:t>8</w:t>
      </w:r>
      <w:r w:rsidRPr="004E5507">
        <w:t xml:space="preserve"> </w:t>
      </w:r>
      <w:r w:rsidR="00D464F7" w:rsidRPr="004E5507">
        <w:t>people</w:t>
      </w:r>
      <w:r w:rsidR="00C528F6" w:rsidRPr="004E5507">
        <w:t xml:space="preserve"> across </w:t>
      </w:r>
      <w:r w:rsidR="00DC2CAB">
        <w:t>eight</w:t>
      </w:r>
      <w:r w:rsidRPr="004E5507">
        <w:t xml:space="preserve"> APS agencies</w:t>
      </w:r>
      <w:r w:rsidRPr="00B868F7">
        <w:t>.</w:t>
      </w:r>
    </w:p>
    <w:p w14:paraId="4D1059B7" w14:textId="402D7D84" w:rsidR="00EC18AA" w:rsidRDefault="00EC18AA" w:rsidP="00FF1E44">
      <w:r>
        <w:t xml:space="preserve">Finally, the Reviewer also </w:t>
      </w:r>
      <w:proofErr w:type="gramStart"/>
      <w:r>
        <w:t>t</w:t>
      </w:r>
      <w:r w:rsidR="004A1E91">
        <w:t>ook</w:t>
      </w:r>
      <w:r>
        <w:t xml:space="preserve"> into account</w:t>
      </w:r>
      <w:proofErr w:type="gramEnd"/>
      <w:r>
        <w:t xml:space="preserve"> </w:t>
      </w:r>
      <w:r w:rsidR="00A92B3D">
        <w:t xml:space="preserve">Australian National Audit Office </w:t>
      </w:r>
      <w:r w:rsidR="00A92B3D" w:rsidRPr="00A92B3D">
        <w:t>(</w:t>
      </w:r>
      <w:r w:rsidRPr="00A92B3D">
        <w:t>ANAO</w:t>
      </w:r>
      <w:r w:rsidR="00A92B3D" w:rsidRPr="00A92B3D">
        <w:t>)</w:t>
      </w:r>
      <w:r>
        <w:t xml:space="preserve"> reports on procurements over the last decade </w:t>
      </w:r>
      <w:r w:rsidR="00F4125D">
        <w:t xml:space="preserve">or so </w:t>
      </w:r>
      <w:r>
        <w:t xml:space="preserve">and </w:t>
      </w:r>
      <w:r w:rsidR="002A0FA3">
        <w:t>i</w:t>
      </w:r>
      <w:r>
        <w:t xml:space="preserve">nternal </w:t>
      </w:r>
      <w:r w:rsidR="002A0FA3">
        <w:t>a</w:t>
      </w:r>
      <w:r>
        <w:t xml:space="preserve">udit </w:t>
      </w:r>
      <w:r w:rsidR="002A0FA3">
        <w:t>r</w:t>
      </w:r>
      <w:r>
        <w:t>eports from both the NDIA and SA.</w:t>
      </w:r>
    </w:p>
    <w:p w14:paraId="0C928634" w14:textId="0029A064" w:rsidR="009C6F97" w:rsidRDefault="009C6F97" w:rsidP="00FF1E44">
      <w:r>
        <w:t xml:space="preserve">The </w:t>
      </w:r>
      <w:r w:rsidR="007B374E">
        <w:t>findings and recommendations in Part I of this report draw extensively on the Taskforce findings</w:t>
      </w:r>
      <w:r w:rsidR="00B868F7">
        <w:t>.</w:t>
      </w:r>
      <w:r w:rsidR="007B374E">
        <w:t xml:space="preserve"> </w:t>
      </w:r>
      <w:r w:rsidR="00F4125D">
        <w:t>They are directed to the CEOs of the two agencies concerned</w:t>
      </w:r>
      <w:r w:rsidR="00C81978">
        <w:t xml:space="preserve">. </w:t>
      </w:r>
      <w:r w:rsidR="00B868F7">
        <w:t>T</w:t>
      </w:r>
      <w:r w:rsidR="007B374E">
        <w:t xml:space="preserve">he </w:t>
      </w:r>
      <w:r w:rsidR="000F0C99">
        <w:t xml:space="preserve">additional </w:t>
      </w:r>
      <w:r w:rsidR="00CF423C">
        <w:t>recommendations</w:t>
      </w:r>
      <w:r>
        <w:t xml:space="preserve"> and findings</w:t>
      </w:r>
      <w:r w:rsidR="00800716">
        <w:t xml:space="preserve"> detailed in </w:t>
      </w:r>
      <w:r w:rsidR="00EC18AA">
        <w:t xml:space="preserve">Part II </w:t>
      </w:r>
      <w:r w:rsidR="00800716">
        <w:t>are</w:t>
      </w:r>
      <w:r w:rsidR="002531B7">
        <w:t xml:space="preserve"> the Reviewer’s alone</w:t>
      </w:r>
      <w:r w:rsidR="00C81978">
        <w:t xml:space="preserve"> and are directed to the senior leadership of the APS more generally</w:t>
      </w:r>
      <w:r w:rsidR="002531B7">
        <w:t>.</w:t>
      </w:r>
    </w:p>
    <w:p w14:paraId="7FEE5EB8" w14:textId="77777777" w:rsidR="00D43D5F" w:rsidRDefault="00D43D5F" w:rsidP="00FF1E44">
      <w:r>
        <w:t xml:space="preserve">The Terms of Reference provide that a copy of the report or part of the report may be provided to other agencies, where it raises issues relevant to their functions or activities. </w:t>
      </w:r>
    </w:p>
    <w:p w14:paraId="6C332BC4" w14:textId="7E1837FA" w:rsidR="00395B23" w:rsidRDefault="0026713C" w:rsidP="00FF1E44">
      <w:r>
        <w:t>T</w:t>
      </w:r>
      <w:r w:rsidR="002531B7" w:rsidRPr="00CF423C">
        <w:t>he Reviewer’s</w:t>
      </w:r>
      <w:r w:rsidR="000F0C99" w:rsidRPr="00CF423C">
        <w:t xml:space="preserve"> </w:t>
      </w:r>
      <w:r w:rsidR="00D43D5F">
        <w:t>clear conclusion</w:t>
      </w:r>
      <w:r w:rsidR="000F0C99" w:rsidRPr="00CF423C">
        <w:t xml:space="preserve"> </w:t>
      </w:r>
      <w:r>
        <w:t xml:space="preserve">is </w:t>
      </w:r>
      <w:r w:rsidR="000F0C99" w:rsidRPr="00CF423C">
        <w:t xml:space="preserve">that both reports </w:t>
      </w:r>
      <w:r w:rsidR="007B374E">
        <w:t>should be</w:t>
      </w:r>
      <w:r w:rsidR="000F0C99" w:rsidRPr="00CF423C">
        <w:t xml:space="preserve"> shared </w:t>
      </w:r>
      <w:r w:rsidR="00C528F6">
        <w:t>with</w:t>
      </w:r>
      <w:r w:rsidR="007B374E">
        <w:t xml:space="preserve"> at least</w:t>
      </w:r>
      <w:r w:rsidR="00C528F6">
        <w:t xml:space="preserve"> selected </w:t>
      </w:r>
      <w:r w:rsidR="00C528F6" w:rsidRPr="00A92B3D">
        <w:t>agency heads</w:t>
      </w:r>
      <w:r w:rsidR="00C528F6">
        <w:t xml:space="preserve"> </w:t>
      </w:r>
      <w:r w:rsidR="000F0C99" w:rsidRPr="00CF423C">
        <w:t xml:space="preserve">across the </w:t>
      </w:r>
      <w:r w:rsidR="00CF423C" w:rsidRPr="00CF423C">
        <w:t>APS</w:t>
      </w:r>
      <w:r w:rsidR="000F0C99" w:rsidRPr="00CF423C">
        <w:t>.</w:t>
      </w:r>
      <w:r w:rsidR="00F57D0D">
        <w:t xml:space="preserve"> The issues found within the </w:t>
      </w:r>
      <w:r w:rsidR="00F712C2">
        <w:t xml:space="preserve">procurements reviewed </w:t>
      </w:r>
      <w:r w:rsidR="00F57D0D">
        <w:t xml:space="preserve">are </w:t>
      </w:r>
      <w:r w:rsidR="00A84C79">
        <w:t xml:space="preserve">far from </w:t>
      </w:r>
      <w:r w:rsidR="00F57D0D">
        <w:t>unique to the NDIA or S</w:t>
      </w:r>
      <w:r w:rsidR="00395B23">
        <w:t xml:space="preserve">A. </w:t>
      </w:r>
      <w:r w:rsidR="00F712C2">
        <w:t xml:space="preserve">There are lessons within these findings that </w:t>
      </w:r>
      <w:r w:rsidR="00A84C79">
        <w:t xml:space="preserve">should </w:t>
      </w:r>
      <w:r w:rsidR="00F712C2">
        <w:t>be applied across the APS.</w:t>
      </w:r>
    </w:p>
    <w:p w14:paraId="5E123F90" w14:textId="63C18416" w:rsidR="00C32395" w:rsidRDefault="00F712C2" w:rsidP="00FF1E44">
      <w:r>
        <w:t xml:space="preserve">Further, there is a need for </w:t>
      </w:r>
      <w:r w:rsidR="00044E64">
        <w:t xml:space="preserve">capability uplift across the </w:t>
      </w:r>
      <w:r>
        <w:t>APS</w:t>
      </w:r>
      <w:r w:rsidR="00274323">
        <w:t xml:space="preserve"> </w:t>
      </w:r>
      <w:r>
        <w:t xml:space="preserve">to </w:t>
      </w:r>
      <w:r w:rsidR="00044E64">
        <w:t>ensure the</w:t>
      </w:r>
      <w:r>
        <w:t xml:space="preserve"> challenges </w:t>
      </w:r>
      <w:r w:rsidR="00044E64">
        <w:t xml:space="preserve">identified through the Review are </w:t>
      </w:r>
      <w:r w:rsidR="00C87FF3">
        <w:t xml:space="preserve">fully </w:t>
      </w:r>
      <w:r w:rsidR="00044E64">
        <w:t>addressed.</w:t>
      </w:r>
    </w:p>
    <w:p w14:paraId="4B1C7EA7" w14:textId="77777777" w:rsidR="0009030A" w:rsidRPr="0009030A" w:rsidRDefault="0009030A" w:rsidP="00FF1E44">
      <w:pPr>
        <w:rPr>
          <w:sz w:val="12"/>
        </w:rPr>
      </w:pPr>
    </w:p>
    <w:p w14:paraId="0679CC9D" w14:textId="5E15DB03" w:rsidR="00CC451C" w:rsidRDefault="00CC451C" w:rsidP="0009030A">
      <w:pPr>
        <w:spacing w:after="0"/>
      </w:pPr>
      <w:r>
        <w:rPr>
          <w:noProof/>
          <w:lang w:eastAsia="en-AU"/>
        </w:rPr>
        <w:drawing>
          <wp:inline distT="0" distB="0" distL="0" distR="0" wp14:anchorId="077FECA4" wp14:editId="756CA9F1">
            <wp:extent cx="1181100" cy="791337"/>
            <wp:effectExtent l="0" t="0" r="0" b="8890"/>
            <wp:docPr id="3" name="Picture 3" descr="Digital signature of Dr I.J. Watt AC, Independent Reviewer" title="Digita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 W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5589" cy="794344"/>
                    </a:xfrm>
                    <a:prstGeom prst="rect">
                      <a:avLst/>
                    </a:prstGeom>
                  </pic:spPr>
                </pic:pic>
              </a:graphicData>
            </a:graphic>
          </wp:inline>
        </w:drawing>
      </w:r>
    </w:p>
    <w:p w14:paraId="6A0E117A" w14:textId="39D0487E" w:rsidR="00814F3A" w:rsidRPr="00843991" w:rsidRDefault="00814F3A" w:rsidP="0009030A">
      <w:pPr>
        <w:spacing w:after="0"/>
      </w:pPr>
      <w:r w:rsidRPr="00843991">
        <w:t>Dr I</w:t>
      </w:r>
      <w:r w:rsidR="00C87FF3">
        <w:t>.J.</w:t>
      </w:r>
      <w:r w:rsidRPr="00843991">
        <w:t xml:space="preserve"> Watt AC</w:t>
      </w:r>
    </w:p>
    <w:p w14:paraId="38C1675D" w14:textId="77777777" w:rsidR="00814F3A" w:rsidRPr="00843991" w:rsidRDefault="00814F3A" w:rsidP="0009030A">
      <w:pPr>
        <w:spacing w:after="0"/>
      </w:pPr>
      <w:r w:rsidRPr="00843991">
        <w:t>Independent Reviewer</w:t>
      </w:r>
    </w:p>
    <w:p w14:paraId="6EA71FCB" w14:textId="27FD6884" w:rsidR="00814F3A" w:rsidRPr="007C5EFD" w:rsidRDefault="006F7067" w:rsidP="0009030A">
      <w:pPr>
        <w:spacing w:after="0"/>
      </w:pPr>
      <w:r>
        <w:t xml:space="preserve">6 </w:t>
      </w:r>
      <w:r w:rsidR="00E20659">
        <w:t>March</w:t>
      </w:r>
      <w:r w:rsidR="008F3196">
        <w:t xml:space="preserve"> </w:t>
      </w:r>
      <w:r w:rsidR="00814F3A" w:rsidRPr="00843991">
        <w:t>2023</w:t>
      </w:r>
    </w:p>
    <w:p w14:paraId="6B8F2A5B" w14:textId="4AD10F7C" w:rsidR="00A20FA5" w:rsidRPr="00153766" w:rsidRDefault="00A20FA5" w:rsidP="00FF1E44">
      <w:pPr>
        <w:pStyle w:val="Heading1"/>
      </w:pPr>
      <w:r w:rsidRPr="00153766">
        <w:lastRenderedPageBreak/>
        <w:t xml:space="preserve">Part </w:t>
      </w:r>
      <w:r w:rsidR="00221C39">
        <w:t>I</w:t>
      </w:r>
      <w:r w:rsidR="00C87FF3">
        <w:t>: The NDIA and SA</w:t>
      </w:r>
    </w:p>
    <w:p w14:paraId="6E58C4BD" w14:textId="4EA56C71" w:rsidR="00A20FA5" w:rsidRPr="00153766" w:rsidRDefault="00A20FA5" w:rsidP="00FF1E44">
      <w:r w:rsidRPr="00153766">
        <w:t xml:space="preserve">The following discussion and recommendations </w:t>
      </w:r>
      <w:r w:rsidR="007B374E">
        <w:t>draw extensively</w:t>
      </w:r>
      <w:r w:rsidRPr="00153766">
        <w:t xml:space="preserve"> on the analytical work of the Task</w:t>
      </w:r>
      <w:r w:rsidR="000F0C99">
        <w:t>f</w:t>
      </w:r>
      <w:r w:rsidRPr="00153766">
        <w:t>orce.</w:t>
      </w:r>
      <w:r w:rsidR="00C87FF3">
        <w:t xml:space="preserve"> The recommendations are directed to the CEOs of the NDIA and SA</w:t>
      </w:r>
      <w:r w:rsidR="009B1A3F">
        <w:t>, but do have much wider applicability</w:t>
      </w:r>
      <w:r w:rsidR="00C87FF3">
        <w:t>.</w:t>
      </w:r>
    </w:p>
    <w:p w14:paraId="5E808536" w14:textId="77777777" w:rsidR="00A20FA5" w:rsidRPr="00153766" w:rsidRDefault="00A20FA5" w:rsidP="00FF1E44">
      <w:r w:rsidRPr="00153766">
        <w:t>The Task</w:t>
      </w:r>
      <w:r w:rsidR="000F0C99">
        <w:t>f</w:t>
      </w:r>
      <w:r w:rsidRPr="00153766">
        <w:t>orce concluded that</w:t>
      </w:r>
      <w:r w:rsidR="000F0C99">
        <w:t>:</w:t>
      </w:r>
    </w:p>
    <w:p w14:paraId="1076DBF7" w14:textId="2C34FFEE" w:rsidR="001037D6" w:rsidRPr="004760AD" w:rsidRDefault="001037D6" w:rsidP="00FF1E44">
      <w:pPr>
        <w:pStyle w:val="OrderedList"/>
      </w:pPr>
      <w:r w:rsidRPr="004760AD">
        <w:t>Of the 95 procurements, 67</w:t>
      </w:r>
      <w:r w:rsidR="009B207A" w:rsidRPr="004760AD">
        <w:t xml:space="preserve"> (71</w:t>
      </w:r>
      <w:r w:rsidR="00C87FF3" w:rsidRPr="004760AD">
        <w:t xml:space="preserve"> </w:t>
      </w:r>
      <w:r w:rsidR="001C366F" w:rsidRPr="004760AD">
        <w:t>per cent</w:t>
      </w:r>
      <w:r w:rsidR="009B207A" w:rsidRPr="004760AD">
        <w:t>)</w:t>
      </w:r>
      <w:r w:rsidR="00632CCF" w:rsidRPr="004760AD">
        <w:t xml:space="preserve">, </w:t>
      </w:r>
      <w:r w:rsidR="00D24ABD" w:rsidRPr="004760AD">
        <w:t xml:space="preserve">which had </w:t>
      </w:r>
      <w:r w:rsidR="00632CCF" w:rsidRPr="004760AD">
        <w:t>a</w:t>
      </w:r>
      <w:r w:rsidR="009B67C5">
        <w:t xml:space="preserve"> </w:t>
      </w:r>
      <w:r w:rsidR="00632CCF" w:rsidRPr="004760AD">
        <w:t>value of $267 million,</w:t>
      </w:r>
      <w:r w:rsidRPr="004760AD">
        <w:t xml:space="preserve"> were found to be broadly consistent with the CPRs and </w:t>
      </w:r>
      <w:r w:rsidR="00D93BBF" w:rsidRPr="004760AD">
        <w:t>good</w:t>
      </w:r>
      <w:r w:rsidR="002A0FA3" w:rsidRPr="004760AD">
        <w:t xml:space="preserve"> </w:t>
      </w:r>
      <w:r w:rsidRPr="004760AD">
        <w:t>practice. Twenty-eig</w:t>
      </w:r>
      <w:r w:rsidR="009B207A" w:rsidRPr="004760AD">
        <w:t>ht (29</w:t>
      </w:r>
      <w:r w:rsidR="00C87FF3" w:rsidRPr="004760AD">
        <w:t xml:space="preserve"> </w:t>
      </w:r>
      <w:r w:rsidR="001C366F" w:rsidRPr="004760AD">
        <w:t>per cent</w:t>
      </w:r>
      <w:r w:rsidR="009B207A" w:rsidRPr="004760AD">
        <w:t>)</w:t>
      </w:r>
      <w:r w:rsidR="00C8178A" w:rsidRPr="004760AD">
        <w:t xml:space="preserve"> </w:t>
      </w:r>
      <w:r w:rsidR="009B207A" w:rsidRPr="004760AD">
        <w:t>procurements</w:t>
      </w:r>
      <w:r w:rsidR="00C8178A" w:rsidRPr="004760AD">
        <w:t>,</w:t>
      </w:r>
      <w:r w:rsidR="009B207A" w:rsidRPr="004760AD">
        <w:t xml:space="preserve"> </w:t>
      </w:r>
      <w:r w:rsidR="00D24ABD" w:rsidRPr="004760AD">
        <w:t xml:space="preserve">with </w:t>
      </w:r>
      <w:r w:rsidR="00C8178A" w:rsidRPr="004760AD">
        <w:t xml:space="preserve">an </w:t>
      </w:r>
      <w:r w:rsidR="009B67C5">
        <w:t>approximate</w:t>
      </w:r>
      <w:r w:rsidR="009B67C5" w:rsidRPr="004760AD">
        <w:t xml:space="preserve"> </w:t>
      </w:r>
      <w:r w:rsidR="00C8178A" w:rsidRPr="004760AD">
        <w:t>value of $</w:t>
      </w:r>
      <w:r w:rsidR="00991AA7" w:rsidRPr="004760AD">
        <w:t>3</w:t>
      </w:r>
      <w:r w:rsidR="005D10D2" w:rsidRPr="004760AD">
        <w:t>51</w:t>
      </w:r>
      <w:r w:rsidR="00991AA7" w:rsidRPr="004760AD">
        <w:t xml:space="preserve"> </w:t>
      </w:r>
      <w:r w:rsidR="00C8178A" w:rsidRPr="004760AD">
        <w:t xml:space="preserve">million, </w:t>
      </w:r>
      <w:r w:rsidR="009B207A" w:rsidRPr="004760AD">
        <w:t xml:space="preserve">were found to have CPR breaches </w:t>
      </w:r>
      <w:r w:rsidR="007B374E" w:rsidRPr="004760AD">
        <w:t>and/</w:t>
      </w:r>
      <w:r w:rsidR="009B207A" w:rsidRPr="004760AD">
        <w:t xml:space="preserve">or be inconsistent with </w:t>
      </w:r>
      <w:r w:rsidR="001A556C" w:rsidRPr="004760AD">
        <w:t xml:space="preserve">good </w:t>
      </w:r>
      <w:r w:rsidR="009B207A" w:rsidRPr="004760AD">
        <w:t>practice.</w:t>
      </w:r>
    </w:p>
    <w:p w14:paraId="62285FAB" w14:textId="084B122D" w:rsidR="00A20FA5" w:rsidRPr="006031D0" w:rsidRDefault="001037D6" w:rsidP="00FF1E44">
      <w:pPr>
        <w:pStyle w:val="OrderedList"/>
      </w:pPr>
      <w:proofErr w:type="gramStart"/>
      <w:r w:rsidRPr="006031D0">
        <w:t>On the whole</w:t>
      </w:r>
      <w:proofErr w:type="gramEnd"/>
      <w:r w:rsidRPr="006031D0">
        <w:t xml:space="preserve">, the procurements were largely comparable to comparator procurements </w:t>
      </w:r>
      <w:r w:rsidR="001D7FC0">
        <w:t xml:space="preserve">also </w:t>
      </w:r>
      <w:r w:rsidRPr="006031D0">
        <w:t>undertaken by the NDIA and SA during the reference period.</w:t>
      </w:r>
    </w:p>
    <w:p w14:paraId="18CB1C37" w14:textId="4304EB1D" w:rsidR="001037D6" w:rsidRPr="006031D0" w:rsidRDefault="001037D6" w:rsidP="00FF1E44">
      <w:pPr>
        <w:pStyle w:val="OrderedList"/>
      </w:pPr>
      <w:r w:rsidRPr="006031D0">
        <w:t>Overall, the</w:t>
      </w:r>
      <w:r w:rsidR="00DF246B">
        <w:t xml:space="preserve"> problematic</w:t>
      </w:r>
      <w:r w:rsidRPr="006031D0">
        <w:t xml:space="preserve"> issues identified within the procurements were consistent </w:t>
      </w:r>
      <w:r w:rsidR="009B1A3F">
        <w:t xml:space="preserve">in kind and extent to </w:t>
      </w:r>
      <w:r w:rsidRPr="006031D0">
        <w:t xml:space="preserve">issues identified in previous ANAO audits into procurements </w:t>
      </w:r>
      <w:r w:rsidR="00DF246B">
        <w:t>across</w:t>
      </w:r>
      <w:r w:rsidRPr="006031D0">
        <w:t xml:space="preserve"> the public sector</w:t>
      </w:r>
      <w:r w:rsidR="002A0FA3">
        <w:t>, and in</w:t>
      </w:r>
      <w:r w:rsidR="009B1A3F">
        <w:t xml:space="preserve"> some</w:t>
      </w:r>
      <w:r w:rsidR="002A0FA3">
        <w:t xml:space="preserve"> internal audit reports of the NDIA and SA</w:t>
      </w:r>
      <w:r w:rsidRPr="006031D0">
        <w:t>.</w:t>
      </w:r>
    </w:p>
    <w:p w14:paraId="711F2235" w14:textId="1E7F077C" w:rsidR="00A20FA5" w:rsidRDefault="001037D6" w:rsidP="00FF1E44">
      <w:pPr>
        <w:pStyle w:val="OrderedList"/>
      </w:pPr>
      <w:r w:rsidRPr="006031D0">
        <w:t>Procurement processes within both agencies ha</w:t>
      </w:r>
      <w:r w:rsidR="00C87FF3">
        <w:t>ve</w:t>
      </w:r>
      <w:r w:rsidRPr="006031D0">
        <w:t xml:space="preserve"> improved </w:t>
      </w:r>
      <w:r w:rsidR="001D7FC0">
        <w:t xml:space="preserve">significantly </w:t>
      </w:r>
      <w:r w:rsidRPr="006031D0">
        <w:t>over</w:t>
      </w:r>
      <w:r w:rsidR="00DF246B">
        <w:t xml:space="preserve"> </w:t>
      </w:r>
      <w:r w:rsidRPr="006031D0">
        <w:t xml:space="preserve">time, </w:t>
      </w:r>
      <w:r w:rsidR="00F26EF5">
        <w:t>but</w:t>
      </w:r>
      <w:r w:rsidR="00F26EF5" w:rsidRPr="006031D0">
        <w:t xml:space="preserve"> </w:t>
      </w:r>
      <w:r w:rsidRPr="006031D0">
        <w:t xml:space="preserve">there is still </w:t>
      </w:r>
      <w:r w:rsidR="006031D0" w:rsidRPr="006031D0">
        <w:t>s</w:t>
      </w:r>
      <w:r w:rsidR="00A20FA5" w:rsidRPr="006031D0">
        <w:t>cope for further improvements</w:t>
      </w:r>
      <w:r w:rsidR="009B67C5">
        <w:t>.</w:t>
      </w:r>
    </w:p>
    <w:p w14:paraId="18408137" w14:textId="6BFE2440" w:rsidR="00DF246B" w:rsidRPr="006031D0" w:rsidRDefault="00816538" w:rsidP="00FF1E44">
      <w:pPr>
        <w:pStyle w:val="OrderedList"/>
      </w:pPr>
      <w:r>
        <w:t xml:space="preserve">There </w:t>
      </w:r>
      <w:r w:rsidR="00B868F7">
        <w:t>were no examples of clear misconduct related to the procurements</w:t>
      </w:r>
      <w:r>
        <w:t>.</w:t>
      </w:r>
      <w:r w:rsidR="00B868F7">
        <w:t xml:space="preserve"> However, there </w:t>
      </w:r>
      <w:r w:rsidR="00B868F7" w:rsidRPr="00B868F7">
        <w:t xml:space="preserve">were clear examples of poor practices and </w:t>
      </w:r>
      <w:r w:rsidR="00F26EF5">
        <w:t xml:space="preserve">seemingly too close </w:t>
      </w:r>
      <w:r w:rsidR="00B868F7" w:rsidRPr="00B868F7">
        <w:t xml:space="preserve">relationships between APS officials and suppliers that were not </w:t>
      </w:r>
      <w:r w:rsidR="009B1A3F">
        <w:t xml:space="preserve">properly </w:t>
      </w:r>
      <w:r w:rsidR="00B868F7" w:rsidRPr="00B868F7">
        <w:t>managed</w:t>
      </w:r>
      <w:r w:rsidR="0086340F">
        <w:t>. Conduct was sometimes</w:t>
      </w:r>
      <w:r w:rsidR="009B1A3F">
        <w:t xml:space="preserve"> well below </w:t>
      </w:r>
      <w:r w:rsidR="00BD7E8A">
        <w:t>u</w:t>
      </w:r>
      <w:r w:rsidR="009B1A3F">
        <w:t>sually acceptable practice</w:t>
      </w:r>
      <w:r w:rsidR="00B868F7" w:rsidRPr="00B868F7">
        <w:t>.</w:t>
      </w:r>
    </w:p>
    <w:p w14:paraId="52703307" w14:textId="2CE6FE1C" w:rsidR="00A20FA5" w:rsidRPr="00153766" w:rsidRDefault="00153766" w:rsidP="00FF1E44">
      <w:r>
        <w:t>B</w:t>
      </w:r>
      <w:r w:rsidRPr="00153766">
        <w:t xml:space="preserve">ased on the information </w:t>
      </w:r>
      <w:r w:rsidR="00B43B5F">
        <w:t xml:space="preserve">and analytical work undertaken, </w:t>
      </w:r>
      <w:r>
        <w:t xml:space="preserve">it is </w:t>
      </w:r>
      <w:r w:rsidR="0079268A">
        <w:t>the Reviewer</w:t>
      </w:r>
      <w:r w:rsidR="00B43B5F">
        <w:t>’</w:t>
      </w:r>
      <w:r w:rsidR="0079268A">
        <w:t>s</w:t>
      </w:r>
      <w:r>
        <w:t xml:space="preserve"> view that t</w:t>
      </w:r>
      <w:r w:rsidR="00A20FA5" w:rsidRPr="00153766">
        <w:t xml:space="preserve">he </w:t>
      </w:r>
      <w:r w:rsidR="000F0C99">
        <w:t>Taskforce</w:t>
      </w:r>
      <w:r w:rsidR="00A20FA5" w:rsidRPr="00153766">
        <w:t xml:space="preserve"> findings </w:t>
      </w:r>
      <w:r>
        <w:t>are</w:t>
      </w:r>
      <w:r w:rsidR="00A20FA5" w:rsidRPr="00153766">
        <w:t xml:space="preserve"> </w:t>
      </w:r>
      <w:r w:rsidR="00DF246B">
        <w:t xml:space="preserve">broadly </w:t>
      </w:r>
      <w:r w:rsidR="00A20FA5" w:rsidRPr="00153766">
        <w:t>appropriate</w:t>
      </w:r>
      <w:r w:rsidR="00CB7AB2">
        <w:t xml:space="preserve">. </w:t>
      </w:r>
      <w:r w:rsidR="009A7D27">
        <w:t>Further</w:t>
      </w:r>
      <w:r w:rsidR="00B54F68">
        <w:t>,</w:t>
      </w:r>
      <w:r w:rsidR="00DF246B">
        <w:t xml:space="preserve"> using as a </w:t>
      </w:r>
      <w:r w:rsidR="00F26EF5">
        <w:t xml:space="preserve">rough </w:t>
      </w:r>
      <w:r w:rsidR="00DF246B">
        <w:t xml:space="preserve">point of comparison a decade </w:t>
      </w:r>
      <w:r w:rsidR="00F26EF5">
        <w:t xml:space="preserve">or so </w:t>
      </w:r>
      <w:r w:rsidR="00DF246B">
        <w:t xml:space="preserve">of </w:t>
      </w:r>
      <w:r w:rsidR="00F26EF5">
        <w:t xml:space="preserve">published </w:t>
      </w:r>
      <w:r w:rsidR="00DF246B">
        <w:t>ANAO audits on procurements,</w:t>
      </w:r>
      <w:r w:rsidR="009A7D27">
        <w:t xml:space="preserve"> there </w:t>
      </w:r>
      <w:r>
        <w:t>is no reason</w:t>
      </w:r>
      <w:r w:rsidR="00A20FA5" w:rsidRPr="00153766">
        <w:t xml:space="preserve"> to suggest that </w:t>
      </w:r>
      <w:r>
        <w:t xml:space="preserve">NDIA and SA </w:t>
      </w:r>
      <w:r w:rsidR="00A20FA5" w:rsidRPr="00153766">
        <w:t xml:space="preserve">procurement processes, procurement capability and contract management </w:t>
      </w:r>
      <w:r>
        <w:t>are</w:t>
      </w:r>
      <w:r w:rsidR="00A20FA5" w:rsidRPr="00153766">
        <w:t xml:space="preserve"> markedly worse than </w:t>
      </w:r>
      <w:r>
        <w:t xml:space="preserve">those </w:t>
      </w:r>
      <w:r w:rsidR="009A7D27">
        <w:t>across the</w:t>
      </w:r>
      <w:r>
        <w:t xml:space="preserve"> </w:t>
      </w:r>
      <w:r w:rsidR="00A20FA5" w:rsidRPr="00153766">
        <w:t xml:space="preserve">Australian Government </w:t>
      </w:r>
      <w:r w:rsidR="009A7D27">
        <w:t xml:space="preserve">as a whole. That said, </w:t>
      </w:r>
      <w:r w:rsidR="00F26EF5">
        <w:t xml:space="preserve">it must also be acknowledged that </w:t>
      </w:r>
      <w:r w:rsidR="009A7D27">
        <w:t xml:space="preserve">the level is </w:t>
      </w:r>
      <w:r w:rsidR="009B1A3F">
        <w:t>not</w:t>
      </w:r>
      <w:r w:rsidR="009A7D27">
        <w:t xml:space="preserve"> </w:t>
      </w:r>
      <w:r w:rsidR="00FE5EA7">
        <w:t xml:space="preserve">always </w:t>
      </w:r>
      <w:r w:rsidR="009A7D27">
        <w:t>high</w:t>
      </w:r>
      <w:r>
        <w:t>.</w:t>
      </w:r>
    </w:p>
    <w:p w14:paraId="35628369" w14:textId="75FDE8ED" w:rsidR="00A20FA5" w:rsidRPr="00153766" w:rsidRDefault="00153766" w:rsidP="00FF1E44">
      <w:r>
        <w:t>D</w:t>
      </w:r>
      <w:r w:rsidR="00A20FA5" w:rsidRPr="00153766">
        <w:t xml:space="preserve">espite the substantial efforts made by both </w:t>
      </w:r>
      <w:r w:rsidR="00F336FB">
        <w:t>a</w:t>
      </w:r>
      <w:r w:rsidR="00B42AF2">
        <w:t>gencies</w:t>
      </w:r>
      <w:r w:rsidR="00A20FA5" w:rsidRPr="00153766">
        <w:t xml:space="preserve"> </w:t>
      </w:r>
      <w:r>
        <w:t xml:space="preserve">to </w:t>
      </w:r>
      <w:r w:rsidR="00076752">
        <w:t xml:space="preserve">improve procurement processes, </w:t>
      </w:r>
      <w:r w:rsidR="006D57D2">
        <w:t>guidance and training</w:t>
      </w:r>
      <w:r>
        <w:t xml:space="preserve"> over the </w:t>
      </w:r>
      <w:r w:rsidR="004F7E6A">
        <w:t>Review period</w:t>
      </w:r>
      <w:r>
        <w:t>,</w:t>
      </w:r>
      <w:r w:rsidR="00A20FA5" w:rsidRPr="00153766">
        <w:t xml:space="preserve"> there is scope for further improvement in </w:t>
      </w:r>
      <w:r>
        <w:t xml:space="preserve">procurement </w:t>
      </w:r>
      <w:r w:rsidR="00A20FA5" w:rsidRPr="00153766">
        <w:t xml:space="preserve">processes, capability and contract management. This will, however, require </w:t>
      </w:r>
      <w:r w:rsidR="00DF246B">
        <w:t xml:space="preserve">further </w:t>
      </w:r>
      <w:r w:rsidR="00A20FA5" w:rsidRPr="00153766">
        <w:t xml:space="preserve">changes at </w:t>
      </w:r>
      <w:r>
        <w:t xml:space="preserve">both </w:t>
      </w:r>
      <w:r w:rsidR="00A20FA5" w:rsidRPr="00153766">
        <w:t xml:space="preserve">the </w:t>
      </w:r>
      <w:r w:rsidR="00E82EA1">
        <w:t>a</w:t>
      </w:r>
      <w:r w:rsidR="00A20FA5" w:rsidRPr="00153766">
        <w:t>gency and whole</w:t>
      </w:r>
      <w:r w:rsidR="00CF423C">
        <w:noBreakHyphen/>
      </w:r>
      <w:r w:rsidR="00A20FA5" w:rsidRPr="00153766">
        <w:t>of</w:t>
      </w:r>
      <w:r w:rsidR="00CF423C">
        <w:noBreakHyphen/>
        <w:t>government level.</w:t>
      </w:r>
    </w:p>
    <w:p w14:paraId="73CE8A40" w14:textId="77777777" w:rsidR="00713887" w:rsidRDefault="00713887">
      <w:pPr>
        <w:rPr>
          <w:rFonts w:cs="Arial"/>
          <w:b/>
          <w:color w:val="0070C4"/>
          <w:sz w:val="36"/>
          <w:szCs w:val="40"/>
        </w:rPr>
      </w:pPr>
      <w:r>
        <w:br w:type="page"/>
      </w:r>
    </w:p>
    <w:p w14:paraId="1F583441" w14:textId="03E7EF28" w:rsidR="00147515" w:rsidRPr="00153766" w:rsidRDefault="00147515" w:rsidP="00FF1E44">
      <w:pPr>
        <w:pStyle w:val="Heading2"/>
        <w:rPr>
          <w:sz w:val="22"/>
          <w:szCs w:val="22"/>
        </w:rPr>
      </w:pPr>
      <w:r w:rsidRPr="00153766">
        <w:lastRenderedPageBreak/>
        <w:t>Procurement: Initial Steps</w:t>
      </w:r>
    </w:p>
    <w:p w14:paraId="15D964AD" w14:textId="77777777" w:rsidR="006D0931" w:rsidRDefault="006D0931" w:rsidP="00FF1E44">
      <w:pPr>
        <w:pStyle w:val="Heading3"/>
      </w:pPr>
      <w:r>
        <w:t>Limited tender and single supplier approaches</w:t>
      </w:r>
    </w:p>
    <w:p w14:paraId="4FF80A20" w14:textId="2EBC9C2A" w:rsidR="00D72406" w:rsidRDefault="00147515" w:rsidP="00FF1E44">
      <w:r w:rsidRPr="00153766">
        <w:t xml:space="preserve">A key decision </w:t>
      </w:r>
      <w:r w:rsidR="00AC0E9B">
        <w:t>taken when initiating a procurement is the method</w:t>
      </w:r>
      <w:r w:rsidR="00D72406">
        <w:t xml:space="preserve"> </w:t>
      </w:r>
      <w:r w:rsidR="009B1A3F">
        <w:t>to be used</w:t>
      </w:r>
      <w:r w:rsidR="00AC0E9B">
        <w:t xml:space="preserve">. There are </w:t>
      </w:r>
      <w:r w:rsidR="006C5D28">
        <w:t xml:space="preserve">two </w:t>
      </w:r>
      <w:r w:rsidR="00F43B1F">
        <w:t xml:space="preserve">procurement </w:t>
      </w:r>
      <w:r w:rsidR="006C5D28">
        <w:t>methods</w:t>
      </w:r>
      <w:r w:rsidR="00AC0E9B">
        <w:t xml:space="preserve"> available under the </w:t>
      </w:r>
      <w:r w:rsidR="00E82EA1">
        <w:t>CPRs</w:t>
      </w:r>
      <w:r w:rsidR="00173DE6">
        <w:t>: o</w:t>
      </w:r>
      <w:r w:rsidR="00AC0E9B">
        <w:t>pen tende</w:t>
      </w:r>
      <w:r w:rsidR="00173DE6">
        <w:t>r and l</w:t>
      </w:r>
      <w:r w:rsidR="00AC0E9B" w:rsidRPr="00173DE6">
        <w:t>imited tender</w:t>
      </w:r>
      <w:r w:rsidR="00090A62" w:rsidRPr="00173DE6">
        <w:t>.</w:t>
      </w:r>
    </w:p>
    <w:p w14:paraId="5CEE3107" w14:textId="14BFCEED" w:rsidR="003B5B94" w:rsidRDefault="003B5B94" w:rsidP="003B5B94">
      <w:pPr>
        <w:pStyle w:val="Definitiontableheading"/>
      </w:pPr>
      <w:r w:rsidRPr="00FF1E44">
        <w:t>Commonwealth Procurement Rules: Definitions</w:t>
      </w:r>
    </w:p>
    <w:tbl>
      <w:tblPr>
        <w:tblStyle w:val="TableGrid"/>
        <w:tblpPr w:leftFromText="181" w:rightFromText="181" w:bottomFromText="284" w:vertAnchor="text" w:tblpY="1"/>
        <w:tblOverlap w:val="never"/>
        <w:tblW w:w="9126" w:type="dxa"/>
        <w:tblBorders>
          <w:top w:val="single" w:sz="2" w:space="0" w:color="959493"/>
          <w:left w:val="single" w:sz="2" w:space="0" w:color="959493"/>
          <w:bottom w:val="single" w:sz="2" w:space="0" w:color="959493"/>
          <w:right w:val="single" w:sz="2" w:space="0" w:color="959493"/>
          <w:insideH w:val="none" w:sz="0" w:space="0" w:color="auto"/>
          <w:insideV w:val="none" w:sz="0" w:space="0" w:color="auto"/>
        </w:tblBorders>
        <w:shd w:val="clear" w:color="auto" w:fill="EEEDEC"/>
        <w:tblCellMar>
          <w:top w:w="142" w:type="dxa"/>
          <w:left w:w="142" w:type="dxa"/>
          <w:right w:w="142" w:type="dxa"/>
        </w:tblCellMar>
        <w:tblLook w:val="0500" w:firstRow="0" w:lastRow="0" w:firstColumn="0" w:lastColumn="1" w:noHBand="0" w:noVBand="1"/>
        <w:tblCaption w:val="Commonwealth Procurement Rules: Definitions"/>
        <w:tblDescription w:val="“Open tender involves publishing an open approach to market and inviting submissions. This includes multi-stage procurements, provided the first stage is an open approach to market.&#10;Limited tender involves a relevant entity approaching one or more potential suppliers to make submissions, when the process does not meet the rules for open tender”."/>
      </w:tblPr>
      <w:tblGrid>
        <w:gridCol w:w="8197"/>
        <w:gridCol w:w="929"/>
      </w:tblGrid>
      <w:tr w:rsidR="003B5B94" w14:paraId="7FF5CDFE" w14:textId="77777777" w:rsidTr="00344208">
        <w:trPr>
          <w:trHeight w:val="574"/>
          <w:tblHeader/>
        </w:trPr>
        <w:tc>
          <w:tcPr>
            <w:tcW w:w="8197" w:type="dxa"/>
            <w:shd w:val="clear" w:color="auto" w:fill="EEEDEC"/>
          </w:tcPr>
          <w:p w14:paraId="38DBAFC9" w14:textId="77777777" w:rsidR="003B5B94" w:rsidRDefault="003B5B94" w:rsidP="00C33977">
            <w:pPr>
              <w:pStyle w:val="Definitiontableparagraph"/>
            </w:pPr>
            <w:r>
              <w:t>“</w:t>
            </w:r>
            <w:r w:rsidRPr="00FF1E44">
              <w:rPr>
                <w:i/>
              </w:rPr>
              <w:t>Open tender</w:t>
            </w:r>
            <w:r>
              <w:t xml:space="preserve"> involves publishing an open approach to market and inviting submissions. This includes multi-stage procurements, provided the first stage is an open approach to market.</w:t>
            </w:r>
          </w:p>
          <w:p w14:paraId="5EF38E7B" w14:textId="77777777" w:rsidR="003B5B94" w:rsidRDefault="003B5B94" w:rsidP="00C33977">
            <w:pPr>
              <w:pStyle w:val="Definitiontableparagraph"/>
            </w:pPr>
            <w:r>
              <w:t>Limited tender involves a relevant entity approaching one or more potential suppliers to make submissions, when the process does not meet the rules for open tender”.</w:t>
            </w:r>
          </w:p>
          <w:p w14:paraId="40ADE411" w14:textId="77777777" w:rsidR="003B5B94" w:rsidRPr="00FF1E44" w:rsidRDefault="003B5B94" w:rsidP="00C33977">
            <w:pPr>
              <w:pStyle w:val="Definitiontableparagraph"/>
              <w:rPr>
                <w:i/>
              </w:rPr>
            </w:pPr>
            <w:r w:rsidRPr="00FF1E44">
              <w:t>Source:</w:t>
            </w:r>
            <w:r w:rsidRPr="00FF1E44">
              <w:rPr>
                <w:i/>
              </w:rPr>
              <w:t xml:space="preserve"> Commonwealth Procurement Rules 2022</w:t>
            </w:r>
          </w:p>
        </w:tc>
        <w:tc>
          <w:tcPr>
            <w:tcW w:w="929" w:type="dxa"/>
            <w:shd w:val="clear" w:color="auto" w:fill="EEEDEC"/>
          </w:tcPr>
          <w:p w14:paraId="6A1342C7" w14:textId="77777777" w:rsidR="003B5B94" w:rsidRPr="00FF1E44" w:rsidRDefault="003B5B94" w:rsidP="00C33977">
            <w:pPr>
              <w:rPr>
                <w:b/>
              </w:rPr>
            </w:pPr>
            <w:r>
              <w:rPr>
                <w:noProof/>
                <w:lang w:eastAsia="en-AU"/>
              </w:rPr>
              <w:drawing>
                <wp:inline distT="0" distB="0" distL="0" distR="0" wp14:anchorId="13EC733A" wp14:editId="710D258D">
                  <wp:extent cx="368496" cy="368496"/>
                  <wp:effectExtent l="0" t="0" r="0" b="0"/>
                  <wp:docPr id="13" name="Picture 13" descr="Decorative image indicating that this section is about defining particular Commonwealth Procurement Rules."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Announcem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8496" cy="368496"/>
                          </a:xfrm>
                          <a:prstGeom prst="rect">
                            <a:avLst/>
                          </a:prstGeom>
                        </pic:spPr>
                      </pic:pic>
                    </a:graphicData>
                  </a:graphic>
                </wp:inline>
              </w:drawing>
            </w:r>
          </w:p>
        </w:tc>
      </w:tr>
    </w:tbl>
    <w:p w14:paraId="5B892B30" w14:textId="42275225" w:rsidR="00995AD0" w:rsidRDefault="007F6A3A" w:rsidP="00FF1E44">
      <w:r>
        <w:t>Open tender</w:t>
      </w:r>
      <w:r w:rsidR="00DB13BA">
        <w:t xml:space="preserve"> </w:t>
      </w:r>
      <w:r w:rsidR="0089761D">
        <w:t xml:space="preserve">allows for increased competition </w:t>
      </w:r>
      <w:r w:rsidR="00003499">
        <w:t>in procurement processes</w:t>
      </w:r>
      <w:r w:rsidR="00995AD0">
        <w:t xml:space="preserve">, which </w:t>
      </w:r>
      <w:r w:rsidR="00003499">
        <w:t xml:space="preserve">makes it more likely </w:t>
      </w:r>
      <w:r w:rsidR="00995AD0">
        <w:t xml:space="preserve">that value for money is </w:t>
      </w:r>
      <w:r w:rsidR="00DF246B">
        <w:t>achieved</w:t>
      </w:r>
      <w:r w:rsidR="00995AD0">
        <w:t xml:space="preserve">. </w:t>
      </w:r>
      <w:r w:rsidR="000E6231">
        <w:t xml:space="preserve">While limited tenders </w:t>
      </w:r>
      <w:r w:rsidR="00EF14AE">
        <w:t xml:space="preserve">may be </w:t>
      </w:r>
      <w:r w:rsidR="000E6231">
        <w:t>less competitive overall, they</w:t>
      </w:r>
      <w:r w:rsidR="00DA4E3A" w:rsidRPr="00153766">
        <w:t xml:space="preserve"> are an essential procurement tool </w:t>
      </w:r>
      <w:r w:rsidR="00B43B5F">
        <w:t xml:space="preserve">including </w:t>
      </w:r>
      <w:r w:rsidR="00995AD0">
        <w:t>when:</w:t>
      </w:r>
    </w:p>
    <w:p w14:paraId="384AB61E" w14:textId="252C3F03" w:rsidR="00995AD0" w:rsidRDefault="00995AD0" w:rsidP="00FF1E44">
      <w:pPr>
        <w:pStyle w:val="Bulletlevel1"/>
      </w:pPr>
      <w:r>
        <w:t>competition is restricted or absent from the market</w:t>
      </w:r>
    </w:p>
    <w:p w14:paraId="25396309" w14:textId="77777777" w:rsidR="000E6231" w:rsidRDefault="000E6231" w:rsidP="00FF1E44">
      <w:pPr>
        <w:pStyle w:val="Bulletlevel1"/>
      </w:pPr>
      <w:r>
        <w:t>there is an urgent need for the procurement</w:t>
      </w:r>
    </w:p>
    <w:p w14:paraId="25990459" w14:textId="1D722182" w:rsidR="007C5EFD" w:rsidRDefault="007C5EFD" w:rsidP="00FF1E44">
      <w:pPr>
        <w:pStyle w:val="Bulletlevel1"/>
      </w:pPr>
      <w:r>
        <w:t>the procurement is low value</w:t>
      </w:r>
      <w:r w:rsidR="00512D10">
        <w:t xml:space="preserve"> and low </w:t>
      </w:r>
      <w:proofErr w:type="gramStart"/>
      <w:r w:rsidR="00512D10">
        <w:t>risk</w:t>
      </w:r>
      <w:proofErr w:type="gramEnd"/>
    </w:p>
    <w:p w14:paraId="3709351D" w14:textId="3E7C2FAD" w:rsidR="00512D10" w:rsidRDefault="00512D10" w:rsidP="00FF1E44">
      <w:pPr>
        <w:pStyle w:val="Bulletlevel1"/>
      </w:pPr>
      <w:r>
        <w:t xml:space="preserve">the nature of the procurement would preclude an efficient outcome via open </w:t>
      </w:r>
      <w:proofErr w:type="gramStart"/>
      <w:r>
        <w:t>tender</w:t>
      </w:r>
      <w:proofErr w:type="gramEnd"/>
    </w:p>
    <w:p w14:paraId="4B70CFF7" w14:textId="3D3DC335" w:rsidR="00A9141B" w:rsidRDefault="000E6231" w:rsidP="00FF1E44">
      <w:r>
        <w:t>Limited tenders do,</w:t>
      </w:r>
      <w:r w:rsidR="00161BF5" w:rsidRPr="00153766">
        <w:t xml:space="preserve"> however, have downsides</w:t>
      </w:r>
      <w:r w:rsidR="007C5EFD">
        <w:t xml:space="preserve">. For </w:t>
      </w:r>
      <w:r w:rsidR="00A9141B">
        <w:t>example:</w:t>
      </w:r>
    </w:p>
    <w:p w14:paraId="31BEB3D4" w14:textId="0576AD69" w:rsidR="00F86361" w:rsidRDefault="00F86361" w:rsidP="00FF1E44">
      <w:pPr>
        <w:pStyle w:val="Bulletlevel1"/>
      </w:pPr>
      <w:r>
        <w:t>i</w:t>
      </w:r>
      <w:r w:rsidRPr="00F86361">
        <w:t xml:space="preserve">t may be more difficult to secure and demonstrate value for </w:t>
      </w:r>
      <w:proofErr w:type="gramStart"/>
      <w:r w:rsidRPr="00F86361">
        <w:t>money</w:t>
      </w:r>
      <w:proofErr w:type="gramEnd"/>
    </w:p>
    <w:p w14:paraId="572BD174" w14:textId="374373D0" w:rsidR="00A9141B" w:rsidRDefault="00161BF5" w:rsidP="00FF1E44">
      <w:pPr>
        <w:pStyle w:val="Bulletlevel1"/>
      </w:pPr>
      <w:r w:rsidRPr="00A9141B">
        <w:t xml:space="preserve">they are less </w:t>
      </w:r>
      <w:proofErr w:type="gramStart"/>
      <w:r w:rsidRPr="00A9141B">
        <w:t>transparent</w:t>
      </w:r>
      <w:proofErr w:type="gramEnd"/>
    </w:p>
    <w:p w14:paraId="470F31F9" w14:textId="25065196" w:rsidR="00A9141B" w:rsidRDefault="00F86361" w:rsidP="00FF1E44">
      <w:pPr>
        <w:pStyle w:val="Bulletlevel1"/>
      </w:pPr>
      <w:r>
        <w:t xml:space="preserve">they </w:t>
      </w:r>
      <w:r w:rsidR="006B7007">
        <w:t>do</w:t>
      </w:r>
      <w:r>
        <w:t xml:space="preserve"> not </w:t>
      </w:r>
      <w:r w:rsidR="006B7007">
        <w:t xml:space="preserve">offer </w:t>
      </w:r>
      <w:r w:rsidR="00F1584A">
        <w:t>every current vendor the</w:t>
      </w:r>
      <w:r w:rsidR="006B7007">
        <w:t xml:space="preserve"> opportunity to tender</w:t>
      </w:r>
    </w:p>
    <w:p w14:paraId="2CFCE756" w14:textId="34E750DD" w:rsidR="00385A9F" w:rsidRDefault="00161BF5" w:rsidP="00FF1E44">
      <w:pPr>
        <w:pStyle w:val="Bulletlevel1"/>
      </w:pPr>
      <w:r w:rsidRPr="00A9141B">
        <w:t>they do</w:t>
      </w:r>
      <w:r w:rsidR="0021568E">
        <w:t xml:space="preserve"> </w:t>
      </w:r>
      <w:r w:rsidRPr="00A9141B">
        <w:t>n</w:t>
      </w:r>
      <w:r w:rsidR="0021568E">
        <w:t>o</w:t>
      </w:r>
      <w:r w:rsidRPr="00A9141B">
        <w:t xml:space="preserve">t encourage </w:t>
      </w:r>
      <w:proofErr w:type="gramStart"/>
      <w:r w:rsidRPr="00A9141B">
        <w:t>competition</w:t>
      </w:r>
      <w:proofErr w:type="gramEnd"/>
    </w:p>
    <w:p w14:paraId="7D43ABD3" w14:textId="7AF77945" w:rsidR="000E6231" w:rsidRDefault="000E6231" w:rsidP="00FF1E44">
      <w:r>
        <w:t xml:space="preserve">When assessing the </w:t>
      </w:r>
      <w:r w:rsidR="002645D0">
        <w:t xml:space="preserve">95 </w:t>
      </w:r>
      <w:r>
        <w:t>procurements in scope for the review</w:t>
      </w:r>
      <w:r w:rsidR="00FA7572">
        <w:t xml:space="preserve"> in accordance with the CPR definitions</w:t>
      </w:r>
      <w:r>
        <w:t xml:space="preserve">, </w:t>
      </w:r>
      <w:r w:rsidR="007C5EFD">
        <w:t xml:space="preserve">the </w:t>
      </w:r>
      <w:r>
        <w:t>Taskforce found:</w:t>
      </w:r>
    </w:p>
    <w:p w14:paraId="457D4F9F" w14:textId="7366F4D7" w:rsidR="00C66B75" w:rsidRPr="00B930ED" w:rsidRDefault="00C66B75" w:rsidP="00FF1E44">
      <w:pPr>
        <w:pStyle w:val="Bulletlevel1"/>
      </w:pPr>
      <w:r w:rsidRPr="00F51871">
        <w:t xml:space="preserve">44 were </w:t>
      </w:r>
      <w:r w:rsidR="00F1584A" w:rsidRPr="00F51871">
        <w:t xml:space="preserve">classified as </w:t>
      </w:r>
      <w:r w:rsidRPr="00F51871">
        <w:t>open tender</w:t>
      </w:r>
      <w:r w:rsidRPr="00B930ED">
        <w:t xml:space="preserve"> (46</w:t>
      </w:r>
      <w:r w:rsidR="001C366F" w:rsidRPr="00B930ED">
        <w:t xml:space="preserve"> per cent</w:t>
      </w:r>
      <w:r w:rsidRPr="00B930ED">
        <w:t xml:space="preserve"> of </w:t>
      </w:r>
      <w:r w:rsidR="00CA1990">
        <w:t xml:space="preserve">the </w:t>
      </w:r>
      <w:r w:rsidRPr="00B930ED">
        <w:t>procurements</w:t>
      </w:r>
      <w:r w:rsidR="00EA2EDD" w:rsidRPr="00B930ED">
        <w:t>, or $55</w:t>
      </w:r>
      <w:r w:rsidR="005D10D2" w:rsidRPr="00B930ED">
        <w:t>5</w:t>
      </w:r>
      <w:r w:rsidR="00BD7E8A" w:rsidRPr="00B930ED">
        <w:t> </w:t>
      </w:r>
      <w:r w:rsidR="00EA2EDD" w:rsidRPr="00B930ED">
        <w:t>million in value</w:t>
      </w:r>
      <w:r w:rsidRPr="00B930ED">
        <w:t>)</w:t>
      </w:r>
    </w:p>
    <w:p w14:paraId="2823B8D6" w14:textId="2C6720D6" w:rsidR="002645D0" w:rsidRPr="00B930ED" w:rsidRDefault="00210E30" w:rsidP="00FF1E44">
      <w:pPr>
        <w:pStyle w:val="Bulletlevel1"/>
      </w:pPr>
      <w:r w:rsidRPr="00B930ED">
        <w:t>51</w:t>
      </w:r>
      <w:r w:rsidR="002645D0" w:rsidRPr="00B930ED">
        <w:t xml:space="preserve"> were</w:t>
      </w:r>
      <w:r w:rsidR="00F1584A" w:rsidRPr="00B930ED">
        <w:t xml:space="preserve"> classified as</w:t>
      </w:r>
      <w:r w:rsidR="002645D0" w:rsidRPr="00B930ED">
        <w:t xml:space="preserve"> limited tender</w:t>
      </w:r>
      <w:r w:rsidRPr="00B930ED">
        <w:t xml:space="preserve"> (54</w:t>
      </w:r>
      <w:r w:rsidR="001C366F" w:rsidRPr="00B930ED">
        <w:t xml:space="preserve"> per cent</w:t>
      </w:r>
      <w:r w:rsidRPr="00B930ED">
        <w:t xml:space="preserve"> of </w:t>
      </w:r>
      <w:r w:rsidR="00CA1990">
        <w:t>the</w:t>
      </w:r>
      <w:r w:rsidRPr="00B930ED">
        <w:t xml:space="preserve"> procurements</w:t>
      </w:r>
      <w:r w:rsidR="00EA2EDD" w:rsidRPr="00B930ED">
        <w:t>, or $6</w:t>
      </w:r>
      <w:r w:rsidR="005D10D2" w:rsidRPr="00B930ED">
        <w:t>3</w:t>
      </w:r>
      <w:r w:rsidR="00BD7E8A" w:rsidRPr="00B930ED">
        <w:t> </w:t>
      </w:r>
      <w:r w:rsidR="00EA2EDD" w:rsidRPr="00B930ED">
        <w:t>million in value</w:t>
      </w:r>
      <w:r w:rsidRPr="00B930ED">
        <w:t>)</w:t>
      </w:r>
    </w:p>
    <w:p w14:paraId="4E069626" w14:textId="2915FF36" w:rsidR="00210E30" w:rsidRDefault="00210E30" w:rsidP="00FF1E44">
      <w:r w:rsidRPr="00B930ED">
        <w:t xml:space="preserve">This is a slightly higher rate of limited tender </w:t>
      </w:r>
      <w:r w:rsidR="00044E64" w:rsidRPr="00B930ED">
        <w:t>compared to</w:t>
      </w:r>
      <w:r w:rsidRPr="00B930ED">
        <w:t xml:space="preserve"> the APS </w:t>
      </w:r>
      <w:r w:rsidR="00044E64" w:rsidRPr="00B930ED">
        <w:t>overall</w:t>
      </w:r>
      <w:r w:rsidRPr="00B930ED">
        <w:t xml:space="preserve">. </w:t>
      </w:r>
      <w:r w:rsidR="00044E64" w:rsidRPr="00B930ED">
        <w:t>Analysis</w:t>
      </w:r>
      <w:r w:rsidRPr="00B930ED">
        <w:t xml:space="preserve"> of AusTender data </w:t>
      </w:r>
      <w:r w:rsidR="00044E64" w:rsidRPr="00B930ED">
        <w:t xml:space="preserve">by the ANAO </w:t>
      </w:r>
      <w:r w:rsidRPr="00B930ED">
        <w:t xml:space="preserve">showed that the reported use of open tender procurement </w:t>
      </w:r>
      <w:r w:rsidRPr="00B930ED">
        <w:lastRenderedPageBreak/>
        <w:t xml:space="preserve">methods </w:t>
      </w:r>
      <w:r w:rsidR="00246698" w:rsidRPr="00B930ED">
        <w:t xml:space="preserve">across the APS </w:t>
      </w:r>
      <w:r w:rsidR="003747BC" w:rsidRPr="00B930ED">
        <w:t>was approximately</w:t>
      </w:r>
      <w:r w:rsidR="003747BC">
        <w:t xml:space="preserve"> 54</w:t>
      </w:r>
      <w:r w:rsidR="001C366F">
        <w:t xml:space="preserve"> per cent</w:t>
      </w:r>
      <w:r w:rsidR="003747BC">
        <w:t xml:space="preserve"> in 2021</w:t>
      </w:r>
      <w:r w:rsidR="003747BC">
        <w:noBreakHyphen/>
      </w:r>
      <w:r w:rsidRPr="00843991">
        <w:t>22</w:t>
      </w:r>
      <w:r w:rsidR="008B096A">
        <w:t>.</w:t>
      </w:r>
      <w:r w:rsidR="008B096A" w:rsidRPr="008B096A">
        <w:t xml:space="preserve"> </w:t>
      </w:r>
      <w:r w:rsidR="008B096A">
        <w:t>This is an increase from approximately 45</w:t>
      </w:r>
      <w:r w:rsidR="001C366F">
        <w:t xml:space="preserve"> per cent</w:t>
      </w:r>
      <w:r w:rsidR="008B096A">
        <w:t xml:space="preserve"> </w:t>
      </w:r>
      <w:r w:rsidR="00F26EF5">
        <w:t xml:space="preserve">across the APS </w:t>
      </w:r>
      <w:r w:rsidR="008B096A">
        <w:t>in 2017-18</w:t>
      </w:r>
      <w:r w:rsidR="007078D1">
        <w:t>.</w:t>
      </w:r>
      <w:r>
        <w:rPr>
          <w:rStyle w:val="FootnoteReference"/>
          <w:rFonts w:cs="Arial"/>
        </w:rPr>
        <w:footnoteReference w:id="4"/>
      </w:r>
    </w:p>
    <w:p w14:paraId="6E7A5220" w14:textId="4BEC74B0" w:rsidR="004B3721" w:rsidRDefault="004B3721" w:rsidP="00FF1E44">
      <w:proofErr w:type="gramStart"/>
      <w:r w:rsidRPr="003074BF">
        <w:t>In reality, the</w:t>
      </w:r>
      <w:proofErr w:type="gramEnd"/>
      <w:r w:rsidRPr="003074BF">
        <w:t xml:space="preserve"> reliance on single </w:t>
      </w:r>
      <w:r w:rsidR="00B54F68">
        <w:t xml:space="preserve">source </w:t>
      </w:r>
      <w:r w:rsidRPr="003074BF">
        <w:t xml:space="preserve">or limited tender </w:t>
      </w:r>
      <w:r w:rsidR="00B54F68">
        <w:t xml:space="preserve">procurements </w:t>
      </w:r>
      <w:r w:rsidRPr="003074BF">
        <w:t>is much greater than the above data suggests</w:t>
      </w:r>
      <w:r w:rsidR="00131FB0">
        <w:t xml:space="preserve">, and the degree of competition applied in </w:t>
      </w:r>
      <w:r w:rsidR="00F26EF5">
        <w:t>procurements</w:t>
      </w:r>
      <w:r w:rsidR="00131FB0">
        <w:t xml:space="preserve"> is lower than may be thought</w:t>
      </w:r>
      <w:r w:rsidR="000B2A18">
        <w:t>,</w:t>
      </w:r>
      <w:r w:rsidRPr="003074BF">
        <w:t xml:space="preserve"> because of the way the different categories of procurements are defined.</w:t>
      </w:r>
    </w:p>
    <w:p w14:paraId="030F3548" w14:textId="32BA9835" w:rsidR="005159E4" w:rsidRDefault="004B3721" w:rsidP="00FF1E44">
      <w:r w:rsidRPr="003074BF">
        <w:t xml:space="preserve">Procurements from panels that were established by an open tender are </w:t>
      </w:r>
      <w:r w:rsidR="00B54F68" w:rsidRPr="003074BF">
        <w:t>subsequently</w:t>
      </w:r>
      <w:r w:rsidRPr="003074BF">
        <w:t xml:space="preserve"> classified as open tender regardless of how many suppliers are approached, or how long the period since the panel was established. </w:t>
      </w:r>
      <w:r w:rsidR="00EA2EDD">
        <w:t>The Taskforce uses the term ‘single supplier approach’ as a better description and that is being used by the Reviewer as well.</w:t>
      </w:r>
    </w:p>
    <w:p w14:paraId="0B902BB6" w14:textId="77777777" w:rsidR="00340266" w:rsidRDefault="00340266" w:rsidP="00340266">
      <w:pPr>
        <w:pStyle w:val="Definitiontableheading"/>
      </w:pPr>
      <w:r w:rsidRPr="005D3339">
        <w:t xml:space="preserve">Commonwealth Procurement Rules: </w:t>
      </w:r>
      <w:r>
        <w:t>Paragraph 9.13</w:t>
      </w:r>
    </w:p>
    <w:tbl>
      <w:tblPr>
        <w:tblStyle w:val="TableGrid"/>
        <w:tblpPr w:leftFromText="181" w:rightFromText="181" w:bottomFromText="284" w:vertAnchor="text" w:tblpY="1"/>
        <w:tblOverlap w:val="never"/>
        <w:tblW w:w="9126" w:type="dxa"/>
        <w:tblBorders>
          <w:top w:val="single" w:sz="2" w:space="0" w:color="959493"/>
          <w:left w:val="single" w:sz="2" w:space="0" w:color="959493"/>
          <w:bottom w:val="single" w:sz="2" w:space="0" w:color="959493"/>
          <w:right w:val="single" w:sz="2" w:space="0" w:color="959493"/>
          <w:insideH w:val="none" w:sz="0" w:space="0" w:color="auto"/>
          <w:insideV w:val="none" w:sz="0" w:space="0" w:color="auto"/>
        </w:tblBorders>
        <w:shd w:val="clear" w:color="auto" w:fill="EEEDEC"/>
        <w:tblCellMar>
          <w:top w:w="142" w:type="dxa"/>
          <w:left w:w="142" w:type="dxa"/>
          <w:right w:w="142" w:type="dxa"/>
        </w:tblCellMar>
        <w:tblLook w:val="0500" w:firstRow="0" w:lastRow="0" w:firstColumn="0" w:lastColumn="1" w:noHBand="0" w:noVBand="1"/>
        <w:tblCaption w:val="Commonwealth Procurement Rules: Paragraph 9.13"/>
        <w:tblDescription w:val="“Officials should report the original procurement method used to establish the standing offer when they report procurements from standing offers.”&#10;Source: Commonwealth Procurement Rules 2022"/>
      </w:tblPr>
      <w:tblGrid>
        <w:gridCol w:w="8197"/>
        <w:gridCol w:w="929"/>
      </w:tblGrid>
      <w:tr w:rsidR="00340266" w14:paraId="21A09CA3" w14:textId="77777777" w:rsidTr="00344208">
        <w:trPr>
          <w:trHeight w:val="574"/>
          <w:tblHeader/>
        </w:trPr>
        <w:tc>
          <w:tcPr>
            <w:tcW w:w="8197" w:type="dxa"/>
            <w:shd w:val="clear" w:color="auto" w:fill="EEEDEC"/>
          </w:tcPr>
          <w:p w14:paraId="34E994EC" w14:textId="77777777" w:rsidR="00340266" w:rsidRDefault="00340266" w:rsidP="00C33977">
            <w:pPr>
              <w:pStyle w:val="Definitiontableparagraph"/>
            </w:pPr>
            <w:r w:rsidRPr="00D7273B">
              <w:t>“Officials should report the original procurement method used to establish the standing offer when they report procurements from standing offers.”</w:t>
            </w:r>
          </w:p>
          <w:p w14:paraId="0002F73B" w14:textId="77777777" w:rsidR="00340266" w:rsidRPr="005D3339" w:rsidRDefault="00340266" w:rsidP="00C33977">
            <w:pPr>
              <w:pStyle w:val="Definitiontableparagraph"/>
              <w:rPr>
                <w:i/>
              </w:rPr>
            </w:pPr>
            <w:r w:rsidRPr="005D3339">
              <w:t>Source:</w:t>
            </w:r>
            <w:r w:rsidRPr="005D3339">
              <w:rPr>
                <w:i/>
              </w:rPr>
              <w:t xml:space="preserve"> Commonwealth Procurement Rules 2022</w:t>
            </w:r>
          </w:p>
        </w:tc>
        <w:tc>
          <w:tcPr>
            <w:tcW w:w="929" w:type="dxa"/>
            <w:shd w:val="clear" w:color="auto" w:fill="EEEDEC"/>
          </w:tcPr>
          <w:p w14:paraId="0CD34F94" w14:textId="77777777" w:rsidR="00340266" w:rsidRPr="005D3339" w:rsidRDefault="00340266" w:rsidP="00C33977">
            <w:pPr>
              <w:rPr>
                <w:b/>
              </w:rPr>
            </w:pPr>
            <w:r>
              <w:rPr>
                <w:noProof/>
                <w:lang w:eastAsia="en-AU"/>
              </w:rPr>
              <w:drawing>
                <wp:inline distT="0" distB="0" distL="0" distR="0" wp14:anchorId="29A5DF8C" wp14:editId="5B7DBF6C">
                  <wp:extent cx="368496" cy="368496"/>
                  <wp:effectExtent l="0" t="0" r="0" b="0"/>
                  <wp:docPr id="14" name="Picture 14" descr="Decorative image indicating that this section is about defining particular Commonwealth Procurement Rules."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Announcem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8496" cy="368496"/>
                          </a:xfrm>
                          <a:prstGeom prst="rect">
                            <a:avLst/>
                          </a:prstGeom>
                        </pic:spPr>
                      </pic:pic>
                    </a:graphicData>
                  </a:graphic>
                </wp:inline>
              </w:drawing>
            </w:r>
          </w:p>
        </w:tc>
      </w:tr>
    </w:tbl>
    <w:p w14:paraId="6DBB0B71" w14:textId="49455502" w:rsidR="00210E30" w:rsidRPr="00092213" w:rsidRDefault="004B3721" w:rsidP="00FF1E44">
      <w:pPr>
        <w:rPr>
          <w:noProof/>
          <w:lang w:eastAsia="en-AU"/>
        </w:rPr>
      </w:pPr>
      <w:r w:rsidRPr="00E611E5">
        <w:t>The Taskforce found that</w:t>
      </w:r>
      <w:r w:rsidRPr="00674EAD">
        <w:t xml:space="preserve"> </w:t>
      </w:r>
      <w:r w:rsidR="002645D0" w:rsidRPr="007A0EC6">
        <w:t xml:space="preserve">of the 95 procurements, </w:t>
      </w:r>
      <w:r w:rsidR="00512D10" w:rsidRPr="00F51871">
        <w:t xml:space="preserve">74 </w:t>
      </w:r>
      <w:r w:rsidR="00131FB0" w:rsidRPr="00F51871">
        <w:t>(78</w:t>
      </w:r>
      <w:r w:rsidR="001C366F" w:rsidRPr="00F51871">
        <w:t xml:space="preserve"> per cent</w:t>
      </w:r>
      <w:r w:rsidR="00131FB0" w:rsidRPr="00F51871">
        <w:t>)</w:t>
      </w:r>
      <w:r w:rsidR="00F26EF5" w:rsidRPr="00F51871">
        <w:t>, with a combined value of approximately $47</w:t>
      </w:r>
      <w:r w:rsidR="00423050" w:rsidRPr="00F51871">
        <w:t>2</w:t>
      </w:r>
      <w:r w:rsidR="001C7534" w:rsidRPr="00F51871">
        <w:t xml:space="preserve"> million</w:t>
      </w:r>
      <w:r w:rsidR="00EA2EDD" w:rsidRPr="00F51871">
        <w:t xml:space="preserve"> (7</w:t>
      </w:r>
      <w:r w:rsidR="005D10D2" w:rsidRPr="00F51871">
        <w:t>6</w:t>
      </w:r>
      <w:r w:rsidR="00EA2EDD" w:rsidRPr="00F51871">
        <w:t xml:space="preserve"> per cent of the total value</w:t>
      </w:r>
      <w:r w:rsidR="00FB3FA6" w:rsidRPr="00F51871">
        <w:t xml:space="preserve"> across the 95 procurements</w:t>
      </w:r>
      <w:r w:rsidR="00EA2EDD" w:rsidRPr="00F51871">
        <w:t>)</w:t>
      </w:r>
      <w:r w:rsidR="001C7534" w:rsidRPr="008547D9">
        <w:t>,</w:t>
      </w:r>
      <w:r w:rsidR="00131FB0" w:rsidRPr="008547D9">
        <w:t xml:space="preserve"> </w:t>
      </w:r>
      <w:r w:rsidR="002645D0" w:rsidRPr="008547D9">
        <w:t>were undertaken using a single supplier approach (i.e. only one supplier was approached through</w:t>
      </w:r>
      <w:r w:rsidR="002645D0" w:rsidRPr="00E611E5">
        <w:t xml:space="preserve"> </w:t>
      </w:r>
      <w:r w:rsidR="002645D0" w:rsidRPr="007A0EC6">
        <w:rPr>
          <w:i/>
        </w:rPr>
        <w:t xml:space="preserve">either </w:t>
      </w:r>
      <w:r w:rsidR="002645D0" w:rsidRPr="00092213">
        <w:t xml:space="preserve">an open </w:t>
      </w:r>
      <w:r w:rsidR="002645D0" w:rsidRPr="00F51871">
        <w:t xml:space="preserve">tender </w:t>
      </w:r>
      <w:r w:rsidR="00B621AE" w:rsidRPr="00F51871">
        <w:t>(25)</w:t>
      </w:r>
      <w:r w:rsidR="002645D0" w:rsidRPr="00F51871">
        <w:t xml:space="preserve"> or</w:t>
      </w:r>
      <w:r w:rsidR="002645D0" w:rsidRPr="00092213">
        <w:t xml:space="preserve"> limited </w:t>
      </w:r>
      <w:r w:rsidR="002645D0" w:rsidRPr="00F51871">
        <w:t>tender procurement method</w:t>
      </w:r>
      <w:r w:rsidR="00B621AE" w:rsidRPr="00F51871">
        <w:t xml:space="preserve"> (49</w:t>
      </w:r>
      <w:r w:rsidR="002645D0" w:rsidRPr="00F51871">
        <w:t>).</w:t>
      </w:r>
      <w:r w:rsidR="000F7EDC" w:rsidRPr="00F51871">
        <w:rPr>
          <w:rStyle w:val="FootnoteReference"/>
          <w:rFonts w:cs="Arial"/>
        </w:rPr>
        <w:footnoteReference w:id="5"/>
      </w:r>
      <w:r w:rsidR="00210E30" w:rsidRPr="00092213">
        <w:t xml:space="preserve"> </w:t>
      </w:r>
      <w:r w:rsidR="003747BC" w:rsidRPr="00F51871">
        <w:t xml:space="preserve">Of the 74 single supplier approaches, </w:t>
      </w:r>
      <w:r w:rsidR="003747BC" w:rsidRPr="00B930ED">
        <w:t>5</w:t>
      </w:r>
      <w:r w:rsidR="00A500BF" w:rsidRPr="00B930ED">
        <w:t>1 (69</w:t>
      </w:r>
      <w:r w:rsidR="00BD7E8A" w:rsidRPr="00B930ED">
        <w:t> </w:t>
      </w:r>
      <w:r w:rsidR="001C366F" w:rsidRPr="00B930ED">
        <w:t>per cent</w:t>
      </w:r>
      <w:r w:rsidR="001201F9" w:rsidRPr="00B930ED">
        <w:t>)</w:t>
      </w:r>
      <w:r w:rsidR="008A051E" w:rsidRPr="00B930ED">
        <w:t xml:space="preserve"> were from a panel with only</w:t>
      </w:r>
      <w:r w:rsidR="00B621AE" w:rsidRPr="00B930ED">
        <w:t xml:space="preserve"> one supplier.</w:t>
      </w:r>
    </w:p>
    <w:p w14:paraId="71A9960A" w14:textId="03DB1C1A" w:rsidR="00210E30" w:rsidRDefault="00A71E2D" w:rsidP="00FF1E44">
      <w:r>
        <w:t>The result is reduced transparency, less competition</w:t>
      </w:r>
      <w:r w:rsidR="00951506">
        <w:t xml:space="preserve">, </w:t>
      </w:r>
      <w:r w:rsidR="00846AE5">
        <w:t xml:space="preserve">less equitable </w:t>
      </w:r>
      <w:r w:rsidR="001201F9">
        <w:t>treatment of vendors</w:t>
      </w:r>
      <w:r>
        <w:t xml:space="preserve">, and reduced </w:t>
      </w:r>
      <w:r w:rsidR="00CB7440">
        <w:t>clarity</w:t>
      </w:r>
      <w:r>
        <w:t xml:space="preserve"> in the procurements undertaken. </w:t>
      </w:r>
      <w:r w:rsidR="00210E30">
        <w:t>It is</w:t>
      </w:r>
      <w:r>
        <w:t xml:space="preserve"> </w:t>
      </w:r>
      <w:r w:rsidR="00210E30">
        <w:t xml:space="preserve">harder to demonstrate value for money using a </w:t>
      </w:r>
      <w:r w:rsidR="00DF6241">
        <w:t>single supplier</w:t>
      </w:r>
      <w:r w:rsidR="00210E30">
        <w:t xml:space="preserve"> approach</w:t>
      </w:r>
      <w:r w:rsidR="001201F9">
        <w:t xml:space="preserve">, and value for money is in itself </w:t>
      </w:r>
      <w:r w:rsidR="00ED5965">
        <w:t xml:space="preserve">likely </w:t>
      </w:r>
      <w:r w:rsidR="001201F9">
        <w:t>harder to achieve</w:t>
      </w:r>
      <w:r w:rsidR="003747BC">
        <w:t xml:space="preserve">. </w:t>
      </w:r>
      <w:r w:rsidR="001218EB">
        <w:t xml:space="preserve">Accordingly, their use needs to be justified and properly documented. </w:t>
      </w:r>
      <w:r w:rsidR="003747BC">
        <w:t>The Review</w:t>
      </w:r>
      <w:r w:rsidR="00CB7440">
        <w:t>er</w:t>
      </w:r>
      <w:r w:rsidR="003747BC">
        <w:t xml:space="preserve"> </w:t>
      </w:r>
      <w:r w:rsidR="0060074E">
        <w:t xml:space="preserve">also </w:t>
      </w:r>
      <w:r w:rsidR="003747BC">
        <w:t xml:space="preserve">considers that this makes </w:t>
      </w:r>
      <w:r w:rsidR="00D94CFE">
        <w:t>them</w:t>
      </w:r>
      <w:r w:rsidR="000E6231" w:rsidRPr="00385A9F">
        <w:t xml:space="preserve"> </w:t>
      </w:r>
      <w:r w:rsidR="0060074E">
        <w:t xml:space="preserve">poorly suited </w:t>
      </w:r>
      <w:r w:rsidR="000E6231" w:rsidRPr="00385A9F">
        <w:t>to large tenders and</w:t>
      </w:r>
      <w:r w:rsidR="0060074E">
        <w:t>/or</w:t>
      </w:r>
      <w:r w:rsidR="000E6231" w:rsidRPr="00385A9F">
        <w:t xml:space="preserve"> </w:t>
      </w:r>
      <w:proofErr w:type="gramStart"/>
      <w:r w:rsidR="001201F9">
        <w:t>high risk</w:t>
      </w:r>
      <w:proofErr w:type="gramEnd"/>
      <w:r w:rsidR="001201F9">
        <w:t xml:space="preserve"> </w:t>
      </w:r>
      <w:r w:rsidR="000E6231" w:rsidRPr="00385A9F">
        <w:t>tenders</w:t>
      </w:r>
      <w:r w:rsidR="00210E30">
        <w:t>.</w:t>
      </w:r>
    </w:p>
    <w:p w14:paraId="5092F0AA" w14:textId="07D1B3EB" w:rsidR="008B437E" w:rsidRDefault="00210E30" w:rsidP="00FF1E44">
      <w:r>
        <w:t xml:space="preserve">Additionally, there were </w:t>
      </w:r>
      <w:proofErr w:type="gramStart"/>
      <w:r>
        <w:t>a number of</w:t>
      </w:r>
      <w:proofErr w:type="gramEnd"/>
      <w:r>
        <w:t xml:space="preserve"> </w:t>
      </w:r>
      <w:r w:rsidR="00CA1990">
        <w:t>the</w:t>
      </w:r>
      <w:r>
        <w:t xml:space="preserve"> procurements (both </w:t>
      </w:r>
      <w:r w:rsidR="00DF6241">
        <w:t>single supplier</w:t>
      </w:r>
      <w:r>
        <w:t xml:space="preserve"> and otherwise) that led to multiple subsequent procurements, </w:t>
      </w:r>
      <w:r w:rsidR="00CB7440">
        <w:t>and/</w:t>
      </w:r>
      <w:r>
        <w:t xml:space="preserve">or </w:t>
      </w:r>
      <w:r w:rsidR="00AF11BE">
        <w:t xml:space="preserve">a series of </w:t>
      </w:r>
      <w:r>
        <w:t>variations to increase the size and scope</w:t>
      </w:r>
      <w:r w:rsidR="00AF11BE">
        <w:t xml:space="preserve"> of the initial procurement</w:t>
      </w:r>
      <w:r>
        <w:t>.</w:t>
      </w:r>
      <w:r w:rsidR="00AF11BE">
        <w:t xml:space="preserve"> </w:t>
      </w:r>
      <w:r w:rsidR="001201F9">
        <w:t>While there may be sound business reasons for this, they</w:t>
      </w:r>
      <w:r w:rsidR="00AF11BE">
        <w:t xml:space="preserve"> </w:t>
      </w:r>
      <w:r w:rsidR="0060074E">
        <w:t xml:space="preserve">may </w:t>
      </w:r>
      <w:r w:rsidR="001C13A3">
        <w:t>result</w:t>
      </w:r>
      <w:r w:rsidR="0060074E">
        <w:t xml:space="preserve"> from</w:t>
      </w:r>
      <w:r w:rsidR="001C13A3">
        <w:t xml:space="preserve"> </w:t>
      </w:r>
      <w:r w:rsidR="00CB7440">
        <w:t>a</w:t>
      </w:r>
      <w:r w:rsidR="001201F9">
        <w:t xml:space="preserve"> too</w:t>
      </w:r>
      <w:r w:rsidR="00CB7440">
        <w:t xml:space="preserve"> </w:t>
      </w:r>
      <w:r w:rsidR="00C8799A">
        <w:t>convenient</w:t>
      </w:r>
      <w:r w:rsidR="00AF11BE">
        <w:t xml:space="preserve"> </w:t>
      </w:r>
      <w:r w:rsidR="001C13A3">
        <w:t xml:space="preserve">relationship between </w:t>
      </w:r>
      <w:r w:rsidR="00525BAC">
        <w:t>a</w:t>
      </w:r>
      <w:r w:rsidR="00B42AF2">
        <w:t>gencies</w:t>
      </w:r>
      <w:r w:rsidR="00AF11BE">
        <w:t xml:space="preserve"> and suppliers</w:t>
      </w:r>
      <w:r w:rsidR="0060074E">
        <w:t xml:space="preserve">, and produce a </w:t>
      </w:r>
      <w:r w:rsidR="00E37524">
        <w:t>compatibility</w:t>
      </w:r>
      <w:r w:rsidR="005F7113">
        <w:t>,</w:t>
      </w:r>
      <w:r w:rsidR="001C13A3">
        <w:t xml:space="preserve"> </w:t>
      </w:r>
      <w:r w:rsidR="00434227">
        <w:t xml:space="preserve">which </w:t>
      </w:r>
      <w:r w:rsidR="00C302E4">
        <w:t>undermine</w:t>
      </w:r>
      <w:r w:rsidR="00434227">
        <w:t>s</w:t>
      </w:r>
      <w:r w:rsidR="00AF11BE">
        <w:t xml:space="preserve"> competition</w:t>
      </w:r>
      <w:r w:rsidR="00434227">
        <w:t xml:space="preserve"> and </w:t>
      </w:r>
      <w:r w:rsidR="00846AE5">
        <w:t>increases inequitable treatment of</w:t>
      </w:r>
      <w:r w:rsidR="00434227">
        <w:t xml:space="preserve"> </w:t>
      </w:r>
      <w:r w:rsidR="00BD7E8A">
        <w:t>suppliers</w:t>
      </w:r>
      <w:r w:rsidR="008B437E">
        <w:t>.</w:t>
      </w:r>
    </w:p>
    <w:p w14:paraId="11EDF4EC" w14:textId="3C9BF257" w:rsidR="000E6231" w:rsidRPr="00385A9F" w:rsidRDefault="008B437E" w:rsidP="00FF1E44">
      <w:r w:rsidRPr="003074BF">
        <w:t xml:space="preserve">When combined with </w:t>
      </w:r>
      <w:r w:rsidR="000007C5">
        <w:t>often</w:t>
      </w:r>
      <w:r w:rsidR="000007C5" w:rsidRPr="003074BF">
        <w:t xml:space="preserve"> </w:t>
      </w:r>
      <w:r w:rsidRPr="003074BF">
        <w:t xml:space="preserve">poor or </w:t>
      </w:r>
      <w:r w:rsidR="001201F9">
        <w:t xml:space="preserve">sometimes absent or </w:t>
      </w:r>
      <w:r w:rsidRPr="003074BF">
        <w:t>missing documentation in key procurements</w:t>
      </w:r>
      <w:r w:rsidR="00BF4D17">
        <w:t>,</w:t>
      </w:r>
      <w:r w:rsidRPr="003074BF">
        <w:t xml:space="preserve"> it is impossible to assess whether value for money was achieved and (in some cases) even sought.</w:t>
      </w:r>
    </w:p>
    <w:p w14:paraId="47C895D3" w14:textId="12EFE0C4" w:rsidR="003747BC" w:rsidRDefault="00161BF5" w:rsidP="00FF1E44">
      <w:r w:rsidRPr="00153766">
        <w:t>Finally</w:t>
      </w:r>
      <w:r w:rsidR="00EF5750">
        <w:t>,</w:t>
      </w:r>
      <w:r w:rsidRPr="00153766">
        <w:t xml:space="preserve"> some of the limited tenders analysed show signs of urgency that </w:t>
      </w:r>
      <w:r w:rsidR="00525BAC">
        <w:t>seemed</w:t>
      </w:r>
      <w:r w:rsidRPr="00153766">
        <w:t xml:space="preserve"> more </w:t>
      </w:r>
      <w:r w:rsidR="006556EF">
        <w:t>contrived</w:t>
      </w:r>
      <w:r w:rsidR="00977083" w:rsidRPr="00153766">
        <w:t xml:space="preserve"> </w:t>
      </w:r>
      <w:r w:rsidRPr="00153766">
        <w:t>than necessarily real</w:t>
      </w:r>
      <w:r w:rsidR="00C71078">
        <w:t xml:space="preserve">. </w:t>
      </w:r>
      <w:r w:rsidRPr="00153766">
        <w:t xml:space="preserve">Better planning and the absence of </w:t>
      </w:r>
      <w:r w:rsidR="002B2B7B">
        <w:t xml:space="preserve">such </w:t>
      </w:r>
      <w:r w:rsidRPr="00153766">
        <w:t xml:space="preserve">a convenient fall back might have seen </w:t>
      </w:r>
      <w:r w:rsidR="00C71078">
        <w:t>procurement</w:t>
      </w:r>
      <w:r w:rsidR="00EA179F">
        <w:t xml:space="preserve">s undertaken through </w:t>
      </w:r>
      <w:r w:rsidR="00EF5750">
        <w:t xml:space="preserve">a more competitive approach </w:t>
      </w:r>
      <w:r w:rsidR="00EF5750">
        <w:lastRenderedPageBreak/>
        <w:t>(approaching multiple suppliers through</w:t>
      </w:r>
      <w:r w:rsidR="00EA179F">
        <w:t xml:space="preserve"> open </w:t>
      </w:r>
      <w:r w:rsidR="00EF5750">
        <w:t xml:space="preserve">or limited </w:t>
      </w:r>
      <w:r w:rsidR="00EA179F">
        <w:t xml:space="preserve">tender </w:t>
      </w:r>
      <w:r w:rsidR="00EF5750">
        <w:t xml:space="preserve">approaches) and a more comprehensive </w:t>
      </w:r>
      <w:r w:rsidR="003747BC">
        <w:t xml:space="preserve">value for money </w:t>
      </w:r>
      <w:r w:rsidR="00EF5750">
        <w:t>assessment</w:t>
      </w:r>
      <w:r w:rsidR="00EA179F">
        <w:t>.</w:t>
      </w:r>
    </w:p>
    <w:p w14:paraId="72599772" w14:textId="7C7BDA39" w:rsidR="004D1C96" w:rsidRDefault="002570C8" w:rsidP="00FF1E44">
      <w:r w:rsidRPr="00153766">
        <w:t>Limited tenders do have a significa</w:t>
      </w:r>
      <w:r w:rsidR="00C71078">
        <w:t>nt</w:t>
      </w:r>
      <w:r w:rsidRPr="00153766">
        <w:t xml:space="preserve"> role to play in procurements, but </w:t>
      </w:r>
      <w:r w:rsidR="00977083">
        <w:t xml:space="preserve">application of </w:t>
      </w:r>
      <w:r w:rsidR="00EA179F">
        <w:t xml:space="preserve">Paragraph 10.3b of the CPRs </w:t>
      </w:r>
      <w:r w:rsidRPr="00153766">
        <w:t xml:space="preserve">should be restricted </w:t>
      </w:r>
      <w:r w:rsidR="006D03F3">
        <w:t xml:space="preserve">to genuinely demonstrated and documented </w:t>
      </w:r>
      <w:r w:rsidRPr="00153766">
        <w:t>urgent procurements</w:t>
      </w:r>
      <w:r w:rsidR="00EA179F">
        <w:t>.</w:t>
      </w:r>
    </w:p>
    <w:p w14:paraId="74FDC0F9" w14:textId="571AE98C" w:rsidR="00340266" w:rsidRDefault="00340266" w:rsidP="00340266">
      <w:pPr>
        <w:pStyle w:val="Definitiontableheading"/>
      </w:pPr>
      <w:r w:rsidRPr="005D3339">
        <w:t xml:space="preserve">Commonwealth Procurement Rules: </w:t>
      </w:r>
      <w:r>
        <w:t>Paragraph 10.3b</w:t>
      </w:r>
    </w:p>
    <w:tbl>
      <w:tblPr>
        <w:tblStyle w:val="TableGrid"/>
        <w:tblpPr w:leftFromText="181" w:rightFromText="181" w:bottomFromText="284" w:vertAnchor="text" w:tblpY="1"/>
        <w:tblOverlap w:val="never"/>
        <w:tblW w:w="9126" w:type="dxa"/>
        <w:tblBorders>
          <w:top w:val="single" w:sz="2" w:space="0" w:color="959493"/>
          <w:left w:val="single" w:sz="2" w:space="0" w:color="959493"/>
          <w:bottom w:val="single" w:sz="2" w:space="0" w:color="959493"/>
          <w:right w:val="single" w:sz="2" w:space="0" w:color="959493"/>
          <w:insideH w:val="none" w:sz="0" w:space="0" w:color="auto"/>
          <w:insideV w:val="none" w:sz="0" w:space="0" w:color="auto"/>
        </w:tblBorders>
        <w:shd w:val="clear" w:color="auto" w:fill="EEEDEC"/>
        <w:tblCellMar>
          <w:top w:w="142" w:type="dxa"/>
          <w:left w:w="142" w:type="dxa"/>
          <w:right w:w="142" w:type="dxa"/>
        </w:tblCellMar>
        <w:tblLook w:val="0500" w:firstRow="0" w:lastRow="0" w:firstColumn="0" w:lastColumn="1" w:noHBand="0" w:noVBand="1"/>
        <w:tblCaption w:val="Commonwealth Procurement Rules: Paragraph 10.3b"/>
        <w:tblDescription w:val=" “10.3 A relevant entity must only conduct a procurement at or above the relevant procurement threshold through limited tender in the following circumstances:”&#10;“b. When, for reasons of extreme urgency brought about by events unforeseen by the relevant entity, the goods and services could not be obtained in time under open tender.”&#10;Source: Commonwealth Procurement Rules 2022"/>
      </w:tblPr>
      <w:tblGrid>
        <w:gridCol w:w="8197"/>
        <w:gridCol w:w="929"/>
      </w:tblGrid>
      <w:tr w:rsidR="00340266" w14:paraId="5BFE2ED6" w14:textId="77777777" w:rsidTr="00344208">
        <w:trPr>
          <w:trHeight w:val="574"/>
          <w:tblHeader/>
        </w:trPr>
        <w:tc>
          <w:tcPr>
            <w:tcW w:w="8197" w:type="dxa"/>
            <w:shd w:val="clear" w:color="auto" w:fill="EEEDEC"/>
          </w:tcPr>
          <w:p w14:paraId="45E10233" w14:textId="77777777" w:rsidR="00340266" w:rsidRDefault="00340266" w:rsidP="00C33977">
            <w:pPr>
              <w:pStyle w:val="Definitiontableparagraph"/>
            </w:pPr>
            <w:r>
              <w:t xml:space="preserve"> “10.3 A relevant entity must only conduct a procurement at or above the relevant procurement threshold through limited tender in the following circumstances:”</w:t>
            </w:r>
          </w:p>
          <w:p w14:paraId="641E3BD0" w14:textId="77777777" w:rsidR="00340266" w:rsidRDefault="00340266" w:rsidP="00C33977">
            <w:pPr>
              <w:pStyle w:val="Definitiontableparagraph"/>
            </w:pPr>
            <w:r>
              <w:t>“b. When, for reasons of extreme urgency brought about by events unforeseen by the relevant entity, the goods and services could not be obtained in time under open tender.”</w:t>
            </w:r>
          </w:p>
          <w:p w14:paraId="76E979DE" w14:textId="77777777" w:rsidR="00340266" w:rsidRPr="005D3339" w:rsidRDefault="00340266" w:rsidP="00C33977">
            <w:pPr>
              <w:pStyle w:val="Definitiontableparagraph"/>
              <w:rPr>
                <w:i/>
              </w:rPr>
            </w:pPr>
            <w:r w:rsidRPr="005D3339">
              <w:t>Source:</w:t>
            </w:r>
            <w:r w:rsidRPr="005D3339">
              <w:rPr>
                <w:i/>
              </w:rPr>
              <w:t xml:space="preserve"> Commonwealth Procurement Rules 2022</w:t>
            </w:r>
          </w:p>
        </w:tc>
        <w:tc>
          <w:tcPr>
            <w:tcW w:w="929" w:type="dxa"/>
            <w:shd w:val="clear" w:color="auto" w:fill="EEEDEC"/>
          </w:tcPr>
          <w:p w14:paraId="75F53BA5" w14:textId="77777777" w:rsidR="00340266" w:rsidRPr="005D3339" w:rsidRDefault="00340266" w:rsidP="00C33977">
            <w:pPr>
              <w:rPr>
                <w:b/>
              </w:rPr>
            </w:pPr>
            <w:r>
              <w:rPr>
                <w:noProof/>
                <w:lang w:eastAsia="en-AU"/>
              </w:rPr>
              <w:drawing>
                <wp:inline distT="0" distB="0" distL="0" distR="0" wp14:anchorId="4157B85C" wp14:editId="5D487B7C">
                  <wp:extent cx="368496" cy="368496"/>
                  <wp:effectExtent l="0" t="0" r="0" b="0"/>
                  <wp:docPr id="23" name="Picture 23" descr="Decorative image indicating that this section is about defining particular Commonwealth Procurement Rules."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Announcem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8496" cy="368496"/>
                          </a:xfrm>
                          <a:prstGeom prst="rect">
                            <a:avLst/>
                          </a:prstGeom>
                        </pic:spPr>
                      </pic:pic>
                    </a:graphicData>
                  </a:graphic>
                </wp:inline>
              </w:drawing>
            </w:r>
          </w:p>
        </w:tc>
      </w:tr>
    </w:tbl>
    <w:p w14:paraId="550B18CD" w14:textId="50F7562E" w:rsidR="002570C8" w:rsidRDefault="006A0596" w:rsidP="00FF1E44">
      <w:r>
        <w:t xml:space="preserve">Under </w:t>
      </w:r>
      <w:r w:rsidR="002B2B7B">
        <w:t xml:space="preserve">the </w:t>
      </w:r>
      <w:r>
        <w:t xml:space="preserve">NDIA procurement policy, the Branch Manager of the Procurement and Corporate Services Branch is required to approve the procurement method for all Division 2 procurements (including the use of </w:t>
      </w:r>
      <w:r w:rsidR="0021568E">
        <w:t>p</w:t>
      </w:r>
      <w:r>
        <w:t xml:space="preserve">aragraph 10.3b). This was introduced in 2019. Similarly, </w:t>
      </w:r>
      <w:r w:rsidR="003747BC">
        <w:t xml:space="preserve">SA </w:t>
      </w:r>
      <w:r w:rsidR="003747BC" w:rsidRPr="00F51871">
        <w:t>updated its AAIs in mid</w:t>
      </w:r>
      <w:r w:rsidR="003747BC" w:rsidRPr="00F51871">
        <w:noBreakHyphen/>
      </w:r>
      <w:r w:rsidR="003747BC">
        <w:t xml:space="preserve">2022 to require limited tenders that use </w:t>
      </w:r>
      <w:r w:rsidR="0021568E">
        <w:t>p</w:t>
      </w:r>
      <w:r w:rsidR="003747BC">
        <w:t xml:space="preserve">aragraph 10.3b to require sign off by </w:t>
      </w:r>
      <w:r>
        <w:t xml:space="preserve">its </w:t>
      </w:r>
      <w:r w:rsidR="003747BC">
        <w:t>Procurement Branch.</w:t>
      </w:r>
      <w:r w:rsidR="00A92DC1">
        <w:t xml:space="preserve"> </w:t>
      </w:r>
      <w:r w:rsidR="002B2B7B">
        <w:t xml:space="preserve">These are </w:t>
      </w:r>
      <w:r w:rsidR="006D03F3">
        <w:t>step</w:t>
      </w:r>
      <w:r w:rsidR="002B2B7B">
        <w:t>s</w:t>
      </w:r>
      <w:r w:rsidR="006D03F3">
        <w:t xml:space="preserve"> in the right direction.</w:t>
      </w:r>
    </w:p>
    <w:p w14:paraId="26DC995E" w14:textId="77777777" w:rsidR="007824B5" w:rsidRDefault="007824B5" w:rsidP="007824B5">
      <w:pPr>
        <w:pStyle w:val="Recommendationheading"/>
      </w:pPr>
      <w:r w:rsidRPr="000A4E62">
        <w:t>Recommendation 1</w:t>
      </w:r>
    </w:p>
    <w:tbl>
      <w:tblPr>
        <w:tblStyle w:val="TableGrid"/>
        <w:tblpPr w:leftFromText="181" w:rightFromText="181" w:bottomFromText="284" w:vertAnchor="text" w:tblpY="1"/>
        <w:tblOverlap w:val="never"/>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A82"/>
        <w:tblCellMar>
          <w:top w:w="142" w:type="dxa"/>
          <w:left w:w="142" w:type="dxa"/>
          <w:right w:w="142" w:type="dxa"/>
        </w:tblCellMar>
        <w:tblLook w:val="0500" w:firstRow="0" w:lastRow="0" w:firstColumn="0" w:lastColumn="1" w:noHBand="0" w:noVBand="1"/>
        <w:tblCaption w:val="Recommendation 1"/>
        <w:tblDescription w:val="The NDIA and SA tighten up the use of limited tenders justified by claims of urgency and closely monitor the extent of their usage including requiring clear, fully documented justification for the decision."/>
      </w:tblPr>
      <w:tblGrid>
        <w:gridCol w:w="8197"/>
        <w:gridCol w:w="929"/>
      </w:tblGrid>
      <w:tr w:rsidR="007824B5" w14:paraId="79E15212" w14:textId="77777777" w:rsidTr="00C33977">
        <w:trPr>
          <w:cantSplit/>
          <w:trHeight w:val="574"/>
          <w:tblHeader/>
        </w:trPr>
        <w:tc>
          <w:tcPr>
            <w:tcW w:w="8197" w:type="dxa"/>
            <w:shd w:val="clear" w:color="auto" w:fill="004A82"/>
          </w:tcPr>
          <w:p w14:paraId="77F47D1E" w14:textId="77777777" w:rsidR="007824B5" w:rsidRPr="00D7273B" w:rsidRDefault="007824B5" w:rsidP="00C33977">
            <w:pPr>
              <w:pStyle w:val="Definitiontableparagraph"/>
            </w:pPr>
            <w:r w:rsidRPr="00D7273B">
              <w:t>The NDIA and SA tighten up the use of limited tenders justified by claims of urgency and closely monitor the extent of their usage including requiring clear, fully documented justification for the decision.</w:t>
            </w:r>
          </w:p>
        </w:tc>
        <w:tc>
          <w:tcPr>
            <w:tcW w:w="929" w:type="dxa"/>
            <w:shd w:val="clear" w:color="auto" w:fill="004A82"/>
          </w:tcPr>
          <w:p w14:paraId="7970DD28" w14:textId="77777777" w:rsidR="007824B5" w:rsidRDefault="007824B5" w:rsidP="00C33977">
            <w:pPr>
              <w:rPr>
                <w:noProof/>
                <w:lang w:eastAsia="en-AU"/>
              </w:rPr>
            </w:pPr>
            <w:r>
              <w:rPr>
                <w:noProof/>
                <w:lang w:eastAsia="en-AU"/>
              </w:rPr>
              <w:drawing>
                <wp:inline distT="0" distB="0" distL="0" distR="0" wp14:anchorId="54167732" wp14:editId="7CE7A056">
                  <wp:extent cx="368496" cy="366947"/>
                  <wp:effectExtent l="0" t="0" r="0" b="0"/>
                  <wp:docPr id="24" name="Picture 24" descr="Decorative image indicating that this section is about a particluar recommendation."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Announcem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496" cy="366947"/>
                          </a:xfrm>
                          <a:prstGeom prst="rect">
                            <a:avLst/>
                          </a:prstGeom>
                        </pic:spPr>
                      </pic:pic>
                    </a:graphicData>
                  </a:graphic>
                </wp:inline>
              </w:drawing>
            </w:r>
          </w:p>
        </w:tc>
      </w:tr>
    </w:tbl>
    <w:p w14:paraId="596F83B2" w14:textId="3BB20E9C" w:rsidR="007824B5" w:rsidRPr="00503100" w:rsidRDefault="007824B5" w:rsidP="007824B5">
      <w:pPr>
        <w:pStyle w:val="Recommendationheading"/>
      </w:pPr>
      <w:r>
        <w:t>Recommendation 2</w:t>
      </w:r>
    </w:p>
    <w:tbl>
      <w:tblPr>
        <w:tblStyle w:val="TableGrid"/>
        <w:tblpPr w:leftFromText="181" w:rightFromText="181" w:bottomFromText="284" w:vertAnchor="text" w:tblpY="1"/>
        <w:tblOverlap w:val="never"/>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A82"/>
        <w:tblCellMar>
          <w:top w:w="142" w:type="dxa"/>
          <w:left w:w="142" w:type="dxa"/>
          <w:right w:w="142" w:type="dxa"/>
        </w:tblCellMar>
        <w:tblLook w:val="06A0" w:firstRow="1" w:lastRow="0" w:firstColumn="1" w:lastColumn="0" w:noHBand="1" w:noVBand="1"/>
        <w:tblCaption w:val="Recommendation 2"/>
        <w:tblDescription w:val="The Agencies should require the use of limited tender or single supplier procurements to be justified and fully documented. They should also require a particularly compelling justification when limited tenders or a single supplier approach are used for procurements that may trigger a subsequent chain of procurements."/>
      </w:tblPr>
      <w:tblGrid>
        <w:gridCol w:w="8197"/>
        <w:gridCol w:w="929"/>
      </w:tblGrid>
      <w:tr w:rsidR="007824B5" w14:paraId="07476049" w14:textId="77777777" w:rsidTr="00EE788C">
        <w:trPr>
          <w:cantSplit/>
          <w:trHeight w:val="574"/>
          <w:tblHeader/>
        </w:trPr>
        <w:tc>
          <w:tcPr>
            <w:tcW w:w="8197" w:type="dxa"/>
            <w:shd w:val="clear" w:color="auto" w:fill="004A82"/>
          </w:tcPr>
          <w:p w14:paraId="261C3A34" w14:textId="196C2328" w:rsidR="007824B5" w:rsidRPr="005D3339" w:rsidRDefault="00660756" w:rsidP="00C33977">
            <w:pPr>
              <w:pStyle w:val="Definitiontableparagraph"/>
              <w:rPr>
                <w:i/>
              </w:rPr>
            </w:pPr>
            <w:r>
              <w:t>The a</w:t>
            </w:r>
            <w:r w:rsidR="007824B5" w:rsidRPr="00B462D5">
              <w:t>gencies should require the use of limited tender or single supplier procurements to be justified and fully documented. They should also require a particularly compelling justification when limited tenders or a single supplier approach are used for procurements that may trigger a subsequent chain of procurements.</w:t>
            </w:r>
          </w:p>
        </w:tc>
        <w:tc>
          <w:tcPr>
            <w:tcW w:w="929" w:type="dxa"/>
            <w:shd w:val="clear" w:color="auto" w:fill="004A82"/>
          </w:tcPr>
          <w:p w14:paraId="23F19E01" w14:textId="77777777" w:rsidR="007824B5" w:rsidRPr="005D3339" w:rsidRDefault="007824B5" w:rsidP="00C33977">
            <w:pPr>
              <w:rPr>
                <w:b/>
              </w:rPr>
            </w:pPr>
            <w:r>
              <w:rPr>
                <w:noProof/>
                <w:lang w:eastAsia="en-AU"/>
              </w:rPr>
              <w:drawing>
                <wp:inline distT="0" distB="0" distL="0" distR="0" wp14:anchorId="584594C7" wp14:editId="00698258">
                  <wp:extent cx="368496" cy="366947"/>
                  <wp:effectExtent l="0" t="0" r="0" b="0"/>
                  <wp:docPr id="26" name="Picture 26" descr="Decorative image indicating that this section is about a particluar recommendation."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Announcem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496" cy="366947"/>
                          </a:xfrm>
                          <a:prstGeom prst="rect">
                            <a:avLst/>
                          </a:prstGeom>
                        </pic:spPr>
                      </pic:pic>
                    </a:graphicData>
                  </a:graphic>
                </wp:inline>
              </w:drawing>
            </w:r>
          </w:p>
        </w:tc>
      </w:tr>
    </w:tbl>
    <w:p w14:paraId="28984408" w14:textId="38E73FBA" w:rsidR="00755C95" w:rsidRPr="00843991" w:rsidRDefault="00755C95" w:rsidP="00FF1E44">
      <w:pPr>
        <w:rPr>
          <w:rFonts w:cs="Arial"/>
        </w:rPr>
      </w:pPr>
      <w:r w:rsidRPr="00843991">
        <w:rPr>
          <w:rFonts w:cs="Arial"/>
        </w:rPr>
        <w:t xml:space="preserve">The above recommendations are not designed to </w:t>
      </w:r>
      <w:r w:rsidR="00DA78A9">
        <w:rPr>
          <w:rFonts w:cs="Arial"/>
        </w:rPr>
        <w:t xml:space="preserve">make limited tenders impossible to use, or limit their justifiable use. </w:t>
      </w:r>
      <w:r w:rsidR="0021568E">
        <w:rPr>
          <w:rFonts w:cs="Arial"/>
        </w:rPr>
        <w:t>They are</w:t>
      </w:r>
      <w:r w:rsidR="001218EB">
        <w:rPr>
          <w:rFonts w:cs="Arial"/>
        </w:rPr>
        <w:t xml:space="preserve">, however, </w:t>
      </w:r>
      <w:r w:rsidR="00DA78A9">
        <w:rPr>
          <w:rFonts w:cs="Arial"/>
        </w:rPr>
        <w:t xml:space="preserve">intended to </w:t>
      </w:r>
      <w:r w:rsidRPr="00211E49">
        <w:rPr>
          <w:rFonts w:cs="Arial"/>
        </w:rPr>
        <w:t xml:space="preserve">limit their usage on an </w:t>
      </w:r>
      <w:r>
        <w:rPr>
          <w:rFonts w:cs="Arial"/>
        </w:rPr>
        <w:t>‘</w:t>
      </w:r>
      <w:r w:rsidRPr="00843991">
        <w:rPr>
          <w:rFonts w:cs="Arial"/>
        </w:rPr>
        <w:t>urgency</w:t>
      </w:r>
      <w:r>
        <w:rPr>
          <w:rFonts w:cs="Arial"/>
        </w:rPr>
        <w:t>’</w:t>
      </w:r>
      <w:r w:rsidRPr="00843991">
        <w:rPr>
          <w:rFonts w:cs="Arial"/>
        </w:rPr>
        <w:t xml:space="preserve"> basis to </w:t>
      </w:r>
      <w:r w:rsidR="00EF5562">
        <w:rPr>
          <w:rFonts w:cs="Arial"/>
        </w:rPr>
        <w:t>genuinely</w:t>
      </w:r>
      <w:r w:rsidR="00C65E65">
        <w:rPr>
          <w:rFonts w:cs="Arial"/>
        </w:rPr>
        <w:t xml:space="preserve"> </w:t>
      </w:r>
      <w:r w:rsidR="002A1D38">
        <w:rPr>
          <w:rFonts w:cs="Arial"/>
        </w:rPr>
        <w:t>unavoidable matters</w:t>
      </w:r>
      <w:r w:rsidR="00C65E65">
        <w:rPr>
          <w:rFonts w:cs="Arial"/>
        </w:rPr>
        <w:t>,</w:t>
      </w:r>
      <w:r w:rsidR="002A1D38">
        <w:rPr>
          <w:rFonts w:cs="Arial"/>
        </w:rPr>
        <w:t xml:space="preserve"> </w:t>
      </w:r>
      <w:r w:rsidR="004823BD">
        <w:rPr>
          <w:rFonts w:cs="Arial"/>
        </w:rPr>
        <w:t>to ensure better documentation and</w:t>
      </w:r>
      <w:r w:rsidRPr="00843991">
        <w:rPr>
          <w:rFonts w:cs="Arial"/>
        </w:rPr>
        <w:t xml:space="preserve"> avoid limited tenders </w:t>
      </w:r>
      <w:r w:rsidR="002A1D38">
        <w:rPr>
          <w:rFonts w:cs="Arial"/>
        </w:rPr>
        <w:t xml:space="preserve">and single supplier procurements </w:t>
      </w:r>
      <w:r w:rsidRPr="00843991">
        <w:rPr>
          <w:rFonts w:cs="Arial"/>
        </w:rPr>
        <w:t xml:space="preserve">that </w:t>
      </w:r>
      <w:r w:rsidR="000007C5">
        <w:rPr>
          <w:rFonts w:cs="Arial"/>
        </w:rPr>
        <w:t xml:space="preserve">may </w:t>
      </w:r>
      <w:r w:rsidR="003D1CB4">
        <w:rPr>
          <w:rFonts w:cs="Arial"/>
        </w:rPr>
        <w:t xml:space="preserve">advantage </w:t>
      </w:r>
      <w:r w:rsidRPr="00843991">
        <w:rPr>
          <w:rFonts w:cs="Arial"/>
        </w:rPr>
        <w:t xml:space="preserve">a long term </w:t>
      </w:r>
      <w:r w:rsidR="003D1CB4">
        <w:rPr>
          <w:rFonts w:cs="Arial"/>
        </w:rPr>
        <w:t xml:space="preserve">incumbent </w:t>
      </w:r>
      <w:r w:rsidR="00D123C1">
        <w:rPr>
          <w:rFonts w:cs="Arial"/>
        </w:rPr>
        <w:t xml:space="preserve">at the start of a series </w:t>
      </w:r>
      <w:r w:rsidRPr="00843991">
        <w:rPr>
          <w:rFonts w:cs="Arial"/>
        </w:rPr>
        <w:t>of procurements.</w:t>
      </w:r>
      <w:r w:rsidR="00F939E7">
        <w:rPr>
          <w:rFonts w:cs="Arial"/>
        </w:rPr>
        <w:t xml:space="preserve"> Other justifications </w:t>
      </w:r>
      <w:r w:rsidR="00C81AD8">
        <w:rPr>
          <w:rFonts w:cs="Arial"/>
        </w:rPr>
        <w:t xml:space="preserve">for limited tender </w:t>
      </w:r>
      <w:r w:rsidR="00F939E7">
        <w:rPr>
          <w:rFonts w:cs="Arial"/>
        </w:rPr>
        <w:t>will remain</w:t>
      </w:r>
      <w:r w:rsidR="00AA4111">
        <w:rPr>
          <w:rFonts w:cs="Arial"/>
        </w:rPr>
        <w:t>, such as where a limited tender is of low value and risk</w:t>
      </w:r>
      <w:r w:rsidR="002558C5">
        <w:rPr>
          <w:rFonts w:cs="Arial"/>
        </w:rPr>
        <w:t xml:space="preserve"> or </w:t>
      </w:r>
      <w:r w:rsidR="00D83516">
        <w:rPr>
          <w:rFonts w:cs="Arial"/>
        </w:rPr>
        <w:t>when the goods and services can be supplied only by a particular business and there is no reasonable alternative or substitute</w:t>
      </w:r>
      <w:r w:rsidR="00F939E7">
        <w:rPr>
          <w:rFonts w:cs="Arial"/>
        </w:rPr>
        <w:t>.</w:t>
      </w:r>
    </w:p>
    <w:p w14:paraId="794C4B8F" w14:textId="77777777" w:rsidR="00713887" w:rsidRDefault="00713887">
      <w:pPr>
        <w:rPr>
          <w:rFonts w:cs="Arial"/>
          <w:b/>
          <w:bCs/>
          <w:sz w:val="28"/>
          <w:szCs w:val="28"/>
        </w:rPr>
      </w:pPr>
      <w:r>
        <w:br w:type="page"/>
      </w:r>
    </w:p>
    <w:p w14:paraId="7476B0C8" w14:textId="1A84A03C" w:rsidR="006D0931" w:rsidRDefault="00277C1B" w:rsidP="00FF1E44">
      <w:pPr>
        <w:pStyle w:val="Heading3"/>
      </w:pPr>
      <w:r>
        <w:lastRenderedPageBreak/>
        <w:t>Transparency</w:t>
      </w:r>
    </w:p>
    <w:p w14:paraId="28A10966" w14:textId="08B8882C" w:rsidR="00CA121B" w:rsidRDefault="009C79BD" w:rsidP="00FF1E44">
      <w:r>
        <w:t xml:space="preserve">Officials </w:t>
      </w:r>
      <w:r w:rsidR="00755C95" w:rsidRPr="00843991">
        <w:t xml:space="preserve">can seek </w:t>
      </w:r>
      <w:r w:rsidR="006B7EE8">
        <w:t>quotes</w:t>
      </w:r>
      <w:r w:rsidR="00755C95" w:rsidRPr="00843991">
        <w:t xml:space="preserve"> from a wide range of </w:t>
      </w:r>
      <w:r w:rsidR="00F86361">
        <w:t>suppliers</w:t>
      </w:r>
      <w:r>
        <w:t xml:space="preserve"> in procurements</w:t>
      </w:r>
      <w:r w:rsidR="00CA121B">
        <w:t>, whether through an open or limited tender process or through an existing standing offer</w:t>
      </w:r>
      <w:r w:rsidR="00755C95" w:rsidRPr="00044E64">
        <w:t>.</w:t>
      </w:r>
      <w:r w:rsidR="00D94CFE">
        <w:t xml:space="preserve"> </w:t>
      </w:r>
      <w:r w:rsidR="00852B0D">
        <w:t>There are</w:t>
      </w:r>
      <w:r w:rsidR="00CA121B">
        <w:t xml:space="preserve"> circumstances</w:t>
      </w:r>
      <w:r w:rsidR="00852B0D">
        <w:t xml:space="preserve"> where</w:t>
      </w:r>
      <w:r w:rsidR="00CA121B">
        <w:t xml:space="preserve"> officials </w:t>
      </w:r>
      <w:r w:rsidR="00F86361">
        <w:t>may</w:t>
      </w:r>
      <w:r w:rsidR="00CA121B">
        <w:t xml:space="preserve"> choose to approach </w:t>
      </w:r>
      <w:r w:rsidR="00D94CFE">
        <w:t>a</w:t>
      </w:r>
      <w:r w:rsidR="00755C95" w:rsidRPr="00843991">
        <w:t xml:space="preserve"> narrower field</w:t>
      </w:r>
      <w:r w:rsidR="00D94CFE">
        <w:t xml:space="preserve"> of </w:t>
      </w:r>
      <w:r w:rsidR="0000161A">
        <w:t>supplier</w:t>
      </w:r>
      <w:r w:rsidR="00D94CFE">
        <w:t xml:space="preserve">s </w:t>
      </w:r>
      <w:r w:rsidR="00CA121B">
        <w:t xml:space="preserve">because it </w:t>
      </w:r>
      <w:r w:rsidR="003B3936">
        <w:t xml:space="preserve">could be </w:t>
      </w:r>
      <w:r w:rsidR="00755C95" w:rsidRPr="00843991">
        <w:t xml:space="preserve">simpler </w:t>
      </w:r>
      <w:r w:rsidR="00CA121B">
        <w:t>and more efficient</w:t>
      </w:r>
      <w:r w:rsidR="002E47A9">
        <w:t xml:space="preserve">, and less burdensome to </w:t>
      </w:r>
      <w:r w:rsidR="001F412C">
        <w:t xml:space="preserve">the agency and </w:t>
      </w:r>
      <w:r w:rsidR="002E47A9">
        <w:t>vendors as a whole</w:t>
      </w:r>
      <w:r w:rsidR="00CA121B">
        <w:t>. H</w:t>
      </w:r>
      <w:r w:rsidR="00D94CFE">
        <w:t>owever</w:t>
      </w:r>
      <w:r w:rsidR="00FF3E79">
        <w:t>,</w:t>
      </w:r>
      <w:r w:rsidR="00D94CFE">
        <w:t xml:space="preserve"> </w:t>
      </w:r>
      <w:r w:rsidR="00CA121B">
        <w:t>this</w:t>
      </w:r>
      <w:r w:rsidR="00D94CFE">
        <w:t xml:space="preserve"> may </w:t>
      </w:r>
      <w:r w:rsidR="00BC604F">
        <w:t xml:space="preserve">also </w:t>
      </w:r>
      <w:r w:rsidR="00D94CFE">
        <w:t>result in</w:t>
      </w:r>
      <w:r>
        <w:t xml:space="preserve"> </w:t>
      </w:r>
      <w:r w:rsidR="001F412C">
        <w:t xml:space="preserve">procurements that are less open, less </w:t>
      </w:r>
      <w:r w:rsidR="004D1278">
        <w:t>fair</w:t>
      </w:r>
      <w:r w:rsidR="001F412C">
        <w:t xml:space="preserve">, potentially discriminating </w:t>
      </w:r>
      <w:r w:rsidR="004D1278">
        <w:t xml:space="preserve">in some circumstances </w:t>
      </w:r>
      <w:r w:rsidR="001F412C">
        <w:t>and</w:t>
      </w:r>
      <w:r w:rsidR="00CA121B">
        <w:t xml:space="preserve"> </w:t>
      </w:r>
      <w:r w:rsidR="004D1278">
        <w:t xml:space="preserve">that </w:t>
      </w:r>
      <w:r w:rsidR="00CA121B">
        <w:t>advantage long-term incumbents</w:t>
      </w:r>
      <w:r w:rsidR="002E47A9">
        <w:t xml:space="preserve"> or favoured participants</w:t>
      </w:r>
      <w:r w:rsidRPr="00211E49">
        <w:t>.</w:t>
      </w:r>
      <w:r w:rsidR="005C51DD">
        <w:rPr>
          <w:rStyle w:val="FootnoteReference"/>
          <w:rFonts w:cs="Arial"/>
        </w:rPr>
        <w:footnoteReference w:id="6"/>
      </w:r>
    </w:p>
    <w:p w14:paraId="0868EC9C" w14:textId="6D03D338" w:rsidR="00755C95" w:rsidRPr="00843991" w:rsidRDefault="009C79BD" w:rsidP="00FF1E44">
      <w:r w:rsidRPr="00211E49">
        <w:t>S</w:t>
      </w:r>
      <w:r w:rsidR="00755C95" w:rsidRPr="00843991">
        <w:t>mall tender fields may be appropriate</w:t>
      </w:r>
      <w:r w:rsidR="001F412C">
        <w:t xml:space="preserve"> in certain circumstances</w:t>
      </w:r>
      <w:r w:rsidR="00913C26">
        <w:t xml:space="preserve">. However, </w:t>
      </w:r>
      <w:r w:rsidR="00755C95" w:rsidRPr="00843991">
        <w:t xml:space="preserve">there </w:t>
      </w:r>
      <w:r>
        <w:t xml:space="preserve">would </w:t>
      </w:r>
      <w:r w:rsidR="00755C95" w:rsidRPr="00843991">
        <w:t xml:space="preserve">be more transparency and less </w:t>
      </w:r>
      <w:r w:rsidR="00913C26">
        <w:t xml:space="preserve">likelihood of </w:t>
      </w:r>
      <w:r>
        <w:t xml:space="preserve">repeated single supplier approaches with the same </w:t>
      </w:r>
      <w:r w:rsidR="0000161A">
        <w:t>supplier</w:t>
      </w:r>
      <w:r>
        <w:t xml:space="preserve"> </w:t>
      </w:r>
      <w:r w:rsidRPr="00211E49">
        <w:t>i</w:t>
      </w:r>
      <w:r w:rsidR="00755C95" w:rsidRPr="00843991">
        <w:t xml:space="preserve">f the number of </w:t>
      </w:r>
      <w:r>
        <w:t xml:space="preserve">suppliers approached </w:t>
      </w:r>
      <w:r w:rsidR="00755C95" w:rsidRPr="00843991">
        <w:t xml:space="preserve">was made public. This would </w:t>
      </w:r>
      <w:r w:rsidR="00A83108">
        <w:t>not prevent small or single source procurements. It would, however, allow</w:t>
      </w:r>
      <w:r w:rsidR="00755C95" w:rsidRPr="00843991">
        <w:t xml:space="preserve"> </w:t>
      </w:r>
      <w:r w:rsidR="000007C5">
        <w:t xml:space="preserve">the </w:t>
      </w:r>
      <w:r w:rsidR="00755C95" w:rsidRPr="00843991">
        <w:t>judgements to be</w:t>
      </w:r>
      <w:r w:rsidR="000007C5">
        <w:t xml:space="preserve"> more</w:t>
      </w:r>
      <w:r w:rsidR="00A83108">
        <w:t xml:space="preserve"> transparent and, if necessary,</w:t>
      </w:r>
      <w:r w:rsidR="00755C95" w:rsidRPr="00843991">
        <w:t xml:space="preserve"> </w:t>
      </w:r>
      <w:r w:rsidR="002F4ABA">
        <w:t xml:space="preserve">more easily </w:t>
      </w:r>
      <w:r w:rsidR="00755C95" w:rsidRPr="00843991">
        <w:t>tested.</w:t>
      </w:r>
    </w:p>
    <w:p w14:paraId="3C49CB34" w14:textId="69705922" w:rsidR="00755C95" w:rsidRPr="00843991" w:rsidRDefault="00CA121B" w:rsidP="00FF1E44">
      <w:r>
        <w:t>The</w:t>
      </w:r>
      <w:r w:rsidR="00755C95" w:rsidRPr="00044E64">
        <w:t xml:space="preserve"> </w:t>
      </w:r>
      <w:r w:rsidR="00755C95" w:rsidRPr="00843991">
        <w:t xml:space="preserve">Department of Finance </w:t>
      </w:r>
      <w:r>
        <w:t>has advised</w:t>
      </w:r>
      <w:r w:rsidR="00755C95" w:rsidRPr="00843991">
        <w:t xml:space="preserve"> </w:t>
      </w:r>
      <w:r w:rsidR="002F4ABA">
        <w:t xml:space="preserve">the </w:t>
      </w:r>
      <w:r w:rsidR="001B3906">
        <w:t>R</w:t>
      </w:r>
      <w:r w:rsidR="002F4ABA">
        <w:t xml:space="preserve">eviewer </w:t>
      </w:r>
      <w:r w:rsidR="00755C95" w:rsidRPr="00843991">
        <w:t>that they intend to</w:t>
      </w:r>
      <w:r w:rsidR="005F15CC">
        <w:t xml:space="preserve"> </w:t>
      </w:r>
      <w:r w:rsidR="002043FC">
        <w:t xml:space="preserve">introduce </w:t>
      </w:r>
      <w:r w:rsidR="00755C95" w:rsidRPr="00843991">
        <w:t xml:space="preserve">a requirement to publish the number of </w:t>
      </w:r>
      <w:r w:rsidR="009C79BD">
        <w:t xml:space="preserve">suppliers </w:t>
      </w:r>
      <w:r w:rsidR="002D0DD8">
        <w:t xml:space="preserve">invited to submit quotes for a procurement </w:t>
      </w:r>
      <w:r w:rsidR="00755C95" w:rsidRPr="00843991">
        <w:t xml:space="preserve">as part of </w:t>
      </w:r>
      <w:r w:rsidR="00810A4C">
        <w:t xml:space="preserve">its </w:t>
      </w:r>
      <w:r w:rsidR="00B77814">
        <w:t>forthcoming</w:t>
      </w:r>
      <w:r w:rsidR="00B77814" w:rsidRPr="00843991">
        <w:t xml:space="preserve"> </w:t>
      </w:r>
      <w:r w:rsidR="00755C95" w:rsidRPr="00843991">
        <w:t>update to AusTender. This proposal has previously been raised by the Auditor-</w:t>
      </w:r>
      <w:r w:rsidR="00755C95" w:rsidRPr="003B3936">
        <w:t>General</w:t>
      </w:r>
      <w:r w:rsidR="00EC3B88" w:rsidRPr="003838D5">
        <w:t>.</w:t>
      </w:r>
      <w:r w:rsidR="00EC3B88" w:rsidRPr="003838D5">
        <w:rPr>
          <w:rStyle w:val="FootnoteReference"/>
          <w:rFonts w:cs="Arial"/>
        </w:rPr>
        <w:footnoteReference w:id="7"/>
      </w:r>
      <w:r w:rsidR="00C22112">
        <w:t xml:space="preserve"> Including </w:t>
      </w:r>
      <w:r w:rsidR="00F2480B">
        <w:t xml:space="preserve">data </w:t>
      </w:r>
      <w:r w:rsidR="008020CA">
        <w:t xml:space="preserve">around the number suppliers invited to submit quotes </w:t>
      </w:r>
      <w:r w:rsidR="00F2480B">
        <w:t>for major procurements in the agency’s annual report would allow the regularity of the approach to</w:t>
      </w:r>
      <w:r w:rsidR="00ED5965">
        <w:t xml:space="preserve"> </w:t>
      </w:r>
      <w:r w:rsidR="0022068B">
        <w:t>be easily monitored</w:t>
      </w:r>
      <w:r w:rsidR="00ED5965">
        <w:t>.</w:t>
      </w:r>
    </w:p>
    <w:p w14:paraId="76055C02" w14:textId="46CAF8BD" w:rsidR="00755C95" w:rsidRDefault="00755C95" w:rsidP="00FF1E44">
      <w:r w:rsidRPr="00843991">
        <w:t>The Reviewer supports the proposal and suggests that the NDIA and SA put arrangements in place to adopt such a system</w:t>
      </w:r>
      <w:r w:rsidR="00CA121B">
        <w:t xml:space="preserve"> as soon as possible</w:t>
      </w:r>
      <w:r w:rsidR="002043FC">
        <w:t xml:space="preserve">, noting that the AusTender changes will not </w:t>
      </w:r>
      <w:r w:rsidR="002F3E16">
        <w:t xml:space="preserve">necessarily </w:t>
      </w:r>
      <w:r w:rsidR="002043FC">
        <w:t>impact the NDIA as it is not required to publish</w:t>
      </w:r>
      <w:r w:rsidR="003907FE">
        <w:t xml:space="preserve"> or report</w:t>
      </w:r>
      <w:r w:rsidR="002043FC">
        <w:t xml:space="preserve"> on </w:t>
      </w:r>
      <w:proofErr w:type="spellStart"/>
      <w:r w:rsidR="002043FC">
        <w:t>AusTender</w:t>
      </w:r>
      <w:proofErr w:type="spellEnd"/>
      <w:r w:rsidR="002043FC">
        <w:t>.</w:t>
      </w:r>
    </w:p>
    <w:p w14:paraId="5479D51C" w14:textId="77777777" w:rsidR="001536C2" w:rsidRDefault="001536C2" w:rsidP="001536C2">
      <w:pPr>
        <w:pStyle w:val="Recommendationheading"/>
      </w:pPr>
      <w:r>
        <w:t>Recommendation 3</w:t>
      </w:r>
    </w:p>
    <w:tbl>
      <w:tblPr>
        <w:tblStyle w:val="TableGrid"/>
        <w:tblpPr w:leftFromText="181" w:rightFromText="181" w:bottomFromText="284" w:vertAnchor="text" w:tblpY="1"/>
        <w:tblOverlap w:val="never"/>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A82"/>
        <w:tblCellMar>
          <w:top w:w="142" w:type="dxa"/>
          <w:left w:w="142" w:type="dxa"/>
          <w:right w:w="142" w:type="dxa"/>
        </w:tblCellMar>
        <w:tblLook w:val="0500" w:firstRow="0" w:lastRow="0" w:firstColumn="0" w:lastColumn="1" w:noHBand="0" w:noVBand="1"/>
        <w:tblCaption w:val="Recommendation 3"/>
        <w:tblDescription w:val="The NDIA and SA should publicly report on the number of suppliers invited to respond for each procurement through their websites. Reporting for SA could occur through AusTender, when the Department of Finance introduces this functionality. Data for procurements above a certain threshold should be included in the Annual Report."/>
      </w:tblPr>
      <w:tblGrid>
        <w:gridCol w:w="8197"/>
        <w:gridCol w:w="929"/>
      </w:tblGrid>
      <w:tr w:rsidR="001536C2" w14:paraId="3669692C" w14:textId="77777777" w:rsidTr="00EE788C">
        <w:trPr>
          <w:trHeight w:val="574"/>
          <w:tblHeader/>
        </w:trPr>
        <w:tc>
          <w:tcPr>
            <w:tcW w:w="8197" w:type="dxa"/>
            <w:shd w:val="clear" w:color="auto" w:fill="004A82"/>
          </w:tcPr>
          <w:p w14:paraId="60F173E7" w14:textId="77777777" w:rsidR="001536C2" w:rsidRPr="005D3339" w:rsidRDefault="001536C2" w:rsidP="00C33977">
            <w:pPr>
              <w:pStyle w:val="Definitiontableparagraph"/>
              <w:rPr>
                <w:i/>
              </w:rPr>
            </w:pPr>
            <w:r w:rsidRPr="00B462D5">
              <w:t>The NDIA and SA should publicly report on the number of suppliers invited to respond for each procurement through their websites. Reporting for SA could occur through AusTender, when the Department of Finance introduces this functionality. Data for procurements above a certain threshold should be included in the Annual Report.</w:t>
            </w:r>
          </w:p>
        </w:tc>
        <w:tc>
          <w:tcPr>
            <w:tcW w:w="929" w:type="dxa"/>
            <w:shd w:val="clear" w:color="auto" w:fill="004A82"/>
          </w:tcPr>
          <w:p w14:paraId="29F851DE" w14:textId="77777777" w:rsidR="001536C2" w:rsidRPr="005D3339" w:rsidRDefault="001536C2" w:rsidP="00C33977">
            <w:pPr>
              <w:rPr>
                <w:b/>
              </w:rPr>
            </w:pPr>
            <w:r>
              <w:rPr>
                <w:noProof/>
                <w:lang w:eastAsia="en-AU"/>
              </w:rPr>
              <w:drawing>
                <wp:inline distT="0" distB="0" distL="0" distR="0" wp14:anchorId="04F48751" wp14:editId="33F7E918">
                  <wp:extent cx="368496" cy="366947"/>
                  <wp:effectExtent l="0" t="0" r="0" b="0"/>
                  <wp:docPr id="25" name="Picture 25" descr="Decorative image indicating that this section is about a particluar recommendation."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Announcem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496" cy="366947"/>
                          </a:xfrm>
                          <a:prstGeom prst="rect">
                            <a:avLst/>
                          </a:prstGeom>
                        </pic:spPr>
                      </pic:pic>
                    </a:graphicData>
                  </a:graphic>
                </wp:inline>
              </w:drawing>
            </w:r>
          </w:p>
        </w:tc>
      </w:tr>
    </w:tbl>
    <w:p w14:paraId="6787F8A4" w14:textId="64E2F041" w:rsidR="0084264D" w:rsidRPr="0084264D" w:rsidRDefault="0084264D" w:rsidP="00FF1E44">
      <w:r w:rsidRPr="0084264D">
        <w:t xml:space="preserve">In light of the value of procurements generated across the Australian Government, the Reviewer considers that the changes to AusTender should be a high priority </w:t>
      </w:r>
      <w:r w:rsidR="00086CAA">
        <w:t xml:space="preserve">for </w:t>
      </w:r>
      <w:r w:rsidRPr="0084264D">
        <w:t>the Department of Finance.</w:t>
      </w:r>
    </w:p>
    <w:p w14:paraId="32353E94" w14:textId="77777777" w:rsidR="00713887" w:rsidRDefault="00713887">
      <w:pPr>
        <w:rPr>
          <w:rFonts w:cs="Arial"/>
          <w:b/>
          <w:bCs/>
          <w:sz w:val="28"/>
          <w:szCs w:val="28"/>
        </w:rPr>
      </w:pPr>
      <w:r>
        <w:br w:type="page"/>
      </w:r>
    </w:p>
    <w:p w14:paraId="7DA1E13C" w14:textId="73B54BFD" w:rsidR="00277C1B" w:rsidRDefault="00277C1B" w:rsidP="00FF1E44">
      <w:pPr>
        <w:pStyle w:val="Heading3"/>
      </w:pPr>
      <w:r>
        <w:lastRenderedPageBreak/>
        <w:t>Conflict of interest</w:t>
      </w:r>
    </w:p>
    <w:p w14:paraId="3AC08249" w14:textId="366FB86A" w:rsidR="00C33F09" w:rsidRPr="00F76FC2" w:rsidRDefault="001B3906" w:rsidP="00FF1E44">
      <w:r>
        <w:t xml:space="preserve">Under the APS Code of Conduct, which is </w:t>
      </w:r>
      <w:r w:rsidR="00486A00">
        <w:t xml:space="preserve">set out in the </w:t>
      </w:r>
      <w:r>
        <w:rPr>
          <w:i/>
        </w:rPr>
        <w:t>Public Service Act 1999</w:t>
      </w:r>
      <w:r w:rsidR="0021568E">
        <w:rPr>
          <w:i/>
        </w:rPr>
        <w:t>,</w:t>
      </w:r>
      <w:r>
        <w:rPr>
          <w:i/>
        </w:rPr>
        <w:t xml:space="preserve"> </w:t>
      </w:r>
      <w:r w:rsidR="00604E56" w:rsidRPr="00892E59">
        <w:t>a</w:t>
      </w:r>
      <w:r w:rsidR="00692F13" w:rsidRPr="00892E59">
        <w:t>ll</w:t>
      </w:r>
      <w:r w:rsidR="00692F13">
        <w:t xml:space="preserve"> </w:t>
      </w:r>
      <w:r w:rsidR="00C33F09" w:rsidRPr="00F76FC2">
        <w:t>APS employee</w:t>
      </w:r>
      <w:r w:rsidR="00604E56">
        <w:t>s</w:t>
      </w:r>
      <w:r w:rsidR="00C33F09" w:rsidRPr="00F76FC2">
        <w:t xml:space="preserve"> must:</w:t>
      </w:r>
    </w:p>
    <w:p w14:paraId="37B327ED" w14:textId="0D31273E" w:rsidR="00C33F09" w:rsidRPr="00F76FC2" w:rsidRDefault="00692F13" w:rsidP="00FF1E44">
      <w:pPr>
        <w:pStyle w:val="Bulletlevel1"/>
      </w:pPr>
      <w:r>
        <w:t>‘</w:t>
      </w:r>
      <w:proofErr w:type="gramStart"/>
      <w:r w:rsidR="00C33F09" w:rsidRPr="00F76FC2">
        <w:t>take</w:t>
      </w:r>
      <w:proofErr w:type="gramEnd"/>
      <w:r w:rsidR="00C33F09" w:rsidRPr="00F76FC2">
        <w:t xml:space="preserve"> reasonable steps to avoid any </w:t>
      </w:r>
      <w:r w:rsidR="00755C95" w:rsidRPr="00843991">
        <w:t xml:space="preserve">conflict </w:t>
      </w:r>
      <w:r w:rsidR="00C33F09" w:rsidRPr="00F76FC2">
        <w:t>of</w:t>
      </w:r>
      <w:r w:rsidR="00755C95" w:rsidRPr="00843991">
        <w:t xml:space="preserve"> interest </w:t>
      </w:r>
      <w:r w:rsidR="00C33F09" w:rsidRPr="00F76FC2">
        <w:t>(real</w:t>
      </w:r>
      <w:r w:rsidR="009D3B21">
        <w:t xml:space="preserve"> or </w:t>
      </w:r>
      <w:r w:rsidR="00C33F09" w:rsidRPr="00F76FC2">
        <w:t xml:space="preserve">apparent) in </w:t>
      </w:r>
      <w:r w:rsidR="009D3B21">
        <w:t xml:space="preserve">connection with </w:t>
      </w:r>
      <w:r w:rsidR="00C33F09" w:rsidRPr="00F76FC2">
        <w:t xml:space="preserve">the employee's APS </w:t>
      </w:r>
      <w:r w:rsidR="009D3B21">
        <w:t>employment</w:t>
      </w:r>
      <w:r w:rsidR="00C33F09" w:rsidRPr="00F76FC2">
        <w:t>;</w:t>
      </w:r>
      <w:r w:rsidR="009D3B21">
        <w:t xml:space="preserve"> and</w:t>
      </w:r>
    </w:p>
    <w:p w14:paraId="6F0F7A19" w14:textId="31BB3297" w:rsidR="00C33F09" w:rsidRPr="00F76FC2" w:rsidRDefault="00C33F09" w:rsidP="00FF1E44">
      <w:pPr>
        <w:pStyle w:val="Bulletlevel1"/>
      </w:pPr>
      <w:r w:rsidRPr="00F76FC2">
        <w:t>disclose details of any material personal interest of the employee in connection with the employee's APS employment.</w:t>
      </w:r>
      <w:r w:rsidR="00692F13">
        <w:t>’</w:t>
      </w:r>
      <w:r w:rsidR="00692F13" w:rsidRPr="00692F13">
        <w:rPr>
          <w:rStyle w:val="FootnoteReference"/>
          <w:rFonts w:cs="Arial"/>
        </w:rPr>
        <w:t xml:space="preserve"> </w:t>
      </w:r>
      <w:r w:rsidR="00692F13">
        <w:rPr>
          <w:rStyle w:val="FootnoteReference"/>
          <w:rFonts w:cs="Arial"/>
        </w:rPr>
        <w:footnoteReference w:id="8"/>
      </w:r>
    </w:p>
    <w:p w14:paraId="11BA5AF7" w14:textId="7590A61D" w:rsidR="00C33F09" w:rsidRDefault="00480425" w:rsidP="00FF1E44">
      <w:r w:rsidRPr="00F76FC2">
        <w:t xml:space="preserve">In addition, </w:t>
      </w:r>
      <w:r w:rsidR="002826A6">
        <w:t xml:space="preserve">the </w:t>
      </w:r>
      <w:r w:rsidR="00692F13">
        <w:t xml:space="preserve">NDIA and SA require </w:t>
      </w:r>
      <w:r w:rsidR="00F336FB">
        <w:t>a</w:t>
      </w:r>
      <w:r w:rsidR="00C33F09" w:rsidRPr="00F76FC2">
        <w:t>gency heads and Senior Executive Service (SES) employees to submit, at least annually, a written declaration of their own and their immediate family’s financial and other material personal interests.</w:t>
      </w:r>
    </w:p>
    <w:p w14:paraId="43B8CDBA" w14:textId="7127C7D3" w:rsidR="00480425" w:rsidRPr="00F76FC2" w:rsidRDefault="00ED5965" w:rsidP="00FF1E44">
      <w:r>
        <w:t>These requirements are</w:t>
      </w:r>
      <w:r w:rsidR="009D3B21" w:rsidRPr="0001641B">
        <w:t xml:space="preserve"> essential </w:t>
      </w:r>
      <w:r w:rsidR="009E79FA">
        <w:t>to ensure</w:t>
      </w:r>
      <w:r w:rsidR="009E79FA" w:rsidRPr="0001641B">
        <w:t xml:space="preserve"> </w:t>
      </w:r>
      <w:r w:rsidR="009D3B21" w:rsidRPr="0001641B">
        <w:t>ethical decision making</w:t>
      </w:r>
      <w:r w:rsidR="00480425" w:rsidRPr="0001641B">
        <w:t xml:space="preserve">, </w:t>
      </w:r>
      <w:r w:rsidR="00480425">
        <w:t>including</w:t>
      </w:r>
      <w:r w:rsidR="009D3B21" w:rsidRPr="0001641B">
        <w:t xml:space="preserve"> </w:t>
      </w:r>
      <w:r w:rsidR="009E79FA">
        <w:t xml:space="preserve">for </w:t>
      </w:r>
      <w:r w:rsidR="009D3B21" w:rsidRPr="0001641B">
        <w:t>procurement decisions.</w:t>
      </w:r>
    </w:p>
    <w:p w14:paraId="464ABA40" w14:textId="1E29DE2B" w:rsidR="009D3B21" w:rsidRDefault="00480425" w:rsidP="00FF1E44">
      <w:r>
        <w:t>B</w:t>
      </w:r>
      <w:r w:rsidR="000D3329">
        <w:t xml:space="preserve">oth </w:t>
      </w:r>
      <w:r w:rsidR="005D6076">
        <w:t>a</w:t>
      </w:r>
      <w:r w:rsidR="00B42AF2">
        <w:t>gencies</w:t>
      </w:r>
      <w:r>
        <w:t xml:space="preserve"> have policies and guidelines in place to ensure staff are aware of their obligations in relation to declaring, documenting and managing conflicts of interest in accordance with these requirements.</w:t>
      </w:r>
    </w:p>
    <w:p w14:paraId="3BD8020A" w14:textId="4941AFE1" w:rsidR="009D3B21" w:rsidRDefault="009D3B21" w:rsidP="00FF1E44">
      <w:r>
        <w:t xml:space="preserve">Additionally, NDIA and SA </w:t>
      </w:r>
      <w:r w:rsidR="00480425">
        <w:t>staff participating in a</w:t>
      </w:r>
      <w:r>
        <w:t xml:space="preserve"> procurement </w:t>
      </w:r>
      <w:r w:rsidR="00E12759">
        <w:t xml:space="preserve">process </w:t>
      </w:r>
      <w:r w:rsidR="000D3329">
        <w:t>are</w:t>
      </w:r>
      <w:r w:rsidR="00480425">
        <w:t xml:space="preserve"> also</w:t>
      </w:r>
      <w:r w:rsidR="000D3329">
        <w:t xml:space="preserve"> </w:t>
      </w:r>
      <w:r>
        <w:t>require</w:t>
      </w:r>
      <w:r w:rsidR="000D3329">
        <w:t>d</w:t>
      </w:r>
      <w:r w:rsidR="00755C95" w:rsidRPr="00843991">
        <w:t xml:space="preserve"> to declare</w:t>
      </w:r>
      <w:r w:rsidR="00480425">
        <w:t>,</w:t>
      </w:r>
      <w:r w:rsidR="000D3329">
        <w:t xml:space="preserve"> document </w:t>
      </w:r>
      <w:r w:rsidR="00480425">
        <w:t>and manage</w:t>
      </w:r>
      <w:r w:rsidR="00755C95" w:rsidRPr="00843991">
        <w:t xml:space="preserve"> actual</w:t>
      </w:r>
      <w:r w:rsidR="00E06534">
        <w:t>,</w:t>
      </w:r>
      <w:r w:rsidR="00755C95" w:rsidRPr="00843991">
        <w:t xml:space="preserve"> potential or perceived </w:t>
      </w:r>
      <w:r w:rsidR="00E06534">
        <w:t xml:space="preserve">conflicts of interest as part of </w:t>
      </w:r>
      <w:r w:rsidR="000D3329">
        <w:t xml:space="preserve">the </w:t>
      </w:r>
      <w:r w:rsidR="00E06534">
        <w:t xml:space="preserve">procurement </w:t>
      </w:r>
      <w:r w:rsidR="000D3329">
        <w:t>process</w:t>
      </w:r>
      <w:r w:rsidR="00755C95" w:rsidRPr="00843991">
        <w:t xml:space="preserve">. </w:t>
      </w:r>
      <w:r w:rsidR="00581C87">
        <w:t xml:space="preserve">SA requires that </w:t>
      </w:r>
      <w:r w:rsidR="00581C87" w:rsidRPr="00F51871">
        <w:t>separate conflict of interest declarations be made for any procurement over $10,000</w:t>
      </w:r>
      <w:r w:rsidR="0021568E" w:rsidRPr="00B930ED">
        <w:t>,</w:t>
      </w:r>
      <w:r w:rsidR="00581C87" w:rsidRPr="00B930ED">
        <w:t xml:space="preserve"> </w:t>
      </w:r>
      <w:r w:rsidR="0021568E" w:rsidRPr="00B930ED">
        <w:t>w</w:t>
      </w:r>
      <w:r w:rsidR="00E12759" w:rsidRPr="00B930ED">
        <w:t xml:space="preserve">hereas </w:t>
      </w:r>
      <w:r w:rsidR="00A31872">
        <w:t xml:space="preserve">the </w:t>
      </w:r>
      <w:r w:rsidR="00E12759" w:rsidRPr="00B930ED">
        <w:t>NDIA requires a separate conflict</w:t>
      </w:r>
      <w:r w:rsidR="00E12759">
        <w:t xml:space="preserve"> of interest declaration to be made for any procurement </w:t>
      </w:r>
      <w:r w:rsidR="00E12759" w:rsidRPr="00E12759">
        <w:t>above $1</w:t>
      </w:r>
      <w:r w:rsidR="00E12759">
        <w:t xml:space="preserve"> </w:t>
      </w:r>
      <w:r w:rsidR="00E12759" w:rsidRPr="00E12759">
        <w:t>m</w:t>
      </w:r>
      <w:r w:rsidR="00E12759">
        <w:t>illion,</w:t>
      </w:r>
      <w:r w:rsidR="00E12759" w:rsidRPr="00E12759">
        <w:t xml:space="preserve"> or when a procurement is deemed to be complex in nature.</w:t>
      </w:r>
      <w:r w:rsidR="00E12759">
        <w:t xml:space="preserve"> </w:t>
      </w:r>
      <w:r>
        <w:t>Th</w:t>
      </w:r>
      <w:r w:rsidR="00480425">
        <w:t xml:space="preserve">is ensures conflict of interest declarations are captured and current </w:t>
      </w:r>
      <w:r w:rsidR="003D24E0">
        <w:t xml:space="preserve">at the time </w:t>
      </w:r>
      <w:r w:rsidR="00480425">
        <w:t>a procurement is initiated.</w:t>
      </w:r>
    </w:p>
    <w:p w14:paraId="17AF5926" w14:textId="780522A0" w:rsidR="00ED5965" w:rsidRDefault="00480425" w:rsidP="00ED5965">
      <w:pPr>
        <w:rPr>
          <w:rFonts w:cs="Arial"/>
        </w:rPr>
      </w:pPr>
      <w:r w:rsidRPr="00B930ED">
        <w:t>De</w:t>
      </w:r>
      <w:r w:rsidR="009D3B21" w:rsidRPr="00B930ED">
        <w:t>spite th</w:t>
      </w:r>
      <w:r w:rsidRPr="00B930ED">
        <w:t>ese</w:t>
      </w:r>
      <w:r w:rsidR="009D3B21" w:rsidRPr="00B930ED">
        <w:t xml:space="preserve"> requirement</w:t>
      </w:r>
      <w:r w:rsidR="003D24E0" w:rsidRPr="00B930ED">
        <w:t>s</w:t>
      </w:r>
      <w:r w:rsidR="009D3B21" w:rsidRPr="00B930ED">
        <w:t xml:space="preserve">, </w:t>
      </w:r>
      <w:r w:rsidR="004760AD" w:rsidRPr="00B930ED">
        <w:t xml:space="preserve">around </w:t>
      </w:r>
      <w:r w:rsidR="009D3B21" w:rsidRPr="00B930ED">
        <w:t xml:space="preserve">half of the </w:t>
      </w:r>
      <w:r w:rsidR="002D6499" w:rsidRPr="00B930ED">
        <w:t xml:space="preserve">19 </w:t>
      </w:r>
      <w:r w:rsidR="009D3B21" w:rsidRPr="00B930ED">
        <w:t xml:space="preserve">procurements flagged </w:t>
      </w:r>
      <w:r w:rsidR="002D6499" w:rsidRPr="00B930ED">
        <w:t>by the Taskforce as requiring further investigation</w:t>
      </w:r>
      <w:r w:rsidR="002B1920" w:rsidRPr="00B930ED">
        <w:t xml:space="preserve"> </w:t>
      </w:r>
      <w:r w:rsidR="009D3B21" w:rsidRPr="00B930ED">
        <w:t xml:space="preserve">did not </w:t>
      </w:r>
      <w:r w:rsidRPr="00B930ED">
        <w:t>appropriately document</w:t>
      </w:r>
      <w:r w:rsidR="009D3B21" w:rsidRPr="00B930ED">
        <w:t xml:space="preserve"> </w:t>
      </w:r>
      <w:r w:rsidR="00E12759" w:rsidRPr="00B930ED">
        <w:t xml:space="preserve">or maintain records of </w:t>
      </w:r>
      <w:r w:rsidR="009D3B21" w:rsidRPr="00B930ED">
        <w:t>conflict</w:t>
      </w:r>
      <w:r w:rsidR="000028E6" w:rsidRPr="00B930ED">
        <w:t>s</w:t>
      </w:r>
      <w:r w:rsidR="009D3B21" w:rsidRPr="00B930ED">
        <w:t xml:space="preserve"> of </w:t>
      </w:r>
      <w:r w:rsidRPr="00B930ED">
        <w:t>interest</w:t>
      </w:r>
      <w:r w:rsidR="00EA17C7" w:rsidRPr="00B930ED">
        <w:t>.</w:t>
      </w:r>
      <w:r w:rsidR="009D3B21" w:rsidRPr="00B930ED">
        <w:t xml:space="preserve"> </w:t>
      </w:r>
      <w:r w:rsidR="00BA4C0D" w:rsidRPr="00B930ED">
        <w:t xml:space="preserve">These </w:t>
      </w:r>
      <w:r w:rsidR="00D77BA1" w:rsidRPr="00B930ED">
        <w:t>10</w:t>
      </w:r>
      <w:r w:rsidR="0066237D" w:rsidRPr="00B930ED">
        <w:t xml:space="preserve"> </w:t>
      </w:r>
      <w:r w:rsidR="00BA4C0D" w:rsidRPr="00B930ED">
        <w:t>procurements had a total value of approximately $2</w:t>
      </w:r>
      <w:r w:rsidR="00D77BA1" w:rsidRPr="00B930ED">
        <w:t>35</w:t>
      </w:r>
      <w:r w:rsidR="00BA4C0D" w:rsidRPr="00B930ED">
        <w:t xml:space="preserve"> million</w:t>
      </w:r>
      <w:r w:rsidR="00BA4C0D">
        <w:t xml:space="preserve">. </w:t>
      </w:r>
      <w:r w:rsidR="0079566C">
        <w:t xml:space="preserve">As a result, some conflicts of </w:t>
      </w:r>
      <w:r w:rsidR="00E12759">
        <w:t>interest</w:t>
      </w:r>
      <w:r w:rsidR="0079566C">
        <w:t xml:space="preserve"> in relation to procurements were not adequately managed by the NDIA and SA.</w:t>
      </w:r>
      <w:r w:rsidR="00513590">
        <w:t xml:space="preserve"> Over time, internal processes and procedures </w:t>
      </w:r>
      <w:r w:rsidR="00716ABE">
        <w:t>show improvement</w:t>
      </w:r>
      <w:r w:rsidR="00513590">
        <w:t>, as indicated in</w:t>
      </w:r>
      <w:r w:rsidR="00CA1990">
        <w:t xml:space="preserve"> the</w:t>
      </w:r>
      <w:r w:rsidR="00513590">
        <w:t xml:space="preserve"> documentation o</w:t>
      </w:r>
      <w:r w:rsidR="00CA1990">
        <w:t>f the procurements conducted more recently</w:t>
      </w:r>
      <w:r w:rsidR="00513590">
        <w:t xml:space="preserve">. </w:t>
      </w:r>
      <w:r w:rsidR="00565870">
        <w:t>However,</w:t>
      </w:r>
      <w:r w:rsidR="00EA17C7">
        <w:t xml:space="preserve"> </w:t>
      </w:r>
      <w:r w:rsidR="00565870">
        <w:t>t</w:t>
      </w:r>
      <w:r w:rsidR="00EA17C7">
        <w:t>here is still some way to go.</w:t>
      </w:r>
    </w:p>
    <w:p w14:paraId="55AAE6B7" w14:textId="1D953785" w:rsidR="00480425" w:rsidRDefault="00ED5965" w:rsidP="00FF1E44">
      <w:pPr>
        <w:rPr>
          <w:rFonts w:cs="Arial"/>
        </w:rPr>
      </w:pPr>
      <w:r w:rsidRPr="0084264D">
        <w:rPr>
          <w:rFonts w:cs="Arial"/>
        </w:rPr>
        <w:t xml:space="preserve">One way to help ensure conflicts of interest are better managed is to require all staff </w:t>
      </w:r>
      <w:r w:rsidR="00631BAC">
        <w:rPr>
          <w:rFonts w:cs="Arial"/>
        </w:rPr>
        <w:t>involved</w:t>
      </w:r>
      <w:r w:rsidR="00631BAC" w:rsidRPr="0084264D">
        <w:rPr>
          <w:rFonts w:cs="Arial"/>
        </w:rPr>
        <w:t xml:space="preserve"> </w:t>
      </w:r>
      <w:r w:rsidRPr="0084264D">
        <w:rPr>
          <w:rFonts w:cs="Arial"/>
        </w:rPr>
        <w:t xml:space="preserve">in a procurement process to explicitly declare conflicts at the start of the process, and to update them for any change during the process. This </w:t>
      </w:r>
      <w:r w:rsidR="00631BAC">
        <w:rPr>
          <w:rFonts w:cs="Arial"/>
        </w:rPr>
        <w:t xml:space="preserve">should help </w:t>
      </w:r>
      <w:r>
        <w:rPr>
          <w:rFonts w:cs="Arial"/>
        </w:rPr>
        <w:t xml:space="preserve">bring home the requirement in a way that the current requirements do not, and </w:t>
      </w:r>
      <w:r w:rsidRPr="0084264D">
        <w:rPr>
          <w:rFonts w:cs="Arial"/>
        </w:rPr>
        <w:t>is a</w:t>
      </w:r>
      <w:r>
        <w:rPr>
          <w:rFonts w:cs="Arial"/>
        </w:rPr>
        <w:t xml:space="preserve"> very</w:t>
      </w:r>
      <w:r w:rsidRPr="0084264D">
        <w:rPr>
          <w:rFonts w:cs="Arial"/>
        </w:rPr>
        <w:t xml:space="preserve"> useful way to fo</w:t>
      </w:r>
      <w:r>
        <w:rPr>
          <w:rFonts w:cs="Arial"/>
        </w:rPr>
        <w:t>cus participant</w:t>
      </w:r>
      <w:r w:rsidRPr="0084264D">
        <w:rPr>
          <w:rFonts w:cs="Arial"/>
        </w:rPr>
        <w:t>s</w:t>
      </w:r>
      <w:r>
        <w:rPr>
          <w:rFonts w:cs="Arial"/>
        </w:rPr>
        <w:t>’</w:t>
      </w:r>
      <w:r w:rsidRPr="0084264D">
        <w:rPr>
          <w:rFonts w:cs="Arial"/>
        </w:rPr>
        <w:t xml:space="preserve"> minds on the subject.</w:t>
      </w:r>
    </w:p>
    <w:p w14:paraId="5A244FC4" w14:textId="77777777" w:rsidR="001536C2" w:rsidRDefault="001536C2" w:rsidP="001536C2">
      <w:pPr>
        <w:pStyle w:val="Recommendationheading"/>
      </w:pPr>
      <w:r>
        <w:t>Recommendation 4</w:t>
      </w:r>
    </w:p>
    <w:tbl>
      <w:tblPr>
        <w:tblStyle w:val="TableGrid"/>
        <w:tblpPr w:leftFromText="181" w:rightFromText="181" w:bottomFromText="284" w:vertAnchor="text" w:tblpY="1"/>
        <w:tblOverlap w:val="never"/>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A82"/>
        <w:tblCellMar>
          <w:top w:w="142" w:type="dxa"/>
          <w:left w:w="142" w:type="dxa"/>
          <w:right w:w="142" w:type="dxa"/>
        </w:tblCellMar>
        <w:tblLook w:val="0500" w:firstRow="0" w:lastRow="0" w:firstColumn="0" w:lastColumn="1" w:noHBand="0" w:noVBand="1"/>
        <w:tblCaption w:val="Recommendation 4"/>
        <w:tblDescription w:val="The NDIA and SA require all staff involved in a procurement process to declare any conflict of interest – actual, potential or perceived – at the start of the process, to update it as necessary during the procurement, and that the declaration be recorded and retained as an important part of tender documentation."/>
      </w:tblPr>
      <w:tblGrid>
        <w:gridCol w:w="8197"/>
        <w:gridCol w:w="929"/>
      </w:tblGrid>
      <w:tr w:rsidR="001536C2" w14:paraId="64E61EAE" w14:textId="77777777" w:rsidTr="00EE788C">
        <w:trPr>
          <w:trHeight w:val="574"/>
          <w:tblHeader/>
        </w:trPr>
        <w:tc>
          <w:tcPr>
            <w:tcW w:w="8197" w:type="dxa"/>
            <w:shd w:val="clear" w:color="auto" w:fill="004A82"/>
          </w:tcPr>
          <w:p w14:paraId="3E1505F8" w14:textId="52B5764C" w:rsidR="001536C2" w:rsidRPr="005D3339" w:rsidRDefault="001536C2" w:rsidP="00C33977">
            <w:pPr>
              <w:pStyle w:val="Definitiontableparagraph"/>
              <w:rPr>
                <w:i/>
              </w:rPr>
            </w:pPr>
            <w:r w:rsidRPr="00B462D5">
              <w:t>The NDIA and SA require all staff involved in a procurement process to declare</w:t>
            </w:r>
            <w:r>
              <w:t> </w:t>
            </w:r>
            <w:r w:rsidRPr="00B462D5">
              <w:t>any conflict of interest – actual, potential or perceived – at the start</w:t>
            </w:r>
            <w:r>
              <w:t xml:space="preserve"> </w:t>
            </w:r>
            <w:r w:rsidRPr="00B462D5">
              <w:t>of</w:t>
            </w:r>
            <w:r>
              <w:t> </w:t>
            </w:r>
            <w:r w:rsidRPr="00B462D5">
              <w:t>the</w:t>
            </w:r>
            <w:r>
              <w:t> </w:t>
            </w:r>
            <w:r w:rsidRPr="00B462D5">
              <w:t>process,</w:t>
            </w:r>
            <w:r>
              <w:t xml:space="preserve"> to update it as necessary during the procurement,</w:t>
            </w:r>
            <w:r w:rsidRPr="00B462D5">
              <w:t xml:space="preserve"> and tha</w:t>
            </w:r>
            <w:r>
              <w:t>t the </w:t>
            </w:r>
            <w:r w:rsidRPr="00B462D5">
              <w:t xml:space="preserve">declaration be recorded </w:t>
            </w:r>
            <w:r>
              <w:t xml:space="preserve">and retained </w:t>
            </w:r>
            <w:r w:rsidRPr="00B462D5">
              <w:t>as an important part of</w:t>
            </w:r>
            <w:r>
              <w:t xml:space="preserve"> </w:t>
            </w:r>
            <w:r w:rsidRPr="00B462D5">
              <w:t>tender</w:t>
            </w:r>
            <w:r>
              <w:t> </w:t>
            </w:r>
            <w:r w:rsidRPr="00B462D5">
              <w:t>documentation.</w:t>
            </w:r>
          </w:p>
        </w:tc>
        <w:tc>
          <w:tcPr>
            <w:tcW w:w="929" w:type="dxa"/>
            <w:shd w:val="clear" w:color="auto" w:fill="004A82"/>
          </w:tcPr>
          <w:p w14:paraId="4792C6EC" w14:textId="77777777" w:rsidR="001536C2" w:rsidRPr="005D3339" w:rsidRDefault="001536C2" w:rsidP="00C33977">
            <w:pPr>
              <w:rPr>
                <w:b/>
              </w:rPr>
            </w:pPr>
            <w:r>
              <w:rPr>
                <w:noProof/>
                <w:lang w:eastAsia="en-AU"/>
              </w:rPr>
              <w:drawing>
                <wp:inline distT="0" distB="0" distL="0" distR="0" wp14:anchorId="6B33D5F8" wp14:editId="3EA4865A">
                  <wp:extent cx="368496" cy="366947"/>
                  <wp:effectExtent l="0" t="0" r="0" b="0"/>
                  <wp:docPr id="27" name="Picture 27" descr="Decorative image indicating that this section is about a particluar recommendation."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Announcem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496" cy="366947"/>
                          </a:xfrm>
                          <a:prstGeom prst="rect">
                            <a:avLst/>
                          </a:prstGeom>
                        </pic:spPr>
                      </pic:pic>
                    </a:graphicData>
                  </a:graphic>
                </wp:inline>
              </w:drawing>
            </w:r>
          </w:p>
        </w:tc>
      </w:tr>
    </w:tbl>
    <w:p w14:paraId="37890380" w14:textId="77777777" w:rsidR="0045616D" w:rsidRDefault="0045616D" w:rsidP="00FF1E44">
      <w:pPr>
        <w:pStyle w:val="Heading2"/>
      </w:pPr>
      <w:r w:rsidRPr="00153766">
        <w:lastRenderedPageBreak/>
        <w:t>Procurement: Decision Making</w:t>
      </w:r>
    </w:p>
    <w:p w14:paraId="1E5806D7" w14:textId="4D6D5B15" w:rsidR="006D0931" w:rsidRPr="00843991" w:rsidRDefault="00E12759" w:rsidP="00FF1E44">
      <w:pPr>
        <w:pStyle w:val="Heading3"/>
      </w:pPr>
      <w:r>
        <w:t>Approvals</w:t>
      </w:r>
    </w:p>
    <w:p w14:paraId="2F11E94A" w14:textId="66978D48" w:rsidR="009E096B" w:rsidRPr="00153766" w:rsidRDefault="009E096B" w:rsidP="00FF1E44">
      <w:r w:rsidRPr="00153766">
        <w:t xml:space="preserve">The </w:t>
      </w:r>
      <w:r w:rsidR="00E12759">
        <w:t>approval/</w:t>
      </w:r>
      <w:r w:rsidRPr="00153766">
        <w:t xml:space="preserve">sign off </w:t>
      </w:r>
      <w:r>
        <w:t xml:space="preserve">by both the </w:t>
      </w:r>
      <w:r w:rsidR="00C15B1F">
        <w:t xml:space="preserve">evaluation </w:t>
      </w:r>
      <w:r>
        <w:t xml:space="preserve">panel chair and financial delegate </w:t>
      </w:r>
      <w:r w:rsidRPr="00153766">
        <w:t xml:space="preserve">is an important part of the process because it sets the accountability for the decision and </w:t>
      </w:r>
      <w:r>
        <w:t xml:space="preserve">outlines </w:t>
      </w:r>
      <w:r w:rsidRPr="00153766">
        <w:t>the factors that went into it</w:t>
      </w:r>
      <w:r>
        <w:t xml:space="preserve"> (the </w:t>
      </w:r>
      <w:r w:rsidR="00E12759">
        <w:t>‘</w:t>
      </w:r>
      <w:r>
        <w:t>who</w:t>
      </w:r>
      <w:r w:rsidR="00E12759">
        <w:t>’</w:t>
      </w:r>
      <w:r>
        <w:t xml:space="preserve"> and the </w:t>
      </w:r>
      <w:r w:rsidR="00E12759">
        <w:t>‘</w:t>
      </w:r>
      <w:r>
        <w:t>why</w:t>
      </w:r>
      <w:r w:rsidR="00E12759">
        <w:t>’</w:t>
      </w:r>
      <w:r>
        <w:t xml:space="preserve">). This enables an external party (for example, as part of a review or </w:t>
      </w:r>
      <w:r w:rsidR="00ED5965">
        <w:t xml:space="preserve">an </w:t>
      </w:r>
      <w:r>
        <w:t xml:space="preserve">audit) to </w:t>
      </w:r>
      <w:r w:rsidR="002E614B">
        <w:t xml:space="preserve">better </w:t>
      </w:r>
      <w:r>
        <w:t>understand how and why the decision was made.</w:t>
      </w:r>
      <w:r w:rsidRPr="00153766">
        <w:t xml:space="preserve"> Without </w:t>
      </w:r>
      <w:r>
        <w:t xml:space="preserve">this </w:t>
      </w:r>
      <w:r w:rsidRPr="003736F9">
        <w:t>clarity</w:t>
      </w:r>
      <w:r>
        <w:t xml:space="preserve">, </w:t>
      </w:r>
      <w:r w:rsidRPr="00153766">
        <w:t>accountability is weakened</w:t>
      </w:r>
      <w:r w:rsidR="00ED5965">
        <w:t>, perhaps substantially</w:t>
      </w:r>
      <w:r w:rsidRPr="00153766">
        <w:t>.</w:t>
      </w:r>
    </w:p>
    <w:p w14:paraId="320B2891" w14:textId="780E56CC" w:rsidR="0045616D" w:rsidRPr="00153766" w:rsidRDefault="0045616D" w:rsidP="00FF1E44">
      <w:r w:rsidRPr="00153766">
        <w:t xml:space="preserve">Both </w:t>
      </w:r>
      <w:r w:rsidR="00A47E2F">
        <w:t>a</w:t>
      </w:r>
      <w:r w:rsidRPr="00153766">
        <w:t>gencies require sign offs that the procurement is value for money, and an indication of the rea</w:t>
      </w:r>
      <w:r w:rsidR="00F46F65" w:rsidRPr="00153766">
        <w:t xml:space="preserve">sons for the choice of </w:t>
      </w:r>
      <w:r w:rsidR="0000161A">
        <w:t>supplier</w:t>
      </w:r>
      <w:r w:rsidRPr="00153766">
        <w:t xml:space="preserve">. However, </w:t>
      </w:r>
      <w:r w:rsidR="002E614B">
        <w:t xml:space="preserve">the </w:t>
      </w:r>
      <w:r w:rsidR="007A57C1">
        <w:t xml:space="preserve">procurement documentation that </w:t>
      </w:r>
      <w:r w:rsidR="00306C8B">
        <w:t xml:space="preserve">supports delegate decisions </w:t>
      </w:r>
      <w:r w:rsidR="00F46F65" w:rsidRPr="00153766">
        <w:t>var</w:t>
      </w:r>
      <w:r w:rsidR="007A57C1">
        <w:t>ies</w:t>
      </w:r>
      <w:r w:rsidRPr="00153766">
        <w:t xml:space="preserve"> in form and content, and some </w:t>
      </w:r>
      <w:r w:rsidR="00ED5965">
        <w:t>is</w:t>
      </w:r>
      <w:r w:rsidR="00ED5965" w:rsidRPr="00153766">
        <w:t xml:space="preserve"> </w:t>
      </w:r>
      <w:r w:rsidR="00F46F65" w:rsidRPr="00153766">
        <w:t>limited in specifying the factors considered in</w:t>
      </w:r>
      <w:r w:rsidRPr="00153766">
        <w:t xml:space="preserve"> value for money assessment</w:t>
      </w:r>
      <w:r w:rsidR="00FA5A19">
        <w:t>.</w:t>
      </w:r>
      <w:r w:rsidRPr="00153766">
        <w:t xml:space="preserve"> </w:t>
      </w:r>
      <w:r w:rsidR="00716ABE">
        <w:t>T</w:t>
      </w:r>
      <w:r w:rsidR="00716ABE" w:rsidRPr="00716ABE">
        <w:t xml:space="preserve">he </w:t>
      </w:r>
      <w:r w:rsidR="00D7456F">
        <w:t xml:space="preserve">Taskforce </w:t>
      </w:r>
      <w:r w:rsidR="00716ABE" w:rsidRPr="00716ABE">
        <w:t>found</w:t>
      </w:r>
      <w:r w:rsidR="00D7456F">
        <w:t xml:space="preserve"> that</w:t>
      </w:r>
      <w:r w:rsidR="00716ABE" w:rsidRPr="00716ABE">
        <w:t xml:space="preserve"> value for money justifications were </w:t>
      </w:r>
      <w:r w:rsidR="00ED5965">
        <w:t>occasionally</w:t>
      </w:r>
      <w:r w:rsidR="001B42CB">
        <w:t xml:space="preserve"> </w:t>
      </w:r>
      <w:r w:rsidR="00073B31">
        <w:t>perfunctory</w:t>
      </w:r>
      <w:r w:rsidR="001B42CB">
        <w:t xml:space="preserve"> and</w:t>
      </w:r>
      <w:r w:rsidR="00ED5965">
        <w:t xml:space="preserve"> </w:t>
      </w:r>
      <w:r w:rsidR="00810A4C">
        <w:t>sometimes</w:t>
      </w:r>
      <w:r w:rsidR="00716ABE" w:rsidRPr="00716ABE">
        <w:t xml:space="preserve"> lacking in detail around fitness for purpose, a potential supplier</w:t>
      </w:r>
      <w:r w:rsidR="00A338DB">
        <w:t>’</w:t>
      </w:r>
      <w:r w:rsidR="00716ABE" w:rsidRPr="00716ABE">
        <w:t>s relevant experience and whole of life costs.</w:t>
      </w:r>
    </w:p>
    <w:p w14:paraId="22F7DC7E" w14:textId="3BA86AA6" w:rsidR="00A47E2F" w:rsidRDefault="00A47E2F" w:rsidP="00FF1E44">
      <w:r>
        <w:t>T</w:t>
      </w:r>
      <w:r w:rsidR="004F1758" w:rsidRPr="00153766">
        <w:t xml:space="preserve">he </w:t>
      </w:r>
      <w:r>
        <w:t>a</w:t>
      </w:r>
      <w:r w:rsidR="004F1758" w:rsidRPr="00153766">
        <w:t xml:space="preserve">gencies would benefit from </w:t>
      </w:r>
      <w:r w:rsidR="00551AE2" w:rsidRPr="00153766">
        <w:t>reviewing their</w:t>
      </w:r>
      <w:r w:rsidR="004F1758" w:rsidRPr="00153766">
        <w:t xml:space="preserve"> procurement </w:t>
      </w:r>
      <w:r w:rsidR="00306C8B">
        <w:t xml:space="preserve">templates </w:t>
      </w:r>
      <w:r w:rsidR="004F1758" w:rsidRPr="00153766">
        <w:t xml:space="preserve">to ensure that they </w:t>
      </w:r>
      <w:r w:rsidR="00852B0D">
        <w:t xml:space="preserve">are clear and </w:t>
      </w:r>
      <w:r w:rsidR="00881D64">
        <w:t>unambiguous</w:t>
      </w:r>
      <w:r w:rsidR="00603619">
        <w:t>, and</w:t>
      </w:r>
      <w:r w:rsidR="00306C8B">
        <w:t xml:space="preserve"> </w:t>
      </w:r>
      <w:r w:rsidR="00852B0D">
        <w:t xml:space="preserve">that they </w:t>
      </w:r>
      <w:r w:rsidR="004F1758" w:rsidRPr="00153766">
        <w:t>require</w:t>
      </w:r>
      <w:r w:rsidR="00852B0D">
        <w:t xml:space="preserve"> </w:t>
      </w:r>
      <w:r w:rsidR="00551AE2" w:rsidRPr="00153766">
        <w:t xml:space="preserve">all factors </w:t>
      </w:r>
      <w:proofErr w:type="gramStart"/>
      <w:r w:rsidR="00551AE2" w:rsidRPr="00153766">
        <w:t>taken into account</w:t>
      </w:r>
      <w:proofErr w:type="gramEnd"/>
      <w:r w:rsidR="00386BC5" w:rsidRPr="00153766">
        <w:t xml:space="preserve"> in</w:t>
      </w:r>
      <w:r w:rsidR="00202D08">
        <w:t xml:space="preserve"> assessing value for money and</w:t>
      </w:r>
      <w:r w:rsidR="00386BC5" w:rsidRPr="00153766">
        <w:t xml:space="preserve"> the tender decision </w:t>
      </w:r>
      <w:r w:rsidR="00852B0D">
        <w:t>to be</w:t>
      </w:r>
      <w:r w:rsidR="00386BC5" w:rsidRPr="00153766">
        <w:t xml:space="preserve"> clearly </w:t>
      </w:r>
      <w:r w:rsidR="00F46F65" w:rsidRPr="00153766">
        <w:t>specified</w:t>
      </w:r>
      <w:r w:rsidR="00386BC5" w:rsidRPr="00153766">
        <w:t>.</w:t>
      </w:r>
      <w:r w:rsidR="00126C74">
        <w:t xml:space="preserve"> These factors may include g</w:t>
      </w:r>
      <w:r w:rsidR="00881D64">
        <w:t>overnment policy and any stakeholder views received during the process</w:t>
      </w:r>
      <w:r w:rsidR="005A3969">
        <w:t xml:space="preserve"> that were taken into account in the decision</w:t>
      </w:r>
      <w:r w:rsidR="00881D64">
        <w:t>.</w:t>
      </w:r>
    </w:p>
    <w:p w14:paraId="21CECC24" w14:textId="2662B309" w:rsidR="004F1758" w:rsidRDefault="00386BC5" w:rsidP="00FF1E44">
      <w:r w:rsidRPr="00153766">
        <w:t xml:space="preserve">That </w:t>
      </w:r>
      <w:r w:rsidR="00B2779D">
        <w:t>should</w:t>
      </w:r>
      <w:r w:rsidR="00B2779D" w:rsidRPr="00153766">
        <w:t xml:space="preserve"> </w:t>
      </w:r>
      <w:r w:rsidR="005F61CA">
        <w:t xml:space="preserve">also </w:t>
      </w:r>
      <w:r w:rsidRPr="00153766">
        <w:t>help</w:t>
      </w:r>
      <w:r w:rsidR="00B2779D">
        <w:t xml:space="preserve"> more clearly</w:t>
      </w:r>
      <w:r w:rsidRPr="00153766">
        <w:t xml:space="preserve"> focus the </w:t>
      </w:r>
      <w:r w:rsidR="00C15B1F">
        <w:t xml:space="preserve">procurement </w:t>
      </w:r>
      <w:r w:rsidR="00202D08">
        <w:t xml:space="preserve">team </w:t>
      </w:r>
      <w:r w:rsidR="00C15B1F">
        <w:t>officials</w:t>
      </w:r>
      <w:r w:rsidR="00C15B1F" w:rsidRPr="00153766">
        <w:t xml:space="preserve"> </w:t>
      </w:r>
      <w:r w:rsidRPr="00153766">
        <w:t>and the decision maker on the</w:t>
      </w:r>
      <w:r w:rsidR="00881D64">
        <w:t>ir</w:t>
      </w:r>
      <w:r w:rsidRPr="00153766">
        <w:t xml:space="preserve"> </w:t>
      </w:r>
      <w:r w:rsidR="00B2779D">
        <w:t>obligations and responsibilities</w:t>
      </w:r>
      <w:r w:rsidRPr="00153766">
        <w:t>.</w:t>
      </w:r>
    </w:p>
    <w:p w14:paraId="792541F8" w14:textId="77777777" w:rsidR="00863E35" w:rsidRDefault="00863E35" w:rsidP="00863E35">
      <w:pPr>
        <w:pStyle w:val="Recommendationheading"/>
      </w:pPr>
      <w:r>
        <w:t>Recommendation 5</w:t>
      </w:r>
    </w:p>
    <w:tbl>
      <w:tblPr>
        <w:tblStyle w:val="TableGrid"/>
        <w:tblpPr w:leftFromText="181" w:rightFromText="181" w:bottomFromText="284" w:vertAnchor="text" w:tblpY="1"/>
        <w:tblOverlap w:val="never"/>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A82"/>
        <w:tblCellMar>
          <w:top w:w="142" w:type="dxa"/>
          <w:left w:w="142" w:type="dxa"/>
          <w:right w:w="142" w:type="dxa"/>
        </w:tblCellMar>
        <w:tblLook w:val="0500" w:firstRow="0" w:lastRow="0" w:firstColumn="0" w:lastColumn="1" w:noHBand="0" w:noVBand="1"/>
        <w:tblCaption w:val="Recommendation 5"/>
        <w:tblDescription w:val="The NDIA and SA review and, as necessary, modify their procurement approval templates to ensure they provide clarity as to the factors that are taken into account in determining value for money and the preferred tenderer, and are clear about the obligations of the signatories."/>
      </w:tblPr>
      <w:tblGrid>
        <w:gridCol w:w="8197"/>
        <w:gridCol w:w="929"/>
      </w:tblGrid>
      <w:tr w:rsidR="00863E35" w14:paraId="4DE61C54" w14:textId="77777777" w:rsidTr="00EE788C">
        <w:trPr>
          <w:trHeight w:val="574"/>
          <w:tblHeader/>
        </w:trPr>
        <w:tc>
          <w:tcPr>
            <w:tcW w:w="8197" w:type="dxa"/>
            <w:shd w:val="clear" w:color="auto" w:fill="004A82"/>
          </w:tcPr>
          <w:p w14:paraId="2560BFBB" w14:textId="77777777" w:rsidR="00863E35" w:rsidRPr="005D3339" w:rsidRDefault="00863E35" w:rsidP="00C33977">
            <w:pPr>
              <w:pStyle w:val="Definitiontableparagraph"/>
              <w:rPr>
                <w:i/>
              </w:rPr>
            </w:pPr>
            <w:r w:rsidRPr="00B462D5">
              <w:t>The NDIA and SA review and, as necessary, modify their procurement approval templates to ensure they provide clarity as to the factors that are taken into account in determining value for money</w:t>
            </w:r>
            <w:r>
              <w:t xml:space="preserve"> and the preferred tenderer</w:t>
            </w:r>
            <w:r w:rsidRPr="00B462D5">
              <w:t>, and are clear about the obligations of the signatories.</w:t>
            </w:r>
          </w:p>
        </w:tc>
        <w:tc>
          <w:tcPr>
            <w:tcW w:w="929" w:type="dxa"/>
            <w:shd w:val="clear" w:color="auto" w:fill="004A82"/>
          </w:tcPr>
          <w:p w14:paraId="0BA82D7F" w14:textId="77777777" w:rsidR="00863E35" w:rsidRPr="005D3339" w:rsidRDefault="00863E35" w:rsidP="00C33977">
            <w:pPr>
              <w:rPr>
                <w:b/>
              </w:rPr>
            </w:pPr>
            <w:r>
              <w:rPr>
                <w:noProof/>
                <w:lang w:eastAsia="en-AU"/>
              </w:rPr>
              <w:drawing>
                <wp:inline distT="0" distB="0" distL="0" distR="0" wp14:anchorId="0FD9AF64" wp14:editId="2D2A3FE2">
                  <wp:extent cx="368496" cy="366947"/>
                  <wp:effectExtent l="0" t="0" r="0" b="0"/>
                  <wp:docPr id="28" name="Picture 28" descr="Decorative image indicating that this section is about a particluar recommendation."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Announcem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496" cy="366947"/>
                          </a:xfrm>
                          <a:prstGeom prst="rect">
                            <a:avLst/>
                          </a:prstGeom>
                        </pic:spPr>
                      </pic:pic>
                    </a:graphicData>
                  </a:graphic>
                </wp:inline>
              </w:drawing>
            </w:r>
          </w:p>
        </w:tc>
      </w:tr>
    </w:tbl>
    <w:p w14:paraId="376A81D2" w14:textId="067A7021" w:rsidR="006D0931" w:rsidRPr="00843991" w:rsidRDefault="002B6005" w:rsidP="00FF1E44">
      <w:pPr>
        <w:pStyle w:val="Heading3"/>
      </w:pPr>
      <w:r>
        <w:t>Probity</w:t>
      </w:r>
      <w:r w:rsidR="006D0931">
        <w:t xml:space="preserve"> and </w:t>
      </w:r>
      <w:r>
        <w:t>l</w:t>
      </w:r>
      <w:r w:rsidR="006D0931" w:rsidRPr="00044E64">
        <w:t>eg</w:t>
      </w:r>
      <w:r w:rsidR="006D0931">
        <w:t xml:space="preserve">al </w:t>
      </w:r>
      <w:r w:rsidR="00202D08">
        <w:t xml:space="preserve">and ‘industry’ </w:t>
      </w:r>
      <w:r w:rsidR="006D0931">
        <w:t>advice</w:t>
      </w:r>
    </w:p>
    <w:p w14:paraId="5547E9CD" w14:textId="5924C7EB" w:rsidR="0052446C" w:rsidRDefault="0052446C" w:rsidP="00FF1E44">
      <w:r>
        <w:t xml:space="preserve">To </w:t>
      </w:r>
      <w:r w:rsidR="00F7130D" w:rsidRPr="00F7130D">
        <w:t>ensur</w:t>
      </w:r>
      <w:r>
        <w:t>e</w:t>
      </w:r>
      <w:r w:rsidR="00F7130D" w:rsidRPr="00F7130D">
        <w:t xml:space="preserve"> the defensibility, transparency and</w:t>
      </w:r>
      <w:r>
        <w:t xml:space="preserve"> </w:t>
      </w:r>
      <w:r w:rsidR="00F7130D" w:rsidRPr="00F7130D">
        <w:t xml:space="preserve">success of </w:t>
      </w:r>
      <w:r w:rsidR="0008430F">
        <w:t>procurement</w:t>
      </w:r>
      <w:r w:rsidR="008054EA">
        <w:t xml:space="preserve"> processes</w:t>
      </w:r>
      <w:r>
        <w:t xml:space="preserve">, </w:t>
      </w:r>
      <w:r w:rsidR="00B2779D">
        <w:t xml:space="preserve">appropriate </w:t>
      </w:r>
      <w:r w:rsidR="001C2DFC">
        <w:t xml:space="preserve">probity and legal </w:t>
      </w:r>
      <w:r w:rsidR="00B2779D">
        <w:t xml:space="preserve">support is </w:t>
      </w:r>
      <w:r w:rsidR="00921AF0">
        <w:t>necessary</w:t>
      </w:r>
      <w:r w:rsidR="00F7130D" w:rsidRPr="00F7130D">
        <w:t>.</w:t>
      </w:r>
    </w:p>
    <w:p w14:paraId="06332E42" w14:textId="1A67DC59" w:rsidR="00010ABB" w:rsidRPr="00153766" w:rsidRDefault="007C4353" w:rsidP="00FF1E44">
      <w:r w:rsidRPr="007C4353">
        <w:t>Many</w:t>
      </w:r>
      <w:r w:rsidR="00010ABB" w:rsidRPr="007C4353">
        <w:t xml:space="preserve"> of the procurements </w:t>
      </w:r>
      <w:r w:rsidR="00551AE2" w:rsidRPr="007C4353">
        <w:t>reviewed</w:t>
      </w:r>
      <w:r w:rsidR="00202D08">
        <w:t xml:space="preserve"> by the Taskforce</w:t>
      </w:r>
      <w:r w:rsidR="00C114DC" w:rsidRPr="007C4353">
        <w:t xml:space="preserve"> included</w:t>
      </w:r>
      <w:r w:rsidR="00CB0BE2" w:rsidRPr="007C4353">
        <w:t xml:space="preserve"> </w:t>
      </w:r>
      <w:r w:rsidR="00407F13" w:rsidRPr="007C4353">
        <w:t xml:space="preserve">probity and </w:t>
      </w:r>
      <w:r w:rsidR="00CB0BE2" w:rsidRPr="007C4353">
        <w:t xml:space="preserve">legal </w:t>
      </w:r>
      <w:r w:rsidR="00762DF1" w:rsidRPr="007C4353">
        <w:t xml:space="preserve">process </w:t>
      </w:r>
      <w:r w:rsidR="00EF5017" w:rsidRPr="007C4353">
        <w:t xml:space="preserve">advice </w:t>
      </w:r>
      <w:r w:rsidR="00C114DC" w:rsidRPr="007C4353">
        <w:t>to at least some</w:t>
      </w:r>
      <w:r w:rsidR="00CB0BE2" w:rsidRPr="007C4353">
        <w:t xml:space="preserve"> degree, although </w:t>
      </w:r>
      <w:r w:rsidR="00762DF1" w:rsidRPr="007C4353">
        <w:t>it has</w:t>
      </w:r>
      <w:r w:rsidR="00A47E2F" w:rsidRPr="007C4353">
        <w:t xml:space="preserve"> </w:t>
      </w:r>
      <w:r w:rsidR="00762DF1" w:rsidRPr="007C4353">
        <w:t>n</w:t>
      </w:r>
      <w:r w:rsidR="00A47E2F" w:rsidRPr="007C4353">
        <w:t>o</w:t>
      </w:r>
      <w:r w:rsidR="00762DF1" w:rsidRPr="007C4353">
        <w:t>t</w:t>
      </w:r>
      <w:r w:rsidR="00CB0BE2" w:rsidRPr="007C4353">
        <w:t xml:space="preserve"> </w:t>
      </w:r>
      <w:r w:rsidR="00762DF1" w:rsidRPr="007C4353">
        <w:t xml:space="preserve">been </w:t>
      </w:r>
      <w:r w:rsidR="00CB0BE2" w:rsidRPr="007C4353">
        <w:t>eas</w:t>
      </w:r>
      <w:r w:rsidR="00DC3D58" w:rsidRPr="007C4353">
        <w:t>y</w:t>
      </w:r>
      <w:r w:rsidR="00CB0BE2" w:rsidRPr="007C4353">
        <w:t xml:space="preserve"> to asses</w:t>
      </w:r>
      <w:r w:rsidR="00DC3D58" w:rsidRPr="007C4353">
        <w:t>s</w:t>
      </w:r>
      <w:r w:rsidR="00CB0BE2" w:rsidRPr="007C4353">
        <w:t xml:space="preserve"> </w:t>
      </w:r>
      <w:r w:rsidR="00762DF1" w:rsidRPr="007C4353">
        <w:t xml:space="preserve">the extent of </w:t>
      </w:r>
      <w:r w:rsidR="00B2779D">
        <w:t>it</w:t>
      </w:r>
      <w:r w:rsidR="00762DF1" w:rsidRPr="007C4353">
        <w:t xml:space="preserve">. </w:t>
      </w:r>
      <w:r w:rsidRPr="00F51871">
        <w:t>Eleven</w:t>
      </w:r>
      <w:r w:rsidR="00921AF0" w:rsidRPr="00F51871">
        <w:t xml:space="preserve"> (58 per cent</w:t>
      </w:r>
      <w:r w:rsidR="00B2779D" w:rsidRPr="00F51871">
        <w:t>)</w:t>
      </w:r>
      <w:r w:rsidRPr="00F51871">
        <w:t xml:space="preserve"> of the 19 procurements</w:t>
      </w:r>
      <w:r w:rsidRPr="007C4353">
        <w:t xml:space="preserve"> flagged for further investigation had probity or legal process advice in place</w:t>
      </w:r>
      <w:r w:rsidR="00202D08">
        <w:t xml:space="preserve"> </w:t>
      </w:r>
      <w:r w:rsidR="00202D08" w:rsidRPr="00F51871">
        <w:t>(approximately $</w:t>
      </w:r>
      <w:r w:rsidR="002B0EAE" w:rsidRPr="00F51871">
        <w:t>3</w:t>
      </w:r>
      <w:r w:rsidR="002B0EAE" w:rsidRPr="00B930ED">
        <w:t>41</w:t>
      </w:r>
      <w:r w:rsidR="002B0EAE" w:rsidRPr="00F51871">
        <w:t xml:space="preserve"> </w:t>
      </w:r>
      <w:r w:rsidR="00202D08" w:rsidRPr="00F51871">
        <w:t>million</w:t>
      </w:r>
      <w:r w:rsidR="009D0841" w:rsidRPr="00F51871">
        <w:t xml:space="preserve"> in value</w:t>
      </w:r>
      <w:r w:rsidR="00202D08" w:rsidRPr="00F51871">
        <w:t>)</w:t>
      </w:r>
      <w:r w:rsidR="008C4588" w:rsidRPr="00F51871">
        <w:t xml:space="preserve">, although </w:t>
      </w:r>
      <w:r w:rsidR="00DC2CAB">
        <w:t>eight</w:t>
      </w:r>
      <w:r w:rsidR="009D0841" w:rsidRPr="00B930ED">
        <w:t> </w:t>
      </w:r>
      <w:r w:rsidR="005F66F2" w:rsidRPr="00B930ED">
        <w:t>procurements</w:t>
      </w:r>
      <w:r w:rsidR="002B0EAE" w:rsidRPr="00B930ED">
        <w:t xml:space="preserve"> (42 per cent)</w:t>
      </w:r>
      <w:r w:rsidR="005F66F2" w:rsidRPr="00B930ED">
        <w:t>, with an approximate value of $33 million,</w:t>
      </w:r>
      <w:r w:rsidR="008C4588" w:rsidRPr="00B930ED">
        <w:t xml:space="preserve"> </w:t>
      </w:r>
      <w:r w:rsidR="00B63549" w:rsidRPr="00B930ED">
        <w:t>did not</w:t>
      </w:r>
      <w:r w:rsidR="005F61CA" w:rsidRPr="00B930ED">
        <w:t>.</w:t>
      </w:r>
      <w:r w:rsidRPr="00B930ED">
        <w:t xml:space="preserve"> </w:t>
      </w:r>
      <w:r w:rsidR="005F66F2" w:rsidRPr="00B930ED">
        <w:t>E</w:t>
      </w:r>
      <w:r w:rsidR="00464C73" w:rsidRPr="00B930ED">
        <w:t>xternal probity and legal adv</w:t>
      </w:r>
      <w:r w:rsidR="00551AE2" w:rsidRPr="00B930ED">
        <w:t>isors</w:t>
      </w:r>
      <w:r w:rsidR="00464C73" w:rsidRPr="00B930ED">
        <w:t xml:space="preserve"> </w:t>
      </w:r>
      <w:r w:rsidR="005F66F2" w:rsidRPr="00B930ED">
        <w:t xml:space="preserve">were included in </w:t>
      </w:r>
      <w:r w:rsidR="00C17561" w:rsidRPr="00B930ED">
        <w:t xml:space="preserve">five of the </w:t>
      </w:r>
      <w:r w:rsidR="007B750D" w:rsidRPr="00B930ED">
        <w:t>11</w:t>
      </w:r>
      <w:r w:rsidR="009D0841" w:rsidRPr="00B930ED">
        <w:t xml:space="preserve"> procurements</w:t>
      </w:r>
      <w:r w:rsidRPr="00B930ED">
        <w:t>.</w:t>
      </w:r>
    </w:p>
    <w:p w14:paraId="74825F22" w14:textId="59DE3187" w:rsidR="00464C73" w:rsidRPr="00153766" w:rsidRDefault="00492726" w:rsidP="00FF1E44">
      <w:r w:rsidRPr="00A47E2F">
        <w:t>Probity</w:t>
      </w:r>
      <w:r w:rsidR="00C114DC" w:rsidRPr="00A47E2F">
        <w:t xml:space="preserve"> and </w:t>
      </w:r>
      <w:r w:rsidRPr="00A47E2F">
        <w:t>legal process</w:t>
      </w:r>
      <w:r w:rsidR="00C114DC" w:rsidRPr="00A47E2F">
        <w:t xml:space="preserve"> advice</w:t>
      </w:r>
      <w:r w:rsidR="00464C73" w:rsidRPr="00A47E2F">
        <w:t xml:space="preserve"> should be available on all procurements</w:t>
      </w:r>
      <w:r w:rsidR="00522D2A" w:rsidRPr="00A47E2F">
        <w:t xml:space="preserve"> to</w:t>
      </w:r>
      <w:r w:rsidR="00464C73" w:rsidRPr="00A47E2F">
        <w:t xml:space="preserve"> </w:t>
      </w:r>
      <w:r w:rsidR="00522D2A" w:rsidRPr="00A47E2F">
        <w:t>minimise</w:t>
      </w:r>
      <w:r w:rsidR="00464C73" w:rsidRPr="00A47E2F">
        <w:t xml:space="preserve"> the </w:t>
      </w:r>
      <w:r w:rsidRPr="00A47E2F">
        <w:t>risk</w:t>
      </w:r>
      <w:r w:rsidR="007F59CD" w:rsidRPr="00A47E2F">
        <w:t xml:space="preserve"> </w:t>
      </w:r>
      <w:r w:rsidR="00464C73" w:rsidRPr="00A47E2F">
        <w:t xml:space="preserve">of poor </w:t>
      </w:r>
      <w:r w:rsidR="007F59CD" w:rsidRPr="00A47E2F">
        <w:t>outcomes</w:t>
      </w:r>
      <w:r w:rsidR="004B6B9D" w:rsidRPr="00A47E2F">
        <w:t>.</w:t>
      </w:r>
      <w:r w:rsidR="005C468E" w:rsidRPr="00A47E2F">
        <w:t xml:space="preserve"> </w:t>
      </w:r>
      <w:r w:rsidR="00551AE2" w:rsidRPr="00A47E2F">
        <w:t xml:space="preserve">If the procurement is </w:t>
      </w:r>
      <w:r w:rsidR="00C114DC" w:rsidRPr="00A47E2F">
        <w:t>straightforward</w:t>
      </w:r>
      <w:r w:rsidR="00217BC0" w:rsidRPr="00A47E2F">
        <w:t xml:space="preserve"> </w:t>
      </w:r>
      <w:r w:rsidR="00522D2A" w:rsidRPr="00A47E2F">
        <w:t xml:space="preserve">and low </w:t>
      </w:r>
      <w:r w:rsidR="00B63549">
        <w:t xml:space="preserve">value and/or </w:t>
      </w:r>
      <w:r w:rsidR="00522D2A" w:rsidRPr="00A47E2F">
        <w:t>risk</w:t>
      </w:r>
      <w:r w:rsidR="00217BC0" w:rsidRPr="00A47E2F">
        <w:t xml:space="preserve">, </w:t>
      </w:r>
      <w:r w:rsidR="004B6B9D" w:rsidRPr="00A47E2F">
        <w:t xml:space="preserve">the </w:t>
      </w:r>
      <w:r w:rsidR="00EF5017" w:rsidRPr="00A47E2F">
        <w:t>probity</w:t>
      </w:r>
      <w:r w:rsidR="00217BC0" w:rsidRPr="00A47E2F">
        <w:t xml:space="preserve"> and </w:t>
      </w:r>
      <w:r w:rsidR="00EF5017" w:rsidRPr="00A47E2F">
        <w:t xml:space="preserve">legal </w:t>
      </w:r>
      <w:r w:rsidR="002B6005" w:rsidRPr="00A47E2F">
        <w:t>advice</w:t>
      </w:r>
      <w:r w:rsidR="005178F8">
        <w:t xml:space="preserve"> needed</w:t>
      </w:r>
      <w:r w:rsidR="00217BC0" w:rsidRPr="00A47E2F">
        <w:t xml:space="preserve"> would</w:t>
      </w:r>
      <w:r w:rsidR="00EF5017" w:rsidRPr="00A47E2F">
        <w:t xml:space="preserve"> be </w:t>
      </w:r>
      <w:r w:rsidR="00B63549">
        <w:t xml:space="preserve">very </w:t>
      </w:r>
      <w:r w:rsidR="00EF5017" w:rsidRPr="00A47E2F">
        <w:t>minimal</w:t>
      </w:r>
      <w:r w:rsidR="00217BC0" w:rsidRPr="00A47E2F">
        <w:t>.</w:t>
      </w:r>
      <w:r w:rsidR="00EF5017" w:rsidRPr="00A47E2F">
        <w:t xml:space="preserve"> </w:t>
      </w:r>
      <w:r w:rsidR="00374BAD" w:rsidRPr="00A47E2F">
        <w:t>I</w:t>
      </w:r>
      <w:r w:rsidR="00551AE2" w:rsidRPr="00A47E2F">
        <w:t>f it’s not</w:t>
      </w:r>
      <w:r w:rsidR="002B6005" w:rsidRPr="00A47E2F">
        <w:t>,</w:t>
      </w:r>
      <w:r w:rsidR="00551AE2" w:rsidRPr="00A47E2F">
        <w:t xml:space="preserve"> or if the procurement becomes more compl</w:t>
      </w:r>
      <w:r w:rsidR="00EB189D" w:rsidRPr="00A47E2F">
        <w:t>ex</w:t>
      </w:r>
      <w:r w:rsidR="002B6005" w:rsidRPr="00A47E2F">
        <w:t>,</w:t>
      </w:r>
      <w:r w:rsidR="00EB189D" w:rsidRPr="00A47E2F">
        <w:t xml:space="preserve"> </w:t>
      </w:r>
      <w:r w:rsidR="00DF3357" w:rsidRPr="00A47E2F">
        <w:t xml:space="preserve">it would be advantageous to </w:t>
      </w:r>
      <w:r w:rsidR="00551AE2" w:rsidRPr="00A47E2F">
        <w:t>hav</w:t>
      </w:r>
      <w:r w:rsidR="00DF3357" w:rsidRPr="00A47E2F">
        <w:t>e</w:t>
      </w:r>
      <w:r w:rsidR="002B6005" w:rsidRPr="00A47E2F">
        <w:t xml:space="preserve"> probity and</w:t>
      </w:r>
      <w:r w:rsidR="00551AE2" w:rsidRPr="00A47E2F">
        <w:t xml:space="preserve"> legal </w:t>
      </w:r>
      <w:r w:rsidR="002B6005" w:rsidRPr="00A47E2F">
        <w:t>process</w:t>
      </w:r>
      <w:r w:rsidR="00D10F68" w:rsidRPr="00A47E2F">
        <w:t xml:space="preserve"> </w:t>
      </w:r>
      <w:r w:rsidR="00551AE2" w:rsidRPr="00A47E2F">
        <w:t>advice from the start</w:t>
      </w:r>
      <w:r w:rsidR="00B63549">
        <w:t xml:space="preserve"> and throughout the procurement</w:t>
      </w:r>
      <w:r w:rsidR="00EF5017" w:rsidRPr="00A47E2F">
        <w:t>.</w:t>
      </w:r>
    </w:p>
    <w:p w14:paraId="48888E4B" w14:textId="73166D4A" w:rsidR="00551AE2" w:rsidRDefault="00551AE2" w:rsidP="00FF1E44">
      <w:r w:rsidRPr="00153766">
        <w:lastRenderedPageBreak/>
        <w:t>As noted above</w:t>
      </w:r>
      <w:r w:rsidR="00D027F6">
        <w:t>,</w:t>
      </w:r>
      <w:r w:rsidRPr="00153766">
        <w:t xml:space="preserve"> </w:t>
      </w:r>
      <w:r w:rsidR="00B63549">
        <w:t xml:space="preserve">the use of </w:t>
      </w:r>
      <w:r w:rsidRPr="00153766">
        <w:t xml:space="preserve">external probity and legal </w:t>
      </w:r>
      <w:r w:rsidR="003F6E87">
        <w:t xml:space="preserve">process </w:t>
      </w:r>
      <w:r w:rsidRPr="00153766">
        <w:t xml:space="preserve">advisors </w:t>
      </w:r>
      <w:r w:rsidR="00B63549">
        <w:t xml:space="preserve">was </w:t>
      </w:r>
      <w:r w:rsidR="002E614B">
        <w:t xml:space="preserve">quite reasonably </w:t>
      </w:r>
      <w:r w:rsidR="00B63549">
        <w:t>much</w:t>
      </w:r>
      <w:r w:rsidR="00B63549" w:rsidRPr="00153766">
        <w:t xml:space="preserve"> </w:t>
      </w:r>
      <w:r w:rsidR="00852B0D">
        <w:t>less common</w:t>
      </w:r>
      <w:r w:rsidRPr="00153766">
        <w:t xml:space="preserve">. </w:t>
      </w:r>
      <w:r w:rsidR="002E614B">
        <w:t>However</w:t>
      </w:r>
      <w:r w:rsidR="00D10F68" w:rsidRPr="00153766">
        <w:t xml:space="preserve">, large </w:t>
      </w:r>
      <w:r w:rsidRPr="00153766">
        <w:t xml:space="preserve">and/or high risk procurements </w:t>
      </w:r>
      <w:r w:rsidR="00852B0D">
        <w:t>are likely to</w:t>
      </w:r>
      <w:r w:rsidR="00852B0D" w:rsidRPr="00153766">
        <w:t xml:space="preserve"> </w:t>
      </w:r>
      <w:r w:rsidRPr="00153766">
        <w:t xml:space="preserve">benefit from external support. </w:t>
      </w:r>
      <w:r w:rsidR="00333562">
        <w:t>Although</w:t>
      </w:r>
      <w:r w:rsidR="00333562" w:rsidRPr="00153766">
        <w:t xml:space="preserve"> </w:t>
      </w:r>
      <w:r w:rsidRPr="00153766">
        <w:t>it adds to cost, that is usually small compared to the size of the procurement</w:t>
      </w:r>
      <w:r w:rsidR="005F66F2">
        <w:t>, the</w:t>
      </w:r>
      <w:r w:rsidRPr="00153766">
        <w:t xml:space="preserve"> implications of the risks involved</w:t>
      </w:r>
      <w:r w:rsidR="005F66F2">
        <w:t xml:space="preserve"> </w:t>
      </w:r>
      <w:r w:rsidR="002E614B">
        <w:t xml:space="preserve">and </w:t>
      </w:r>
      <w:r w:rsidR="005F66F2">
        <w:t xml:space="preserve">the result </w:t>
      </w:r>
      <w:r w:rsidR="009D0841">
        <w:t>of</w:t>
      </w:r>
      <w:r w:rsidR="005F66F2">
        <w:t xml:space="preserve"> not having appropriate support</w:t>
      </w:r>
      <w:r w:rsidRPr="00153766">
        <w:t xml:space="preserve">. </w:t>
      </w:r>
      <w:r w:rsidR="00852B0D">
        <w:t>E</w:t>
      </w:r>
      <w:r w:rsidRPr="00153766">
        <w:t xml:space="preserve">xternal </w:t>
      </w:r>
      <w:r w:rsidR="00677815">
        <w:t xml:space="preserve">probity and </w:t>
      </w:r>
      <w:r w:rsidRPr="00153766">
        <w:t xml:space="preserve">legal </w:t>
      </w:r>
      <w:r w:rsidR="00677815">
        <w:t>process</w:t>
      </w:r>
      <w:r w:rsidRPr="00153766">
        <w:t xml:space="preserve"> advisors</w:t>
      </w:r>
      <w:r w:rsidR="005F66F2">
        <w:t xml:space="preserve"> do</w:t>
      </w:r>
      <w:r w:rsidRPr="00153766">
        <w:t xml:space="preserve"> have the ability to significantly </w:t>
      </w:r>
      <w:r w:rsidR="00DF4222">
        <w:t>strengthen</w:t>
      </w:r>
      <w:r w:rsidRPr="00153766">
        <w:t xml:space="preserve"> procurement </w:t>
      </w:r>
      <w:r w:rsidR="007C65B7">
        <w:t xml:space="preserve">outcomes </w:t>
      </w:r>
      <w:r w:rsidR="00D10F68" w:rsidRPr="00153766">
        <w:t xml:space="preserve">as seen in some procurements the </w:t>
      </w:r>
      <w:r w:rsidR="000F0C99">
        <w:t>Taskforce</w:t>
      </w:r>
      <w:r w:rsidR="00D10F68" w:rsidRPr="00153766">
        <w:t xml:space="preserve"> analysed</w:t>
      </w:r>
      <w:r w:rsidR="005F66F2">
        <w:t xml:space="preserve"> and in ANAO reports</w:t>
      </w:r>
      <w:r w:rsidR="00D10F68" w:rsidRPr="00153766">
        <w:t>.</w:t>
      </w:r>
      <w:r w:rsidR="00F509FA">
        <w:rPr>
          <w:rStyle w:val="FootnoteReference"/>
          <w:rFonts w:cs="Arial"/>
        </w:rPr>
        <w:footnoteReference w:id="9"/>
      </w:r>
    </w:p>
    <w:p w14:paraId="64C153D8" w14:textId="55DE499F" w:rsidR="00863E35" w:rsidRDefault="00863E35" w:rsidP="00863E35">
      <w:pPr>
        <w:pStyle w:val="Recommendationheading"/>
      </w:pPr>
      <w:r>
        <w:t>Recommendation 6</w:t>
      </w:r>
    </w:p>
    <w:tbl>
      <w:tblPr>
        <w:tblStyle w:val="TableGrid"/>
        <w:tblpPr w:leftFromText="181" w:rightFromText="181" w:bottomFromText="284" w:vertAnchor="text" w:tblpY="1"/>
        <w:tblOverlap w:val="never"/>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A82"/>
        <w:tblCellMar>
          <w:top w:w="142" w:type="dxa"/>
          <w:left w:w="142" w:type="dxa"/>
          <w:right w:w="142" w:type="dxa"/>
        </w:tblCellMar>
        <w:tblLook w:val="0500" w:firstRow="0" w:lastRow="0" w:firstColumn="0" w:lastColumn="1" w:noHBand="0" w:noVBand="1"/>
        <w:tblCaption w:val="Recommendation 6"/>
        <w:tblDescription w:val="a) The NDIA and SA should review their requirements in relation to probity and legal advice, to ensure that internal advice is available for all procurements, and is used on all procurements over a certain value, risk, and/or complexity threshold, external probity and legal advice should be considered for all complex high risk and/or high value procurements, with the final decision on whether to use advice made and declared by the decision maker.&#10;b) The NDIA and SA should also consider using an independent adviser on large, complex and high risk procurements."/>
      </w:tblPr>
      <w:tblGrid>
        <w:gridCol w:w="8197"/>
        <w:gridCol w:w="929"/>
      </w:tblGrid>
      <w:tr w:rsidR="00863E35" w14:paraId="5646F79D" w14:textId="77777777" w:rsidTr="00C33977">
        <w:trPr>
          <w:trHeight w:val="574"/>
          <w:tblHeader/>
        </w:trPr>
        <w:tc>
          <w:tcPr>
            <w:tcW w:w="8197" w:type="dxa"/>
            <w:shd w:val="clear" w:color="auto" w:fill="004A82"/>
          </w:tcPr>
          <w:p w14:paraId="0FFA37CD" w14:textId="071F6B62" w:rsidR="00863E35" w:rsidRPr="00863E35" w:rsidRDefault="00863E35" w:rsidP="00863E35">
            <w:pPr>
              <w:pStyle w:val="Definitiontableparagraph"/>
              <w:numPr>
                <w:ilvl w:val="0"/>
                <w:numId w:val="28"/>
              </w:numPr>
              <w:rPr>
                <w:i/>
              </w:rPr>
            </w:pPr>
            <w:r w:rsidRPr="00B462D5">
              <w:t xml:space="preserve">The NDIA and SA should review their requirements in relation to probity and legal advice, to ensure that internal advice is available for all procurements, and is used on all procurements over a certain value, risk, and/or complexity </w:t>
            </w:r>
            <w:r w:rsidRPr="00F51871">
              <w:t xml:space="preserve">threshold, </w:t>
            </w:r>
            <w:r>
              <w:t>e</w:t>
            </w:r>
            <w:r w:rsidRPr="00F51871">
              <w:t>xternal prob</w:t>
            </w:r>
            <w:r w:rsidRPr="00B462D5">
              <w:t xml:space="preserve">ity and legal advice should be considered for all complex high risk and/or high value procurements, with the final decision </w:t>
            </w:r>
            <w:r w:rsidR="004F6C6A">
              <w:t xml:space="preserve">on whether to use advice </w:t>
            </w:r>
            <w:r w:rsidRPr="00B462D5">
              <w:t>made and declared by the decision maker.</w:t>
            </w:r>
          </w:p>
          <w:p w14:paraId="67BA70D7" w14:textId="674FD792" w:rsidR="00863E35" w:rsidRPr="005D3339" w:rsidRDefault="00863E35" w:rsidP="00863E35">
            <w:pPr>
              <w:pStyle w:val="Definitiontableparagraph"/>
              <w:numPr>
                <w:ilvl w:val="0"/>
                <w:numId w:val="28"/>
              </w:numPr>
              <w:rPr>
                <w:i/>
              </w:rPr>
            </w:pPr>
            <w:r w:rsidRPr="00D27456">
              <w:t xml:space="preserve">The NDIA and SA should </w:t>
            </w:r>
            <w:r>
              <w:t xml:space="preserve">also </w:t>
            </w:r>
            <w:r w:rsidRPr="00D27456">
              <w:t>consider using an independent adviser on large, complex and high risk procurements.</w:t>
            </w:r>
          </w:p>
        </w:tc>
        <w:tc>
          <w:tcPr>
            <w:tcW w:w="929" w:type="dxa"/>
            <w:shd w:val="clear" w:color="auto" w:fill="004A82"/>
          </w:tcPr>
          <w:p w14:paraId="7687E41C" w14:textId="77777777" w:rsidR="00863E35" w:rsidRPr="005D3339" w:rsidRDefault="00863E35" w:rsidP="00C33977">
            <w:pPr>
              <w:rPr>
                <w:b/>
              </w:rPr>
            </w:pPr>
            <w:r>
              <w:rPr>
                <w:noProof/>
                <w:lang w:eastAsia="en-AU"/>
              </w:rPr>
              <w:drawing>
                <wp:inline distT="0" distB="0" distL="0" distR="0" wp14:anchorId="7B961C2C" wp14:editId="48C3B188">
                  <wp:extent cx="368496" cy="366947"/>
                  <wp:effectExtent l="0" t="0" r="0" b="0"/>
                  <wp:docPr id="29" name="Picture 29" descr="Decorative image indicating that this section is about a particluar recommendation."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Announcem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496" cy="366947"/>
                          </a:xfrm>
                          <a:prstGeom prst="rect">
                            <a:avLst/>
                          </a:prstGeom>
                        </pic:spPr>
                      </pic:pic>
                    </a:graphicData>
                  </a:graphic>
                </wp:inline>
              </w:drawing>
            </w:r>
          </w:p>
        </w:tc>
      </w:tr>
    </w:tbl>
    <w:p w14:paraId="6D329543" w14:textId="78CFE3C3" w:rsidR="00FD3010" w:rsidRDefault="00FD3010" w:rsidP="00FF1E44">
      <w:pPr>
        <w:rPr>
          <w:rFonts w:cs="Arial"/>
          <w:bCs/>
        </w:rPr>
      </w:pPr>
      <w:r>
        <w:rPr>
          <w:rFonts w:cs="Arial"/>
          <w:bCs/>
        </w:rPr>
        <w:t xml:space="preserve">Implementing </w:t>
      </w:r>
      <w:r w:rsidR="005F66F2">
        <w:rPr>
          <w:rFonts w:cs="Arial"/>
          <w:bCs/>
        </w:rPr>
        <w:t>this</w:t>
      </w:r>
      <w:r>
        <w:rPr>
          <w:rFonts w:cs="Arial"/>
          <w:bCs/>
        </w:rPr>
        <w:t xml:space="preserve"> recommendation will require agencies to establish a decision making matrix that</w:t>
      </w:r>
      <w:r w:rsidR="00C6718B">
        <w:rPr>
          <w:rFonts w:cs="Arial"/>
          <w:bCs/>
        </w:rPr>
        <w:t xml:space="preserve"> </w:t>
      </w:r>
      <w:r w:rsidR="005F66F2">
        <w:rPr>
          <w:rFonts w:cs="Arial"/>
          <w:bCs/>
        </w:rPr>
        <w:t>helps determine</w:t>
      </w:r>
      <w:r w:rsidR="00C6718B">
        <w:rPr>
          <w:rFonts w:cs="Arial"/>
          <w:bCs/>
        </w:rPr>
        <w:t xml:space="preserve"> when to</w:t>
      </w:r>
      <w:r>
        <w:rPr>
          <w:rFonts w:cs="Arial"/>
          <w:bCs/>
        </w:rPr>
        <w:t xml:space="preserve"> </w:t>
      </w:r>
      <w:r w:rsidR="00C6718B">
        <w:rPr>
          <w:rFonts w:cs="Arial"/>
          <w:bCs/>
        </w:rPr>
        <w:t>engage</w:t>
      </w:r>
      <w:r>
        <w:rPr>
          <w:rFonts w:cs="Arial"/>
          <w:bCs/>
        </w:rPr>
        <w:t xml:space="preserve"> external probity </w:t>
      </w:r>
      <w:r w:rsidR="00C6718B">
        <w:rPr>
          <w:rFonts w:cs="Arial"/>
          <w:bCs/>
        </w:rPr>
        <w:t xml:space="preserve">and legal process advice </w:t>
      </w:r>
      <w:r>
        <w:rPr>
          <w:rFonts w:cs="Arial"/>
          <w:bCs/>
        </w:rPr>
        <w:t xml:space="preserve">based on levels of complexity, price and risk for a particular procurement. </w:t>
      </w:r>
      <w:r w:rsidR="00866CC1">
        <w:rPr>
          <w:rFonts w:cs="Arial"/>
          <w:bCs/>
        </w:rPr>
        <w:t>Should it be decided not t</w:t>
      </w:r>
      <w:r w:rsidR="003843A9">
        <w:rPr>
          <w:rFonts w:cs="Arial"/>
          <w:bCs/>
        </w:rPr>
        <w:t>o use</w:t>
      </w:r>
      <w:r w:rsidR="00866CC1">
        <w:rPr>
          <w:rFonts w:cs="Arial"/>
          <w:bCs/>
        </w:rPr>
        <w:t xml:space="preserve"> </w:t>
      </w:r>
      <w:r w:rsidR="003843A9">
        <w:rPr>
          <w:rFonts w:cs="Arial"/>
          <w:bCs/>
        </w:rPr>
        <w:t>the</w:t>
      </w:r>
      <w:r w:rsidR="004978C5">
        <w:rPr>
          <w:rFonts w:cs="Arial"/>
          <w:bCs/>
        </w:rPr>
        <w:t xml:space="preserve"> </w:t>
      </w:r>
      <w:r w:rsidR="005F66F2">
        <w:rPr>
          <w:rFonts w:cs="Arial"/>
          <w:bCs/>
        </w:rPr>
        <w:t xml:space="preserve">suggested </w:t>
      </w:r>
      <w:r w:rsidR="00866CC1">
        <w:rPr>
          <w:rFonts w:cs="Arial"/>
          <w:bCs/>
        </w:rPr>
        <w:t>advice, the reason should be documented.</w:t>
      </w:r>
    </w:p>
    <w:p w14:paraId="2CBA031C" w14:textId="3E6BB7CE" w:rsidR="005F66F2" w:rsidRPr="005F66F2" w:rsidRDefault="005F66F2" w:rsidP="005F66F2">
      <w:pPr>
        <w:rPr>
          <w:rFonts w:cs="Arial"/>
          <w:bCs/>
        </w:rPr>
      </w:pPr>
      <w:r w:rsidRPr="005F66F2">
        <w:rPr>
          <w:rFonts w:cs="Arial"/>
          <w:bCs/>
        </w:rPr>
        <w:t xml:space="preserve">There are times when other forms of external support and advice may help produce a better procurement outcome and better value for money </w:t>
      </w:r>
      <w:r w:rsidR="002E614B">
        <w:rPr>
          <w:rFonts w:cs="Arial"/>
          <w:bCs/>
        </w:rPr>
        <w:t>results</w:t>
      </w:r>
      <w:r w:rsidRPr="005F66F2">
        <w:rPr>
          <w:rFonts w:cs="Arial"/>
          <w:bCs/>
        </w:rPr>
        <w:t>. For example, the use of external advisers who understand the relevant industry and ways to get the best outcome from the acquisition of a good or service is common on large procurements, including for the Department of Finance and Department of Defence.</w:t>
      </w:r>
    </w:p>
    <w:p w14:paraId="7716269B" w14:textId="4577207E" w:rsidR="005F66F2" w:rsidRDefault="005F66F2" w:rsidP="005F66F2">
      <w:pPr>
        <w:rPr>
          <w:rFonts w:cs="Arial"/>
          <w:bCs/>
        </w:rPr>
      </w:pPr>
      <w:r w:rsidRPr="005F66F2">
        <w:rPr>
          <w:rFonts w:cs="Arial"/>
          <w:bCs/>
        </w:rPr>
        <w:t>They would not be regularly used, but may be invaluable on large, complex and/or higher risk procurements. They would be best included from the start of the procurement to the final negotiations of a contract.</w:t>
      </w:r>
    </w:p>
    <w:p w14:paraId="05E4BD46" w14:textId="062666A1" w:rsidR="00296215" w:rsidRDefault="00296215" w:rsidP="00296215">
      <w:pPr>
        <w:rPr>
          <w:rFonts w:cs="Arial"/>
          <w:bCs/>
        </w:rPr>
      </w:pPr>
      <w:r w:rsidRPr="005F66F2">
        <w:rPr>
          <w:rFonts w:cs="Arial"/>
          <w:bCs/>
        </w:rPr>
        <w:t xml:space="preserve">There would be a cost involved </w:t>
      </w:r>
      <w:proofErr w:type="gramStart"/>
      <w:r w:rsidRPr="005F66F2">
        <w:rPr>
          <w:rFonts w:cs="Arial"/>
          <w:bCs/>
        </w:rPr>
        <w:t>but,</w:t>
      </w:r>
      <w:proofErr w:type="gramEnd"/>
      <w:r w:rsidRPr="005F66F2">
        <w:rPr>
          <w:rFonts w:cs="Arial"/>
          <w:bCs/>
        </w:rPr>
        <w:t xml:space="preserve"> compared with the size of the procurements, it would be minimal. Claims from inside the agency that it </w:t>
      </w:r>
      <w:r>
        <w:rPr>
          <w:rFonts w:cs="Arial"/>
          <w:bCs/>
        </w:rPr>
        <w:t xml:space="preserve">already </w:t>
      </w:r>
      <w:r w:rsidRPr="005F66F2">
        <w:rPr>
          <w:rFonts w:cs="Arial"/>
          <w:bCs/>
        </w:rPr>
        <w:t>has the necessary expertise to play this role should be scrutinised carefully.</w:t>
      </w:r>
    </w:p>
    <w:p w14:paraId="333DD543" w14:textId="77777777" w:rsidR="00296215" w:rsidRPr="00211E49" w:rsidRDefault="00296215" w:rsidP="00296215">
      <w:pPr>
        <w:pStyle w:val="Heading3"/>
      </w:pPr>
      <w:r>
        <w:t xml:space="preserve">Record </w:t>
      </w:r>
      <w:proofErr w:type="gramStart"/>
      <w:r>
        <w:t>keeping</w:t>
      </w:r>
      <w:proofErr w:type="gramEnd"/>
    </w:p>
    <w:p w14:paraId="662B32F8" w14:textId="77777777" w:rsidR="00296215" w:rsidRDefault="00296215" w:rsidP="00296215">
      <w:r w:rsidRPr="00153766">
        <w:t>Record keeping is an essential part of a successful procurement</w:t>
      </w:r>
      <w:r>
        <w:t xml:space="preserve"> that:</w:t>
      </w:r>
    </w:p>
    <w:p w14:paraId="224F46D0" w14:textId="77777777" w:rsidR="00296215" w:rsidRDefault="00296215" w:rsidP="00296215">
      <w:pPr>
        <w:pStyle w:val="Bulletlevel1"/>
      </w:pPr>
      <w:r w:rsidRPr="00407F13">
        <w:t>ensure</w:t>
      </w:r>
      <w:r>
        <w:t>s</w:t>
      </w:r>
      <w:r w:rsidRPr="00407F13">
        <w:t xml:space="preserve"> transparency and accountability</w:t>
      </w:r>
    </w:p>
    <w:p w14:paraId="565C508F" w14:textId="0A3BF4B3" w:rsidR="00296215" w:rsidRDefault="00296215" w:rsidP="00296215">
      <w:pPr>
        <w:pStyle w:val="Bulletlevel1"/>
      </w:pPr>
      <w:r w:rsidRPr="00407F13">
        <w:t>provide</w:t>
      </w:r>
      <w:r>
        <w:t>s</w:t>
      </w:r>
      <w:r w:rsidRPr="00407F13">
        <w:t xml:space="preserve"> information on all aspects of the process, including securing value for money</w:t>
      </w:r>
      <w:r>
        <w:t xml:space="preserve"> and demonstrating it has been secured,</w:t>
      </w:r>
      <w:r w:rsidRPr="00407F13">
        <w:t xml:space="preserve"> and</w:t>
      </w:r>
    </w:p>
    <w:p w14:paraId="2E8B643A" w14:textId="77777777" w:rsidR="00296215" w:rsidRPr="00407F13" w:rsidRDefault="00296215" w:rsidP="00296215">
      <w:pPr>
        <w:pStyle w:val="Bulletlevel1"/>
      </w:pPr>
      <w:r w:rsidRPr="00407F13">
        <w:t>provide</w:t>
      </w:r>
      <w:r>
        <w:t>s</w:t>
      </w:r>
      <w:r w:rsidRPr="00407F13">
        <w:t xml:space="preserve"> the basis for ensuring </w:t>
      </w:r>
      <w:r>
        <w:t xml:space="preserve">and demonstrating that </w:t>
      </w:r>
      <w:r w:rsidRPr="00407F13">
        <w:t xml:space="preserve">the procurement process was consistent with the </w:t>
      </w:r>
      <w:r>
        <w:t>CPRs</w:t>
      </w:r>
      <w:r w:rsidRPr="00407F13">
        <w:t>.</w:t>
      </w:r>
    </w:p>
    <w:p w14:paraId="3490DC96" w14:textId="77777777" w:rsidR="00296215" w:rsidRPr="00153766" w:rsidRDefault="00296215" w:rsidP="00296215">
      <w:r w:rsidRPr="00C812C8">
        <w:lastRenderedPageBreak/>
        <w:t xml:space="preserve">Records should be </w:t>
      </w:r>
      <w:r>
        <w:t xml:space="preserve">comprehensive, </w:t>
      </w:r>
      <w:r w:rsidRPr="00C812C8">
        <w:t xml:space="preserve">comprehensible and accessible. They are, however, the Achilles’ heel of procurements across the Australian Government, as addressed in </w:t>
      </w:r>
      <w:r w:rsidRPr="00F30A97">
        <w:t xml:space="preserve">recent </w:t>
      </w:r>
      <w:r w:rsidRPr="00C812C8">
        <w:t xml:space="preserve">ANAO reports </w:t>
      </w:r>
      <w:r w:rsidRPr="00F30A97">
        <w:t>and the ANAO’s submission to the recent Joint Committee of Public Accounts and Audit (JCPAA) inquiry into Commonwealth procurement.</w:t>
      </w:r>
      <w:r w:rsidRPr="00F30A97">
        <w:rPr>
          <w:rStyle w:val="FootnoteReference"/>
        </w:rPr>
        <w:footnoteReference w:id="10"/>
      </w:r>
    </w:p>
    <w:p w14:paraId="346B4654" w14:textId="39273212" w:rsidR="00296215" w:rsidRPr="00910B63" w:rsidRDefault="00296215" w:rsidP="00296215">
      <w:r w:rsidRPr="00910B63">
        <w:t xml:space="preserve">Both the NDIA and SA have made substantial efforts to improve record keeping for procurements. The NDIA has established a team that includes monitoring and regular reviews of procurements and </w:t>
      </w:r>
      <w:r>
        <w:t xml:space="preserve">helps </w:t>
      </w:r>
      <w:r w:rsidRPr="00910B63">
        <w:t>ensur</w:t>
      </w:r>
      <w:r>
        <w:t>e</w:t>
      </w:r>
      <w:r w:rsidRPr="00910B63">
        <w:t xml:space="preserve"> </w:t>
      </w:r>
      <w:r>
        <w:t>that documentation</w:t>
      </w:r>
      <w:r w:rsidRPr="00910B63">
        <w:t xml:space="preserve"> is properly </w:t>
      </w:r>
      <w:r>
        <w:t>prepared and filed</w:t>
      </w:r>
      <w:r w:rsidRPr="00910B63">
        <w:t xml:space="preserve">. SA has </w:t>
      </w:r>
      <w:r>
        <w:t xml:space="preserve">already </w:t>
      </w:r>
      <w:r w:rsidRPr="00910B63">
        <w:t xml:space="preserve">established a suite of </w:t>
      </w:r>
      <w:r>
        <w:t>p</w:t>
      </w:r>
      <w:r w:rsidRPr="00910B63">
        <w:t>rocurement and contract management templates, and is developing further templates</w:t>
      </w:r>
      <w:r>
        <w:t xml:space="preserve"> for</w:t>
      </w:r>
      <w:r w:rsidRPr="00910B63">
        <w:t xml:space="preserve"> evaluation plans, </w:t>
      </w:r>
      <w:proofErr w:type="gramStart"/>
      <w:r w:rsidRPr="00910B63">
        <w:t>reports</w:t>
      </w:r>
      <w:proofErr w:type="gramEnd"/>
      <w:r w:rsidRPr="00910B63">
        <w:t xml:space="preserve"> and spending proposal</w:t>
      </w:r>
      <w:r>
        <w:t xml:space="preserve">s </w:t>
      </w:r>
      <w:r w:rsidRPr="00910B63">
        <w:t xml:space="preserve">to ensure consistency and </w:t>
      </w:r>
      <w:r w:rsidRPr="00B930ED">
        <w:t>best</w:t>
      </w:r>
      <w:r w:rsidRPr="00910B63">
        <w:t xml:space="preserve"> practice.</w:t>
      </w:r>
    </w:p>
    <w:p w14:paraId="2533A9A0" w14:textId="1AA5D668" w:rsidR="00296215" w:rsidRDefault="00C812C8" w:rsidP="00FF1E44">
      <w:r>
        <w:t xml:space="preserve">These improvements </w:t>
      </w:r>
      <w:r w:rsidR="00DD7D4C" w:rsidRPr="00C812C8">
        <w:t>made</w:t>
      </w:r>
      <w:r w:rsidR="002F6FF4">
        <w:t xml:space="preserve"> the</w:t>
      </w:r>
      <w:r w:rsidR="00DD7D4C" w:rsidRPr="00C812C8">
        <w:t xml:space="preserve"> analysis of more recent procurements easier than</w:t>
      </w:r>
      <w:r w:rsidR="001D7F0C">
        <w:t xml:space="preserve"> for</w:t>
      </w:r>
      <w:r w:rsidR="00DD7D4C" w:rsidRPr="00C812C8">
        <w:t xml:space="preserve"> some of the early ones. That said, records remain imperfect</w:t>
      </w:r>
      <w:r w:rsidR="006F49E2">
        <w:t>,</w:t>
      </w:r>
      <w:r w:rsidR="00DD7D4C" w:rsidRPr="00C812C8">
        <w:t xml:space="preserve"> </w:t>
      </w:r>
      <w:r w:rsidR="00B87C71">
        <w:t>evaluation committees</w:t>
      </w:r>
      <w:r w:rsidR="00E44798">
        <w:t xml:space="preserve"> often seem to consider them an </w:t>
      </w:r>
      <w:r w:rsidR="00990D9F">
        <w:t>impediment</w:t>
      </w:r>
      <w:r w:rsidR="008516C9">
        <w:t>,</w:t>
      </w:r>
      <w:r w:rsidR="00E44798">
        <w:t xml:space="preserve"> </w:t>
      </w:r>
      <w:r w:rsidR="00DD7D4C" w:rsidRPr="00C812C8">
        <w:t xml:space="preserve">and </w:t>
      </w:r>
      <w:r>
        <w:t xml:space="preserve">considerable effort </w:t>
      </w:r>
      <w:r w:rsidR="005F66F2">
        <w:t>wa</w:t>
      </w:r>
      <w:r>
        <w:t xml:space="preserve">s </w:t>
      </w:r>
      <w:r w:rsidR="00DD7D4C" w:rsidRPr="00C812C8">
        <w:t xml:space="preserve">required to find some records. </w:t>
      </w:r>
      <w:r w:rsidR="0043228A">
        <w:t xml:space="preserve">Moreover, </w:t>
      </w:r>
      <w:r w:rsidR="005F66F2">
        <w:t xml:space="preserve">even after </w:t>
      </w:r>
      <w:r w:rsidR="0018104C">
        <w:t xml:space="preserve">additional searching, </w:t>
      </w:r>
      <w:r w:rsidR="0043228A">
        <w:t xml:space="preserve">major gaps in records </w:t>
      </w:r>
      <w:r w:rsidR="008516C9">
        <w:t>remained</w:t>
      </w:r>
      <w:r w:rsidR="0043228A">
        <w:t>. T</w:t>
      </w:r>
      <w:r w:rsidR="004A4324" w:rsidRPr="00C812C8">
        <w:t>he Taskforce</w:t>
      </w:r>
      <w:r w:rsidR="00E44798">
        <w:t xml:space="preserve"> </w:t>
      </w:r>
      <w:r w:rsidR="00407DB3" w:rsidRPr="00C812C8">
        <w:t xml:space="preserve">found that </w:t>
      </w:r>
      <w:r w:rsidR="00407DB3" w:rsidRPr="00F51871">
        <w:t>over one</w:t>
      </w:r>
      <w:r w:rsidR="00407DB3" w:rsidRPr="00F51871">
        <w:noBreakHyphen/>
        <w:t>third of the procurements identified for further review</w:t>
      </w:r>
      <w:r w:rsidR="008516C9" w:rsidRPr="00F51871">
        <w:t>,</w:t>
      </w:r>
      <w:r w:rsidR="0092243C" w:rsidRPr="00F51871">
        <w:t xml:space="preserve"> with</w:t>
      </w:r>
      <w:r w:rsidR="008516C9" w:rsidRPr="00F51871">
        <w:t xml:space="preserve"> an </w:t>
      </w:r>
      <w:r w:rsidR="009B67C5" w:rsidRPr="00B930ED">
        <w:t xml:space="preserve">approximate </w:t>
      </w:r>
      <w:r w:rsidR="008516C9" w:rsidRPr="00B930ED">
        <w:t>value of $229 million,</w:t>
      </w:r>
      <w:r w:rsidR="00407DB3" w:rsidRPr="00C812C8">
        <w:t xml:space="preserve"> did not have sufficient </w:t>
      </w:r>
      <w:r w:rsidR="00312EA8">
        <w:t xml:space="preserve">documentation and </w:t>
      </w:r>
      <w:r w:rsidR="00407DB3" w:rsidRPr="00C812C8">
        <w:t>records in place</w:t>
      </w:r>
      <w:r w:rsidR="00674EAD">
        <w:t xml:space="preserve"> to meet </w:t>
      </w:r>
      <w:r w:rsidR="000E33A9">
        <w:t xml:space="preserve">the </w:t>
      </w:r>
      <w:r w:rsidR="00674EAD">
        <w:t>requirements under paragraphs 7.2-7.5 of the C</w:t>
      </w:r>
      <w:r w:rsidR="00674EAD" w:rsidRPr="005A55A9">
        <w:t>PRs</w:t>
      </w:r>
      <w:r w:rsidR="004A4324" w:rsidRPr="00092213">
        <w:t>.</w:t>
      </w:r>
      <w:r w:rsidR="00DD7D4C" w:rsidRPr="005A55A9">
        <w:t xml:space="preserve"> </w:t>
      </w:r>
      <w:r w:rsidR="00E44798">
        <w:t>That is a poor result.</w:t>
      </w:r>
    </w:p>
    <w:p w14:paraId="11065C0E" w14:textId="75AFC66A" w:rsidR="00594A9B" w:rsidRPr="00296215" w:rsidRDefault="00B16EA5" w:rsidP="00296215">
      <w:pPr>
        <w:pStyle w:val="Definitiontableheading"/>
      </w:pPr>
      <w:r w:rsidRPr="00296215" w:rsidDel="00B16EA5">
        <w:rPr>
          <w:rStyle w:val="FootnoteReference"/>
        </w:rPr>
        <w:t xml:space="preserve"> </w:t>
      </w:r>
      <w:r w:rsidR="00296215" w:rsidRPr="00296215">
        <w:t>Commonwealth Procurement Rules: Paragraphs 7.2 – 7.5</w:t>
      </w:r>
    </w:p>
    <w:tbl>
      <w:tblPr>
        <w:tblStyle w:val="TableGrid"/>
        <w:tblpPr w:leftFromText="181" w:rightFromText="181" w:bottomFromText="284" w:vertAnchor="text" w:tblpY="1"/>
        <w:tblOverlap w:val="never"/>
        <w:tblW w:w="9126" w:type="dxa"/>
        <w:tblBorders>
          <w:top w:val="single" w:sz="2" w:space="0" w:color="959493"/>
          <w:left w:val="single" w:sz="2" w:space="0" w:color="959493"/>
          <w:bottom w:val="single" w:sz="2" w:space="0" w:color="959493"/>
          <w:right w:val="single" w:sz="2" w:space="0" w:color="959493"/>
          <w:insideH w:val="none" w:sz="0" w:space="0" w:color="auto"/>
          <w:insideV w:val="none" w:sz="0" w:space="0" w:color="auto"/>
        </w:tblBorders>
        <w:shd w:val="clear" w:color="auto" w:fill="EEEDEC"/>
        <w:tblCellMar>
          <w:top w:w="142" w:type="dxa"/>
          <w:left w:w="142" w:type="dxa"/>
          <w:right w:w="142" w:type="dxa"/>
        </w:tblCellMar>
        <w:tblLook w:val="0500" w:firstRow="0" w:lastRow="0" w:firstColumn="0" w:lastColumn="1" w:noHBand="0" w:noVBand="1"/>
        <w:tblCaption w:val="Commonwealth Procurement Rules: Paragraph 7.2-7.5"/>
        <w:tblDescription w:val="7.2 Officials must maintain for each procurement a level of documentation commensurate with the scale, scope and risk of the procurement.&#10;7.3 Documentation should provide accurate and concise information on:&#10;k. the requirement for the procurement;&#10;l. the process that was followed;&#10;m. how value for money was considered and achieved;&#10;n. relevant approvals; and&#10;o. relevant decisions and the basis of those decisions.&#10;7.4 Relevant entities must have access to evidence of agreements with suppliers, in the form of one or a combination of the following documents: a written contract, a purchase order, an invoice or a receipt.&#10;7.5 Documentation must be retained in accordance with the Archives Act 1983.&#10;Source: Commonwealth Procurement Rules 2022"/>
      </w:tblPr>
      <w:tblGrid>
        <w:gridCol w:w="8197"/>
        <w:gridCol w:w="929"/>
      </w:tblGrid>
      <w:tr w:rsidR="00B462D5" w14:paraId="355C31FD" w14:textId="77777777" w:rsidTr="00344208">
        <w:trPr>
          <w:trHeight w:val="574"/>
          <w:tblHeader/>
        </w:trPr>
        <w:tc>
          <w:tcPr>
            <w:tcW w:w="8197" w:type="dxa"/>
            <w:shd w:val="clear" w:color="auto" w:fill="EEEDEC"/>
          </w:tcPr>
          <w:p w14:paraId="2E189F0A" w14:textId="77777777" w:rsidR="006D5420" w:rsidRDefault="006D5420" w:rsidP="009568A4">
            <w:pPr>
              <w:pStyle w:val="Definitiontableparagraph"/>
            </w:pPr>
            <w:r>
              <w:t xml:space="preserve">7.2 Officials </w:t>
            </w:r>
            <w:r w:rsidRPr="00FF1E44">
              <w:rPr>
                <w:b/>
              </w:rPr>
              <w:t>must</w:t>
            </w:r>
            <w:r>
              <w:t xml:space="preserve"> maintain for each procurement a level of documentation commensurate with the scale, scope and risk of the procurement.</w:t>
            </w:r>
          </w:p>
          <w:p w14:paraId="019A1D3A" w14:textId="77777777" w:rsidR="006D5420" w:rsidRDefault="006D5420" w:rsidP="009568A4">
            <w:pPr>
              <w:pStyle w:val="Definitiontableparagraph"/>
            </w:pPr>
            <w:r>
              <w:t>7.3 Documentation should provide accurate and concise information on:</w:t>
            </w:r>
          </w:p>
          <w:p w14:paraId="105FDE57" w14:textId="77777777" w:rsidR="006D5420" w:rsidRDefault="006D5420" w:rsidP="009568A4">
            <w:pPr>
              <w:pStyle w:val="Definitiontableparagraph"/>
              <w:ind w:left="720"/>
            </w:pPr>
            <w:r>
              <w:t>k. the requirement for the procurement;</w:t>
            </w:r>
          </w:p>
          <w:p w14:paraId="48E15FC9" w14:textId="77777777" w:rsidR="006D5420" w:rsidRDefault="006D5420" w:rsidP="009568A4">
            <w:pPr>
              <w:pStyle w:val="Definitiontableparagraph"/>
              <w:ind w:left="720"/>
            </w:pPr>
            <w:r>
              <w:t>l. the process that was followed;</w:t>
            </w:r>
          </w:p>
          <w:p w14:paraId="09247F7F" w14:textId="77777777" w:rsidR="006D5420" w:rsidRDefault="006D5420" w:rsidP="009568A4">
            <w:pPr>
              <w:pStyle w:val="Definitiontableparagraph"/>
              <w:ind w:left="720"/>
            </w:pPr>
            <w:r>
              <w:t>m. how value for money was considered and achieved;</w:t>
            </w:r>
          </w:p>
          <w:p w14:paraId="583BE248" w14:textId="77777777" w:rsidR="006D5420" w:rsidRDefault="006D5420" w:rsidP="009568A4">
            <w:pPr>
              <w:pStyle w:val="Definitiontableparagraph"/>
              <w:ind w:left="720"/>
            </w:pPr>
            <w:r>
              <w:t>n. relevant approvals; and</w:t>
            </w:r>
          </w:p>
          <w:p w14:paraId="0C64D860" w14:textId="77777777" w:rsidR="006D5420" w:rsidRDefault="006D5420" w:rsidP="009568A4">
            <w:pPr>
              <w:pStyle w:val="Definitiontableparagraph"/>
              <w:ind w:left="720"/>
            </w:pPr>
            <w:r>
              <w:t>o. relevant decisions and the basis of those decisions.</w:t>
            </w:r>
          </w:p>
          <w:p w14:paraId="13CD83CA" w14:textId="77777777" w:rsidR="006D5420" w:rsidRDefault="006D5420" w:rsidP="009568A4">
            <w:pPr>
              <w:pStyle w:val="Definitiontableparagraph"/>
            </w:pPr>
            <w:r>
              <w:t>7.4 Relevant entities must have access to evidence of agreements with suppliers, in the form of one or a combination of the following documents: a written contract, a purchase order, an invoice or a receipt.</w:t>
            </w:r>
          </w:p>
          <w:p w14:paraId="4BD90C30" w14:textId="77777777" w:rsidR="006D5420" w:rsidRDefault="006D5420" w:rsidP="009568A4">
            <w:pPr>
              <w:pStyle w:val="Definitiontableparagraph"/>
            </w:pPr>
            <w:r>
              <w:t xml:space="preserve">7.5 Documentation </w:t>
            </w:r>
            <w:r w:rsidRPr="00FF1E44">
              <w:rPr>
                <w:b/>
              </w:rPr>
              <w:t>must</w:t>
            </w:r>
            <w:r>
              <w:t xml:space="preserve"> be retained in accordance with the Archives Act 1983.</w:t>
            </w:r>
          </w:p>
          <w:p w14:paraId="20382092" w14:textId="6FDEA7D2" w:rsidR="00B462D5" w:rsidRPr="005D3339" w:rsidRDefault="00B462D5" w:rsidP="009568A4">
            <w:pPr>
              <w:pStyle w:val="Definitiontableparagraph"/>
              <w:rPr>
                <w:i/>
              </w:rPr>
            </w:pPr>
            <w:r w:rsidRPr="005D3339">
              <w:t>Source:</w:t>
            </w:r>
            <w:r w:rsidRPr="005D3339">
              <w:rPr>
                <w:i/>
              </w:rPr>
              <w:t xml:space="preserve"> Commonwealth Procurement Rules 2022</w:t>
            </w:r>
          </w:p>
        </w:tc>
        <w:tc>
          <w:tcPr>
            <w:tcW w:w="929" w:type="dxa"/>
            <w:shd w:val="clear" w:color="auto" w:fill="EEEDEC"/>
          </w:tcPr>
          <w:p w14:paraId="24463B43" w14:textId="77777777" w:rsidR="00B462D5" w:rsidRPr="005D3339" w:rsidRDefault="00B462D5" w:rsidP="009568A4">
            <w:pPr>
              <w:rPr>
                <w:b/>
              </w:rPr>
            </w:pPr>
            <w:r>
              <w:rPr>
                <w:noProof/>
                <w:lang w:eastAsia="en-AU"/>
              </w:rPr>
              <w:drawing>
                <wp:inline distT="0" distB="0" distL="0" distR="0" wp14:anchorId="2CF676AD" wp14:editId="1D5CF4BB">
                  <wp:extent cx="368496" cy="368496"/>
                  <wp:effectExtent l="0" t="0" r="0" b="0"/>
                  <wp:docPr id="12" name="Picture 12" descr="Decorative image indicating that this section is about defining particular Commonwealth Procurement Rules."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Announcem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8496" cy="368496"/>
                          </a:xfrm>
                          <a:prstGeom prst="rect">
                            <a:avLst/>
                          </a:prstGeom>
                        </pic:spPr>
                      </pic:pic>
                    </a:graphicData>
                  </a:graphic>
                </wp:inline>
              </w:drawing>
            </w:r>
          </w:p>
        </w:tc>
      </w:tr>
    </w:tbl>
    <w:p w14:paraId="1D23E73E" w14:textId="0B212609" w:rsidR="00B462D5" w:rsidRDefault="00296215" w:rsidP="00694A3A">
      <w:pPr>
        <w:pStyle w:val="Recommendationheading"/>
        <w:keepNext/>
      </w:pPr>
      <w:r>
        <w:lastRenderedPageBreak/>
        <w:t>Recommendation 7</w:t>
      </w:r>
    </w:p>
    <w:tbl>
      <w:tblPr>
        <w:tblStyle w:val="TableGrid"/>
        <w:tblpPr w:leftFromText="181" w:rightFromText="181" w:bottomFromText="284" w:vertAnchor="text" w:tblpY="1"/>
        <w:tblOverlap w:val="never"/>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A82"/>
        <w:tblCellMar>
          <w:top w:w="142" w:type="dxa"/>
          <w:left w:w="142" w:type="dxa"/>
          <w:right w:w="142" w:type="dxa"/>
        </w:tblCellMar>
        <w:tblLook w:val="0500" w:firstRow="0" w:lastRow="0" w:firstColumn="0" w:lastColumn="1" w:noHBand="0" w:noVBand="1"/>
        <w:tblCaption w:val="Recommendation 7"/>
        <w:tblDescription w:val="The NDIA and SA should review the adequacy of their current record keeping arrangements, and their plans to improve them, in light of the findings of the report."/>
      </w:tblPr>
      <w:tblGrid>
        <w:gridCol w:w="8197"/>
        <w:gridCol w:w="929"/>
      </w:tblGrid>
      <w:tr w:rsidR="00B61683" w14:paraId="574DC07B" w14:textId="77777777" w:rsidTr="00EE788C">
        <w:trPr>
          <w:trHeight w:val="574"/>
          <w:tblHeader/>
        </w:trPr>
        <w:tc>
          <w:tcPr>
            <w:tcW w:w="8197" w:type="dxa"/>
            <w:shd w:val="clear" w:color="auto" w:fill="004A82"/>
          </w:tcPr>
          <w:p w14:paraId="353691BE" w14:textId="16E764E5" w:rsidR="00B61683" w:rsidRPr="005D3339" w:rsidRDefault="00B61683" w:rsidP="009568A4">
            <w:pPr>
              <w:pStyle w:val="Definitiontableparagraph"/>
              <w:rPr>
                <w:i/>
              </w:rPr>
            </w:pPr>
            <w:r w:rsidRPr="00B61683">
              <w:t xml:space="preserve">The NDIA and SA should review the adequacy of </w:t>
            </w:r>
            <w:r w:rsidR="0018104C">
              <w:t xml:space="preserve">their </w:t>
            </w:r>
            <w:r w:rsidRPr="00B61683">
              <w:t>current record keeping arrangements, and their plans to improve them, in light of the findings of the report.</w:t>
            </w:r>
          </w:p>
        </w:tc>
        <w:tc>
          <w:tcPr>
            <w:tcW w:w="929" w:type="dxa"/>
            <w:shd w:val="clear" w:color="auto" w:fill="004A82"/>
          </w:tcPr>
          <w:p w14:paraId="0981E57E" w14:textId="77777777" w:rsidR="00B61683" w:rsidRPr="005D3339" w:rsidRDefault="00B61683" w:rsidP="009568A4">
            <w:pPr>
              <w:rPr>
                <w:b/>
              </w:rPr>
            </w:pPr>
            <w:r>
              <w:rPr>
                <w:noProof/>
                <w:lang w:eastAsia="en-AU"/>
              </w:rPr>
              <w:drawing>
                <wp:inline distT="0" distB="0" distL="0" distR="0" wp14:anchorId="5CDE00E1" wp14:editId="3B82E7D6">
                  <wp:extent cx="368496" cy="366947"/>
                  <wp:effectExtent l="0" t="0" r="0" b="0"/>
                  <wp:docPr id="16" name="Picture 16" descr="Decorative image indicating that this section is about a particluar recommendation."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Announcem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496" cy="366947"/>
                          </a:xfrm>
                          <a:prstGeom prst="rect">
                            <a:avLst/>
                          </a:prstGeom>
                        </pic:spPr>
                      </pic:pic>
                    </a:graphicData>
                  </a:graphic>
                </wp:inline>
              </w:drawing>
            </w:r>
          </w:p>
        </w:tc>
      </w:tr>
    </w:tbl>
    <w:p w14:paraId="53D9F0F1" w14:textId="14BC4DF0" w:rsidR="00F06173" w:rsidRDefault="00F06173" w:rsidP="00FF1E44">
      <w:pPr>
        <w:pStyle w:val="Heading3"/>
      </w:pPr>
      <w:r>
        <w:t>Expansion of scope and scale</w:t>
      </w:r>
    </w:p>
    <w:p w14:paraId="6AFD31BA" w14:textId="2FB8BB79" w:rsidR="00F06173" w:rsidRPr="00A865CD" w:rsidRDefault="00F06173" w:rsidP="00FF1E44">
      <w:r w:rsidRPr="00A865CD">
        <w:t>A number of the pro</w:t>
      </w:r>
      <w:r w:rsidRPr="00211E49">
        <w:t>curements analysed by the Taskf</w:t>
      </w:r>
      <w:r w:rsidRPr="00A865CD">
        <w:t>orce</w:t>
      </w:r>
      <w:r w:rsidR="00103028">
        <w:t xml:space="preserve"> </w:t>
      </w:r>
      <w:r w:rsidRPr="00A865CD">
        <w:t>began with a small procurement leading on to much larger procurements</w:t>
      </w:r>
      <w:r w:rsidR="00103028">
        <w:t>. They</w:t>
      </w:r>
      <w:r w:rsidRPr="00A865CD">
        <w:t xml:space="preserve"> </w:t>
      </w:r>
      <w:r w:rsidR="005A312D">
        <w:t>often</w:t>
      </w:r>
      <w:r w:rsidR="005A312D" w:rsidRPr="00A865CD">
        <w:t xml:space="preserve"> </w:t>
      </w:r>
      <w:r w:rsidRPr="00A865CD">
        <w:t>included</w:t>
      </w:r>
      <w:r w:rsidR="00910B63">
        <w:t xml:space="preserve"> several extensions of scope alongside</w:t>
      </w:r>
      <w:r w:rsidRPr="00A865CD">
        <w:t xml:space="preserve"> significant additional resources</w:t>
      </w:r>
      <w:r w:rsidR="005A312D">
        <w:t xml:space="preserve"> for the existing </w:t>
      </w:r>
      <w:r w:rsidR="005A312D" w:rsidRPr="00F51871">
        <w:t>procurement</w:t>
      </w:r>
      <w:r w:rsidR="0092243C" w:rsidRPr="00F51871">
        <w:t xml:space="preserve">. </w:t>
      </w:r>
      <w:r w:rsidR="00D90A67" w:rsidRPr="00F51871">
        <w:t>Six of 11</w:t>
      </w:r>
      <w:r w:rsidR="0092243C" w:rsidRPr="00F51871">
        <w:t xml:space="preserve"> variations increased the value of the contract by 200 per cent or more.</w:t>
      </w:r>
    </w:p>
    <w:p w14:paraId="0E69A728" w14:textId="5CFCF01D" w:rsidR="00F06173" w:rsidRPr="00211E49" w:rsidRDefault="00F06173" w:rsidP="00FF1E44">
      <w:r w:rsidRPr="00A865CD">
        <w:t xml:space="preserve">These changes may have been </w:t>
      </w:r>
      <w:r>
        <w:t>appropriately</w:t>
      </w:r>
      <w:r w:rsidRPr="00A865CD">
        <w:t xml:space="preserve"> justified in dealing with</w:t>
      </w:r>
      <w:r w:rsidR="0021568E">
        <w:t xml:space="preserve"> the</w:t>
      </w:r>
      <w:r w:rsidRPr="00A865CD">
        <w:t xml:space="preserve"> evolving demand</w:t>
      </w:r>
      <w:r w:rsidRPr="00211E49">
        <w:t xml:space="preserve">/needs of </w:t>
      </w:r>
      <w:r w:rsidRPr="00A865CD">
        <w:t xml:space="preserve">the procurement. That said, they may also indicate poor </w:t>
      </w:r>
      <w:r w:rsidR="00FB6FA2" w:rsidRPr="007115FF">
        <w:t xml:space="preserve">or </w:t>
      </w:r>
      <w:r w:rsidR="00FB6FA2">
        <w:t xml:space="preserve">deficient </w:t>
      </w:r>
      <w:r w:rsidRPr="00A865CD">
        <w:t>procurement procedure and/or perhaps too close a ‘relationship’ with the</w:t>
      </w:r>
      <w:r w:rsidR="005A55A9">
        <w:t xml:space="preserve"> existing</w:t>
      </w:r>
      <w:r w:rsidRPr="00A865CD">
        <w:t xml:space="preserve"> </w:t>
      </w:r>
      <w:r w:rsidR="0000161A">
        <w:t>supplier</w:t>
      </w:r>
      <w:r w:rsidRPr="00A865CD">
        <w:t>. If either of these factors plays a role</w:t>
      </w:r>
      <w:r>
        <w:t>,</w:t>
      </w:r>
      <w:r w:rsidRPr="00A865CD">
        <w:t xml:space="preserve"> the procurement is unlikely to </w:t>
      </w:r>
      <w:r>
        <w:t xml:space="preserve">deliver </w:t>
      </w:r>
      <w:r w:rsidRPr="00211E49">
        <w:t>genuine value for money.</w:t>
      </w:r>
    </w:p>
    <w:p w14:paraId="063E634E" w14:textId="6E947C99" w:rsidR="00F06173" w:rsidRPr="00A865CD" w:rsidRDefault="00F06173" w:rsidP="00FF1E44">
      <w:r w:rsidRPr="00A865CD">
        <w:t xml:space="preserve">Regardless of the cause, there should be a </w:t>
      </w:r>
      <w:r>
        <w:t xml:space="preserve">point </w:t>
      </w:r>
      <w:r w:rsidRPr="00211E49">
        <w:t>at which the overall</w:t>
      </w:r>
      <w:r w:rsidRPr="00A865CD">
        <w:t xml:space="preserve"> procurement is</w:t>
      </w:r>
      <w:r w:rsidRPr="00211E49">
        <w:t xml:space="preserve"> considered </w:t>
      </w:r>
      <w:r w:rsidR="00C33DC2">
        <w:t>at</w:t>
      </w:r>
      <w:r w:rsidRPr="00211E49">
        <w:t xml:space="preserve"> a more senior level </w:t>
      </w:r>
      <w:r w:rsidR="000B5B40">
        <w:t xml:space="preserve">in the organisation </w:t>
      </w:r>
      <w:r w:rsidRPr="00211E49">
        <w:t>tha</w:t>
      </w:r>
      <w:r w:rsidRPr="00A865CD">
        <w:t xml:space="preserve">n the original decision </w:t>
      </w:r>
      <w:r w:rsidRPr="00211E49">
        <w:t xml:space="preserve">maker </w:t>
      </w:r>
      <w:r>
        <w:t>(</w:t>
      </w:r>
      <w:r w:rsidRPr="00211E49">
        <w:t>including by the agency</w:t>
      </w:r>
      <w:r>
        <w:t>’s</w:t>
      </w:r>
      <w:r w:rsidRPr="00A865CD">
        <w:t xml:space="preserve"> CEO</w:t>
      </w:r>
      <w:r>
        <w:t>)</w:t>
      </w:r>
      <w:r w:rsidR="001D2453">
        <w:t xml:space="preserve">. </w:t>
      </w:r>
      <w:r w:rsidR="00C33DC2">
        <w:t>Moreover, a</w:t>
      </w:r>
      <w:r w:rsidRPr="00A865CD">
        <w:t>ll option</w:t>
      </w:r>
      <w:r>
        <w:t>s</w:t>
      </w:r>
      <w:r w:rsidRPr="00211E49">
        <w:t xml:space="preserve"> </w:t>
      </w:r>
      <w:r w:rsidR="001D2453">
        <w:t xml:space="preserve">for the future of </w:t>
      </w:r>
      <w:r w:rsidRPr="00211E49">
        <w:t>the procurement</w:t>
      </w:r>
      <w:r w:rsidR="001D2453">
        <w:t xml:space="preserve"> should </w:t>
      </w:r>
      <w:r w:rsidR="005A312D">
        <w:t xml:space="preserve">then </w:t>
      </w:r>
      <w:r w:rsidR="001D2453">
        <w:t xml:space="preserve">be </w:t>
      </w:r>
      <w:r w:rsidRPr="00A865CD">
        <w:t>on the table.</w:t>
      </w:r>
    </w:p>
    <w:p w14:paraId="0562E3EC" w14:textId="517CE148" w:rsidR="00525A07" w:rsidRDefault="00D31CFA" w:rsidP="00FF1E44">
      <w:r>
        <w:t>The</w:t>
      </w:r>
      <w:r w:rsidR="00F06173" w:rsidRPr="00A865CD">
        <w:t xml:space="preserve"> Department of Fin</w:t>
      </w:r>
      <w:r w:rsidR="005139EA" w:rsidRPr="00211E49">
        <w:t xml:space="preserve">ance </w:t>
      </w:r>
      <w:r>
        <w:t xml:space="preserve">has advised </w:t>
      </w:r>
      <w:r w:rsidR="005A312D">
        <w:t xml:space="preserve">the Reviewer </w:t>
      </w:r>
      <w:r w:rsidR="005139EA" w:rsidRPr="00211E49">
        <w:t>that AusTender will</w:t>
      </w:r>
      <w:r w:rsidR="00351F93">
        <w:t xml:space="preserve"> be further</w:t>
      </w:r>
      <w:r w:rsidR="005139EA" w:rsidRPr="00211E49">
        <w:t xml:space="preserve"> develo</w:t>
      </w:r>
      <w:r>
        <w:t>p</w:t>
      </w:r>
      <w:r w:rsidR="00351F93">
        <w:t>ed</w:t>
      </w:r>
      <w:r>
        <w:t xml:space="preserve"> </w:t>
      </w:r>
      <w:r w:rsidR="00F06173" w:rsidRPr="00A865CD">
        <w:t xml:space="preserve">to provide a </w:t>
      </w:r>
      <w:r w:rsidR="005139EA">
        <w:t xml:space="preserve">signal </w:t>
      </w:r>
      <w:r w:rsidR="00F06173" w:rsidRPr="00A865CD">
        <w:t xml:space="preserve">to agencies </w:t>
      </w:r>
      <w:r w:rsidR="005139EA">
        <w:t>when</w:t>
      </w:r>
      <w:r w:rsidR="00F06173" w:rsidRPr="00A865CD">
        <w:t xml:space="preserve"> </w:t>
      </w:r>
      <w:r w:rsidR="00C6718B">
        <w:t xml:space="preserve">a contract has been varied </w:t>
      </w:r>
      <w:proofErr w:type="gramStart"/>
      <w:r w:rsidR="00C6718B">
        <w:t>a number of</w:t>
      </w:r>
      <w:proofErr w:type="gramEnd"/>
      <w:r w:rsidR="00C6718B">
        <w:t xml:space="preserve"> times</w:t>
      </w:r>
      <w:r w:rsidR="00F06173" w:rsidRPr="00A865CD">
        <w:t>. The Reviewer considers such a</w:t>
      </w:r>
      <w:r w:rsidR="004812DA" w:rsidRPr="00211E49">
        <w:t xml:space="preserve"> change well worth </w:t>
      </w:r>
      <w:r w:rsidR="004812DA">
        <w:t xml:space="preserve">introducing, </w:t>
      </w:r>
      <w:r w:rsidR="004812DA" w:rsidRPr="00211E49">
        <w:t>a</w:t>
      </w:r>
      <w:r w:rsidR="00F06173" w:rsidRPr="00A865CD">
        <w:t xml:space="preserve">nd that the agencies should support it. If </w:t>
      </w:r>
      <w:r w:rsidR="004812DA">
        <w:t xml:space="preserve">the Department of </w:t>
      </w:r>
      <w:r w:rsidR="00F06173" w:rsidRPr="00A865CD">
        <w:t xml:space="preserve">Finance does not introduce </w:t>
      </w:r>
      <w:r w:rsidR="004812DA">
        <w:t xml:space="preserve">this </w:t>
      </w:r>
      <w:r w:rsidR="00F06173" w:rsidRPr="00A865CD">
        <w:t xml:space="preserve">change, it should be done within </w:t>
      </w:r>
      <w:r w:rsidR="004812DA">
        <w:t xml:space="preserve">the individual </w:t>
      </w:r>
      <w:r w:rsidR="00F06173" w:rsidRPr="00A865CD">
        <w:t>agencies.</w:t>
      </w:r>
    </w:p>
    <w:p w14:paraId="7E75954F" w14:textId="1725BFFD" w:rsidR="00296215" w:rsidRDefault="00296215" w:rsidP="00296215">
      <w:pPr>
        <w:pStyle w:val="Recommendationheading"/>
      </w:pPr>
      <w:r>
        <w:t>Recommendation 8</w:t>
      </w:r>
    </w:p>
    <w:tbl>
      <w:tblPr>
        <w:tblStyle w:val="TableGrid"/>
        <w:tblpPr w:leftFromText="181" w:rightFromText="181" w:bottomFromText="284" w:vertAnchor="text" w:tblpY="1"/>
        <w:tblOverlap w:val="never"/>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A82"/>
        <w:tblCellMar>
          <w:top w:w="142" w:type="dxa"/>
          <w:left w:w="142" w:type="dxa"/>
          <w:right w:w="142" w:type="dxa"/>
        </w:tblCellMar>
        <w:tblLook w:val="0500" w:firstRow="0" w:lastRow="0" w:firstColumn="0" w:lastColumn="1" w:noHBand="0" w:noVBand="1"/>
        <w:tblCaption w:val="Recommendation 8"/>
        <w:tblDescription w:val="The NDIA and SA CEOs support the introduction of an AusTender change to provide advice to agencies when a contract has been varied a number of times. As the NDIA does not report on AusTender, it should develop its own system. If the change is not introduced as a priority, then SA should develop its own system as well."/>
      </w:tblPr>
      <w:tblGrid>
        <w:gridCol w:w="8197"/>
        <w:gridCol w:w="929"/>
      </w:tblGrid>
      <w:tr w:rsidR="00B61683" w14:paraId="2717A58E" w14:textId="77777777" w:rsidTr="00EE788C">
        <w:trPr>
          <w:trHeight w:val="574"/>
          <w:tblHeader/>
        </w:trPr>
        <w:tc>
          <w:tcPr>
            <w:tcW w:w="8197" w:type="dxa"/>
            <w:shd w:val="clear" w:color="auto" w:fill="004A82"/>
          </w:tcPr>
          <w:p w14:paraId="683177FD" w14:textId="2DE32838" w:rsidR="00B61683" w:rsidRPr="005D3339" w:rsidRDefault="00B61683" w:rsidP="009568A4">
            <w:pPr>
              <w:pStyle w:val="Definitiontableparagraph"/>
              <w:rPr>
                <w:i/>
              </w:rPr>
            </w:pPr>
            <w:r w:rsidRPr="00B61683">
              <w:t xml:space="preserve">The NDIA and SA </w:t>
            </w:r>
            <w:r w:rsidR="0018104C">
              <w:t xml:space="preserve">CEOs </w:t>
            </w:r>
            <w:r w:rsidRPr="00B61683">
              <w:t>support the introduction of an AusTender change to provide advice to agencies when a contract has been varied a number of times. As the NDIA does not report on AusTender, it should develop its own system. If the change is not introduced as a priority, then SA should develop its own system as well.</w:t>
            </w:r>
          </w:p>
        </w:tc>
        <w:tc>
          <w:tcPr>
            <w:tcW w:w="929" w:type="dxa"/>
            <w:shd w:val="clear" w:color="auto" w:fill="004A82"/>
          </w:tcPr>
          <w:p w14:paraId="4CD51F1E" w14:textId="77777777" w:rsidR="00B61683" w:rsidRPr="005D3339" w:rsidRDefault="00B61683" w:rsidP="009568A4">
            <w:pPr>
              <w:rPr>
                <w:b/>
              </w:rPr>
            </w:pPr>
            <w:r>
              <w:rPr>
                <w:noProof/>
                <w:lang w:eastAsia="en-AU"/>
              </w:rPr>
              <w:drawing>
                <wp:inline distT="0" distB="0" distL="0" distR="0" wp14:anchorId="51370264" wp14:editId="5574D47F">
                  <wp:extent cx="368496" cy="366947"/>
                  <wp:effectExtent l="0" t="0" r="0" b="0"/>
                  <wp:docPr id="17" name="Picture 17" descr="Decorative image indicating that this section is about a particluar recommendation."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Announcem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496" cy="366947"/>
                          </a:xfrm>
                          <a:prstGeom prst="rect">
                            <a:avLst/>
                          </a:prstGeom>
                        </pic:spPr>
                      </pic:pic>
                    </a:graphicData>
                  </a:graphic>
                </wp:inline>
              </w:drawing>
            </w:r>
          </w:p>
        </w:tc>
      </w:tr>
    </w:tbl>
    <w:p w14:paraId="4D1CB129" w14:textId="1FE12182" w:rsidR="00F337AC" w:rsidRPr="00F337AC" w:rsidRDefault="00F337AC" w:rsidP="00FF1E44">
      <w:r w:rsidRPr="00F337AC">
        <w:t>Again, in light of</w:t>
      </w:r>
      <w:r>
        <w:t xml:space="preserve"> the value of procurements involved, the Reviewer considers this should be a priority for the Department of Finance.</w:t>
      </w:r>
    </w:p>
    <w:p w14:paraId="4EB0B653" w14:textId="69C1DBDE" w:rsidR="0067300C" w:rsidRDefault="0067300C" w:rsidP="00FF1E44">
      <w:pPr>
        <w:pStyle w:val="Heading2"/>
      </w:pPr>
      <w:r>
        <w:t>Procurement: The Underpinnings</w:t>
      </w:r>
    </w:p>
    <w:p w14:paraId="6C4F7BFF" w14:textId="3EDB6FFB" w:rsidR="0067300C" w:rsidRPr="00A865CD" w:rsidRDefault="00F337AC" w:rsidP="00FF1E44">
      <w:r>
        <w:t>Perhaps the most important</w:t>
      </w:r>
      <w:r w:rsidR="0067300C" w:rsidRPr="00A865CD">
        <w:t xml:space="preserve"> </w:t>
      </w:r>
      <w:r w:rsidR="0067300C" w:rsidRPr="00211E49">
        <w:t>underpinning</w:t>
      </w:r>
      <w:r w:rsidR="0067300C" w:rsidRPr="00A865CD">
        <w:t xml:space="preserve"> of good procurement processes and value for money </w:t>
      </w:r>
      <w:r w:rsidR="0018104C">
        <w:t>outcomes are</w:t>
      </w:r>
      <w:r w:rsidR="0018104C" w:rsidRPr="00A865CD">
        <w:t xml:space="preserve"> </w:t>
      </w:r>
      <w:r w:rsidR="0067300C" w:rsidRPr="00A865CD">
        <w:t xml:space="preserve">the </w:t>
      </w:r>
      <w:r w:rsidR="0067300C">
        <w:t xml:space="preserve">skills of the officials undertaking the procurements, and </w:t>
      </w:r>
      <w:r>
        <w:t xml:space="preserve">of </w:t>
      </w:r>
      <w:r w:rsidR="0067300C">
        <w:t>their advisers</w:t>
      </w:r>
      <w:r w:rsidR="0067300C" w:rsidRPr="00A865CD">
        <w:t xml:space="preserve">. Both </w:t>
      </w:r>
      <w:r w:rsidR="00BA6BEF">
        <w:t xml:space="preserve">the </w:t>
      </w:r>
      <w:r w:rsidR="0067300C" w:rsidRPr="00A865CD">
        <w:t xml:space="preserve">NDIA </w:t>
      </w:r>
      <w:r w:rsidR="0067300C">
        <w:t xml:space="preserve">and </w:t>
      </w:r>
      <w:r w:rsidR="0067300C" w:rsidRPr="00211E49">
        <w:t>SA</w:t>
      </w:r>
      <w:r w:rsidR="0067300C" w:rsidRPr="00A865CD">
        <w:t xml:space="preserve"> have </w:t>
      </w:r>
      <w:r w:rsidR="0067300C">
        <w:t>moved to introduce</w:t>
      </w:r>
      <w:r w:rsidR="00700EE1">
        <w:t xml:space="preserve"> and expand</w:t>
      </w:r>
      <w:r w:rsidR="0067300C">
        <w:t xml:space="preserve"> training programs for officials. </w:t>
      </w:r>
      <w:r w:rsidR="0067300C" w:rsidRPr="00A865CD">
        <w:t xml:space="preserve">Better training is essential to better procurement across the </w:t>
      </w:r>
      <w:proofErr w:type="gramStart"/>
      <w:r w:rsidR="0067300C" w:rsidRPr="00A865CD">
        <w:t>APS as a whole</w:t>
      </w:r>
      <w:proofErr w:type="gramEnd"/>
      <w:r w:rsidR="0067300C" w:rsidRPr="00A865CD">
        <w:t>.</w:t>
      </w:r>
    </w:p>
    <w:p w14:paraId="4054CA6A" w14:textId="0363CE73" w:rsidR="0067300C" w:rsidRPr="00A865CD" w:rsidRDefault="0067300C" w:rsidP="00FF1E44">
      <w:r w:rsidRPr="00A865CD">
        <w:lastRenderedPageBreak/>
        <w:t xml:space="preserve">The procurements reviewed by the </w:t>
      </w:r>
      <w:r w:rsidR="00076752">
        <w:t>Taskforce</w:t>
      </w:r>
      <w:r w:rsidRPr="00A865CD">
        <w:t xml:space="preserve"> and </w:t>
      </w:r>
      <w:r w:rsidR="00910B63">
        <w:t>external consultations</w:t>
      </w:r>
      <w:r w:rsidRPr="00A865CD">
        <w:t xml:space="preserve"> suggest that </w:t>
      </w:r>
      <w:r w:rsidR="00700EE1">
        <w:t>team</w:t>
      </w:r>
      <w:r w:rsidR="00700EE1" w:rsidRPr="00A865CD">
        <w:t xml:space="preserve"> </w:t>
      </w:r>
      <w:r w:rsidRPr="00A865CD">
        <w:t xml:space="preserve">members </w:t>
      </w:r>
      <w:r w:rsidR="00F337AC">
        <w:t xml:space="preserve">sometimes </w:t>
      </w:r>
      <w:r w:rsidR="00910B63">
        <w:t>have</w:t>
      </w:r>
      <w:r w:rsidRPr="00A865CD">
        <w:t xml:space="preserve"> </w:t>
      </w:r>
      <w:r w:rsidR="00995FFF">
        <w:t>little</w:t>
      </w:r>
      <w:r w:rsidRPr="00A865CD">
        <w:t>, if any</w:t>
      </w:r>
      <w:r w:rsidR="00384B9A">
        <w:t>,</w:t>
      </w:r>
      <w:r w:rsidRPr="00A865CD">
        <w:t xml:space="preserve"> experience in procuremen</w:t>
      </w:r>
      <w:r w:rsidR="00995FFF" w:rsidRPr="00211E49">
        <w:t xml:space="preserve">t, and limited understanding of </w:t>
      </w:r>
      <w:r w:rsidRPr="00A865CD">
        <w:t>how to secure value for money.</w:t>
      </w:r>
    </w:p>
    <w:p w14:paraId="0FE62A30" w14:textId="3A47CC1A" w:rsidR="0067300C" w:rsidRDefault="00F2717E" w:rsidP="00FF1E44">
      <w:r>
        <w:t xml:space="preserve">Many of </w:t>
      </w:r>
      <w:r w:rsidR="0067300C" w:rsidRPr="00A865CD">
        <w:t xml:space="preserve">the procurements reviewed </w:t>
      </w:r>
      <w:r w:rsidR="0018104C">
        <w:t>we</w:t>
      </w:r>
      <w:r w:rsidR="0018104C" w:rsidRPr="00A865CD">
        <w:t xml:space="preserve">re </w:t>
      </w:r>
      <w:r w:rsidR="0067300C" w:rsidRPr="00A865CD">
        <w:t xml:space="preserve">complex; some had multiple shortcomings and/or were significantly inconsistent with </w:t>
      </w:r>
      <w:r w:rsidR="00F337AC">
        <w:t>good</w:t>
      </w:r>
      <w:r w:rsidR="0067300C" w:rsidRPr="00A865CD">
        <w:t xml:space="preserve"> practice </w:t>
      </w:r>
      <w:r>
        <w:t xml:space="preserve">and </w:t>
      </w:r>
      <w:r w:rsidRPr="00211E49">
        <w:t>the CPRs</w:t>
      </w:r>
      <w:r w:rsidR="0067300C" w:rsidRPr="00A865CD">
        <w:t xml:space="preserve">. It is hard to see that this will </w:t>
      </w:r>
      <w:r w:rsidR="0018104C">
        <w:t xml:space="preserve">significantly </w:t>
      </w:r>
      <w:r w:rsidR="00961043">
        <w:t xml:space="preserve">and sustainably </w:t>
      </w:r>
      <w:r>
        <w:t xml:space="preserve">improve without </w:t>
      </w:r>
      <w:r w:rsidR="0067300C" w:rsidRPr="00A865CD">
        <w:t xml:space="preserve">several </w:t>
      </w:r>
      <w:r w:rsidR="0018104C">
        <w:t xml:space="preserve">of the </w:t>
      </w:r>
      <w:r w:rsidR="0067300C" w:rsidRPr="00A865CD">
        <w:t>changes</w:t>
      </w:r>
      <w:r w:rsidR="0018104C">
        <w:t xml:space="preserve"> recommended in this review</w:t>
      </w:r>
      <w:r w:rsidR="0067300C" w:rsidRPr="00A865CD">
        <w:t>, including better training a</w:t>
      </w:r>
      <w:r w:rsidRPr="00211E49">
        <w:t xml:space="preserve">nd </w:t>
      </w:r>
      <w:r w:rsidR="006E531A">
        <w:t xml:space="preserve">in some respects, </w:t>
      </w:r>
      <w:r w:rsidRPr="00211E49">
        <w:t>making it mandatory</w:t>
      </w:r>
      <w:r w:rsidR="006E531A">
        <w:t>.</w:t>
      </w:r>
    </w:p>
    <w:p w14:paraId="0BED3993" w14:textId="339C76B0" w:rsidR="00486076" w:rsidRDefault="00384B9A" w:rsidP="00FF1E44">
      <w:r>
        <w:t xml:space="preserve">Procurement officials </w:t>
      </w:r>
      <w:r w:rsidR="00910B63">
        <w:t xml:space="preserve">will be more effective in discharging their duties if they have undertaken procurement training. </w:t>
      </w:r>
      <w:r w:rsidR="00C15B1F">
        <w:t xml:space="preserve">Evaluation </w:t>
      </w:r>
      <w:r w:rsidR="0018104C">
        <w:t xml:space="preserve">team </w:t>
      </w:r>
      <w:r w:rsidR="00EB478D">
        <w:t xml:space="preserve">chairs will be similarly more able if they have participated in </w:t>
      </w:r>
      <w:proofErr w:type="gramStart"/>
      <w:r w:rsidR="00EB478D">
        <w:t>a number of</w:t>
      </w:r>
      <w:proofErr w:type="gramEnd"/>
      <w:r w:rsidR="00EB478D">
        <w:t xml:space="preserve"> </w:t>
      </w:r>
      <w:r w:rsidR="00700EE1">
        <w:t xml:space="preserve">procurements </w:t>
      </w:r>
      <w:r w:rsidR="00EB478D">
        <w:t xml:space="preserve">before they become </w:t>
      </w:r>
      <w:r w:rsidR="00940871">
        <w:t>a</w:t>
      </w:r>
      <w:r w:rsidR="00EB478D">
        <w:t xml:space="preserve"> chair.</w:t>
      </w:r>
    </w:p>
    <w:p w14:paraId="26C6707B" w14:textId="77029026" w:rsidR="0067300C" w:rsidRDefault="0067300C" w:rsidP="00FF1E44">
      <w:r w:rsidRPr="00A865CD">
        <w:t xml:space="preserve">It is also desirable that decision makers have undertaken procurement training, but it is not </w:t>
      </w:r>
      <w:r w:rsidR="00F337AC">
        <w:t xml:space="preserve">always </w:t>
      </w:r>
      <w:r w:rsidRPr="00A865CD">
        <w:t>essential. They are there to provide the benefits of judgement and experience</w:t>
      </w:r>
      <w:r w:rsidR="00910B63">
        <w:t>.</w:t>
      </w:r>
    </w:p>
    <w:p w14:paraId="0B25FD2A" w14:textId="7551AE37" w:rsidR="00460501" w:rsidRDefault="00460501" w:rsidP="00460501">
      <w:pPr>
        <w:pStyle w:val="Recommendationheading"/>
      </w:pPr>
      <w:r>
        <w:t>Recommendation 9</w:t>
      </w:r>
    </w:p>
    <w:tbl>
      <w:tblPr>
        <w:tblStyle w:val="TableGrid"/>
        <w:tblpPr w:leftFromText="181" w:rightFromText="181" w:bottomFromText="284" w:vertAnchor="text" w:tblpY="1"/>
        <w:tblOverlap w:val="never"/>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A82"/>
        <w:tblCellMar>
          <w:top w:w="142" w:type="dxa"/>
          <w:left w:w="142" w:type="dxa"/>
          <w:right w:w="142" w:type="dxa"/>
        </w:tblCellMar>
        <w:tblLook w:val="0500" w:firstRow="0" w:lastRow="0" w:firstColumn="0" w:lastColumn="1" w:noHBand="0" w:noVBand="1"/>
        <w:tblCaption w:val="Recommendation 9"/>
        <w:tblDescription w:val="The NDIA and SA should review the adequacy of their procurement training programs, and their officials’ procurement experience, and enhance them as necessary. They should also require specified levels of training and experience for procurement team members and procurement team chairs."/>
      </w:tblPr>
      <w:tblGrid>
        <w:gridCol w:w="8197"/>
        <w:gridCol w:w="929"/>
      </w:tblGrid>
      <w:tr w:rsidR="00B61683" w14:paraId="27B4DBD9" w14:textId="77777777" w:rsidTr="00460501">
        <w:trPr>
          <w:trHeight w:val="574"/>
          <w:tblHeader/>
        </w:trPr>
        <w:tc>
          <w:tcPr>
            <w:tcW w:w="8197" w:type="dxa"/>
            <w:shd w:val="clear" w:color="auto" w:fill="004A82"/>
          </w:tcPr>
          <w:p w14:paraId="7E489F55" w14:textId="77C9DF42" w:rsidR="00B61683" w:rsidRPr="005D3339" w:rsidRDefault="00B61683" w:rsidP="009568A4">
            <w:pPr>
              <w:pStyle w:val="Definitiontableparagraph"/>
              <w:rPr>
                <w:i/>
              </w:rPr>
            </w:pPr>
            <w:r w:rsidRPr="00B61683">
              <w:t xml:space="preserve">The NDIA and SA should review the adequacy of their procurement training programs, and their officials’ procurement experience, and enhance them as necessary. They should also require specified levels of training and experience for procurement team members and procurement </w:t>
            </w:r>
            <w:r w:rsidR="0018104C">
              <w:t xml:space="preserve">team </w:t>
            </w:r>
            <w:r w:rsidRPr="00B61683">
              <w:t>chairs.</w:t>
            </w:r>
          </w:p>
        </w:tc>
        <w:tc>
          <w:tcPr>
            <w:tcW w:w="929" w:type="dxa"/>
            <w:shd w:val="clear" w:color="auto" w:fill="004A82"/>
          </w:tcPr>
          <w:p w14:paraId="43156AF4" w14:textId="77777777" w:rsidR="00B61683" w:rsidRPr="005D3339" w:rsidRDefault="00B61683" w:rsidP="009568A4">
            <w:pPr>
              <w:rPr>
                <w:b/>
              </w:rPr>
            </w:pPr>
            <w:r>
              <w:rPr>
                <w:noProof/>
                <w:lang w:eastAsia="en-AU"/>
              </w:rPr>
              <w:drawing>
                <wp:inline distT="0" distB="0" distL="0" distR="0" wp14:anchorId="6062D910" wp14:editId="0707F4A1">
                  <wp:extent cx="368496" cy="366947"/>
                  <wp:effectExtent l="0" t="0" r="0" b="0"/>
                  <wp:docPr id="18" name="Picture 18" descr="Decorative image indicating that this section is about a particluar recommendation."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Announcem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496" cy="366947"/>
                          </a:xfrm>
                          <a:prstGeom prst="rect">
                            <a:avLst/>
                          </a:prstGeom>
                        </pic:spPr>
                      </pic:pic>
                    </a:graphicData>
                  </a:graphic>
                </wp:inline>
              </w:drawing>
            </w:r>
          </w:p>
        </w:tc>
      </w:tr>
    </w:tbl>
    <w:p w14:paraId="58FFE757" w14:textId="1668CE24" w:rsidR="004E25FF" w:rsidRPr="00A865CD" w:rsidRDefault="004E25FF" w:rsidP="00FF1E44">
      <w:pPr>
        <w:pStyle w:val="Heading3"/>
      </w:pPr>
      <w:r w:rsidRPr="00A865CD">
        <w:t xml:space="preserve">Procurement </w:t>
      </w:r>
      <w:r w:rsidR="00910B63">
        <w:t>Partnering</w:t>
      </w:r>
    </w:p>
    <w:p w14:paraId="086294B1" w14:textId="1E73DBDB" w:rsidR="00526273" w:rsidRPr="00F30A97" w:rsidRDefault="00B82963" w:rsidP="00FF1E44">
      <w:r w:rsidRPr="00F30A97">
        <w:t xml:space="preserve">Both agencies have </w:t>
      </w:r>
      <w:r w:rsidR="00910B63">
        <w:t>procurement partnering</w:t>
      </w:r>
      <w:r w:rsidR="005669C5">
        <w:t xml:space="preserve"> in place</w:t>
      </w:r>
      <w:r w:rsidR="00526273" w:rsidRPr="00F30A97">
        <w:t>.</w:t>
      </w:r>
    </w:p>
    <w:p w14:paraId="6C5ADBA1" w14:textId="59F74A6C" w:rsidR="00B82963" w:rsidRPr="00910B63" w:rsidRDefault="00526273" w:rsidP="00FF1E44">
      <w:r w:rsidRPr="00F30A97">
        <w:t>Services Australia has recently undergone a restructure to bring the Technology Sourcing Branch alongside the Procurement Branch, under the Chief Financial Officer. This structural change brings the agency’s procurement functions into a centralised place, and provides greater alignment between the agency’s ICT procurement and other procurement processes.</w:t>
      </w:r>
      <w:r w:rsidR="00B82963" w:rsidRPr="00F30A97">
        <w:t xml:space="preserve"> </w:t>
      </w:r>
      <w:r w:rsidR="00C91E49">
        <w:rPr>
          <w:rFonts w:cs="Arial"/>
          <w:color w:val="000000" w:themeColor="text1"/>
        </w:rPr>
        <w:t>SA</w:t>
      </w:r>
      <w:r w:rsidR="00C91E49" w:rsidRPr="00F64FE1">
        <w:rPr>
          <w:rFonts w:cs="Arial"/>
          <w:color w:val="000000" w:themeColor="text1"/>
        </w:rPr>
        <w:t xml:space="preserve"> </w:t>
      </w:r>
      <w:r w:rsidR="00C91E49">
        <w:rPr>
          <w:rFonts w:cs="Arial"/>
          <w:color w:val="000000" w:themeColor="text1"/>
        </w:rPr>
        <w:t>requires</w:t>
      </w:r>
      <w:r w:rsidR="00C91E49" w:rsidRPr="00F64FE1">
        <w:rPr>
          <w:rFonts w:cs="Arial"/>
          <w:color w:val="000000" w:themeColor="text1"/>
        </w:rPr>
        <w:t xml:space="preserve"> all proposed procurement activities above $10,000 </w:t>
      </w:r>
      <w:r w:rsidR="00C3571B">
        <w:rPr>
          <w:rFonts w:cs="Arial"/>
          <w:color w:val="000000" w:themeColor="text1"/>
        </w:rPr>
        <w:t>to be</w:t>
      </w:r>
      <w:r w:rsidR="00C3571B" w:rsidRPr="00F64FE1">
        <w:rPr>
          <w:rFonts w:cs="Arial"/>
          <w:color w:val="000000" w:themeColor="text1"/>
        </w:rPr>
        <w:t xml:space="preserve"> </w:t>
      </w:r>
      <w:r w:rsidR="00C91E49" w:rsidRPr="00F64FE1">
        <w:rPr>
          <w:rFonts w:cs="Arial"/>
          <w:color w:val="000000" w:themeColor="text1"/>
        </w:rPr>
        <w:t>reviewed and supported by the Procurement Branch or</w:t>
      </w:r>
      <w:r w:rsidR="00C91E49">
        <w:rPr>
          <w:rFonts w:cs="Arial"/>
          <w:color w:val="000000" w:themeColor="text1"/>
        </w:rPr>
        <w:t xml:space="preserve"> Technology Sourcing Branch</w:t>
      </w:r>
      <w:r w:rsidR="00910B63">
        <w:rPr>
          <w:rFonts w:cs="Arial"/>
          <w:color w:val="000000" w:themeColor="text1"/>
        </w:rPr>
        <w:t xml:space="preserve">. </w:t>
      </w:r>
      <w:r w:rsidR="00AB329A">
        <w:rPr>
          <w:rFonts w:cs="Arial"/>
          <w:color w:val="000000" w:themeColor="text1"/>
        </w:rPr>
        <w:t>Internal SA policies and procedures require certain procurements to be endorsed by the National Manager of the Procur</w:t>
      </w:r>
      <w:r w:rsidR="00604E56">
        <w:rPr>
          <w:rFonts w:cs="Arial"/>
          <w:color w:val="000000" w:themeColor="text1"/>
        </w:rPr>
        <w:t>e</w:t>
      </w:r>
      <w:r w:rsidR="00AB329A">
        <w:rPr>
          <w:rFonts w:cs="Arial"/>
          <w:color w:val="000000" w:themeColor="text1"/>
        </w:rPr>
        <w:t>ment Branch or the National Manager of the Technology Sourcing Branch.</w:t>
      </w:r>
    </w:p>
    <w:p w14:paraId="7EFCBF90" w14:textId="368DF106" w:rsidR="00993C39" w:rsidRDefault="00993C39" w:rsidP="00FF1E44">
      <w:pPr>
        <w:rPr>
          <w:rFonts w:cs="Arial"/>
          <w:bCs/>
        </w:rPr>
      </w:pPr>
      <w:r w:rsidRPr="00F64FE1">
        <w:rPr>
          <w:rFonts w:cs="Arial"/>
        </w:rPr>
        <w:t xml:space="preserve">The NDIA requires business areas to work with the Procurement Business Partner </w:t>
      </w:r>
      <w:r>
        <w:rPr>
          <w:rFonts w:cs="Arial"/>
        </w:rPr>
        <w:t xml:space="preserve">for procurements valued at $100,000 or more. </w:t>
      </w:r>
      <w:r>
        <w:rPr>
          <w:rFonts w:cs="Arial"/>
          <w:color w:val="000000" w:themeColor="text1"/>
        </w:rPr>
        <w:t xml:space="preserve">The </w:t>
      </w:r>
      <w:r w:rsidRPr="00F64FE1">
        <w:rPr>
          <w:rFonts w:cs="Arial"/>
          <w:color w:val="000000" w:themeColor="text1"/>
        </w:rPr>
        <w:t xml:space="preserve">Procurement and Corporate Services </w:t>
      </w:r>
      <w:r>
        <w:rPr>
          <w:rFonts w:cs="Arial"/>
          <w:color w:val="000000" w:themeColor="text1"/>
        </w:rPr>
        <w:t xml:space="preserve">Branch </w:t>
      </w:r>
      <w:r w:rsidRPr="008975BB">
        <w:rPr>
          <w:rFonts w:cs="Arial"/>
          <w:bCs/>
        </w:rPr>
        <w:t xml:space="preserve">then works with </w:t>
      </w:r>
      <w:r>
        <w:rPr>
          <w:rFonts w:cs="Arial"/>
          <w:bCs/>
        </w:rPr>
        <w:t>business areas</w:t>
      </w:r>
      <w:r w:rsidRPr="008975BB">
        <w:rPr>
          <w:rFonts w:cs="Arial"/>
          <w:bCs/>
        </w:rPr>
        <w:t xml:space="preserve"> to </w:t>
      </w:r>
      <w:r w:rsidR="00122243">
        <w:rPr>
          <w:rFonts w:cs="Arial"/>
          <w:bCs/>
        </w:rPr>
        <w:t>provide templates, guidance and advice to manage the procurement process.</w:t>
      </w:r>
      <w:r w:rsidR="004454A0" w:rsidRPr="004454A0">
        <w:rPr>
          <w:rFonts w:cs="Arial"/>
        </w:rPr>
        <w:t xml:space="preserve"> </w:t>
      </w:r>
      <w:r w:rsidR="004454A0">
        <w:rPr>
          <w:rFonts w:cs="Arial"/>
        </w:rPr>
        <w:t>NDIA procurements valued over $400,000 require endorsement from the Procurement and Corporate Services Branch Manager.</w:t>
      </w:r>
    </w:p>
    <w:p w14:paraId="74A8A652" w14:textId="3860F33F" w:rsidR="00B82963" w:rsidRDefault="00910B63" w:rsidP="00FF1E44">
      <w:pPr>
        <w:rPr>
          <w:rFonts w:cs="Arial"/>
        </w:rPr>
      </w:pPr>
      <w:r>
        <w:t xml:space="preserve">The procurement partnering model </w:t>
      </w:r>
      <w:r>
        <w:rPr>
          <w:rFonts w:cs="Arial"/>
        </w:rPr>
        <w:t xml:space="preserve">has </w:t>
      </w:r>
      <w:r w:rsidR="00B82963" w:rsidRPr="00B82963">
        <w:rPr>
          <w:rFonts w:cs="Arial"/>
        </w:rPr>
        <w:t>the ability</w:t>
      </w:r>
      <w:r w:rsidR="0021568E">
        <w:rPr>
          <w:rFonts w:cs="Arial"/>
        </w:rPr>
        <w:t xml:space="preserve"> not just</w:t>
      </w:r>
      <w:r w:rsidR="00B82963" w:rsidRPr="00B82963">
        <w:rPr>
          <w:rFonts w:cs="Arial"/>
        </w:rPr>
        <w:t xml:space="preserve"> to </w:t>
      </w:r>
      <w:r w:rsidR="00B82963">
        <w:rPr>
          <w:rFonts w:cs="Arial"/>
        </w:rPr>
        <w:t xml:space="preserve">provide contacts and occasional advice, </w:t>
      </w:r>
      <w:r w:rsidR="00B82963" w:rsidRPr="00B82963">
        <w:rPr>
          <w:rFonts w:cs="Arial"/>
        </w:rPr>
        <w:t>but to add substantial value</w:t>
      </w:r>
      <w:r w:rsidR="0045555E">
        <w:rPr>
          <w:rFonts w:cs="Arial"/>
        </w:rPr>
        <w:t xml:space="preserve"> and better manage risk</w:t>
      </w:r>
      <w:r w:rsidR="00B82963" w:rsidRPr="00B82963">
        <w:rPr>
          <w:rFonts w:cs="Arial"/>
        </w:rPr>
        <w:t xml:space="preserve">. </w:t>
      </w:r>
      <w:r w:rsidR="0018104C">
        <w:rPr>
          <w:rFonts w:cs="Arial"/>
        </w:rPr>
        <w:t xml:space="preserve">This is </w:t>
      </w:r>
      <w:r w:rsidR="009D0841">
        <w:rPr>
          <w:rFonts w:cs="Arial"/>
        </w:rPr>
        <w:t>consistent with</w:t>
      </w:r>
      <w:r w:rsidR="0018104C">
        <w:rPr>
          <w:rFonts w:cs="Arial"/>
        </w:rPr>
        <w:t xml:space="preserve"> the emphasis the ANAO puts on establishing a central procurement unit, and the role it might play inside </w:t>
      </w:r>
      <w:r w:rsidR="007E52A7">
        <w:rPr>
          <w:rFonts w:cs="Arial"/>
        </w:rPr>
        <w:t xml:space="preserve">an </w:t>
      </w:r>
      <w:r w:rsidR="0018104C">
        <w:rPr>
          <w:rFonts w:cs="Arial"/>
        </w:rPr>
        <w:t>agency.</w:t>
      </w:r>
    </w:p>
    <w:p w14:paraId="59EFBD52" w14:textId="77777777" w:rsidR="00713887" w:rsidRDefault="00713887">
      <w:pPr>
        <w:rPr>
          <w:rFonts w:cs="Arial"/>
          <w:b/>
          <w:bCs/>
          <w:sz w:val="28"/>
          <w:szCs w:val="28"/>
        </w:rPr>
      </w:pPr>
      <w:r>
        <w:br w:type="page"/>
      </w:r>
    </w:p>
    <w:p w14:paraId="05019B4B" w14:textId="50E0C4EE" w:rsidR="004E25FF" w:rsidRPr="00B82963" w:rsidRDefault="004E25FF" w:rsidP="00FF1E44">
      <w:pPr>
        <w:pStyle w:val="Heading3"/>
      </w:pPr>
      <w:r>
        <w:lastRenderedPageBreak/>
        <w:t>Contract Management</w:t>
      </w:r>
    </w:p>
    <w:p w14:paraId="66E88DCF" w14:textId="2EB6745A" w:rsidR="00795AC6" w:rsidRDefault="009F084F" w:rsidP="00FF1E44">
      <w:r>
        <w:t>A</w:t>
      </w:r>
      <w:r w:rsidRPr="00B82963">
        <w:t>lthough</w:t>
      </w:r>
      <w:r>
        <w:t xml:space="preserve"> the R</w:t>
      </w:r>
      <w:r w:rsidR="00B82963" w:rsidRPr="00B82963">
        <w:t xml:space="preserve">eview </w:t>
      </w:r>
      <w:r w:rsidR="00A15E85">
        <w:t>is not directed</w:t>
      </w:r>
      <w:r w:rsidR="00B82963" w:rsidRPr="00B82963">
        <w:t xml:space="preserve"> to the</w:t>
      </w:r>
      <w:r w:rsidR="00A15E85">
        <w:t xml:space="preserve"> subject of contract management</w:t>
      </w:r>
      <w:r w:rsidR="00B82963" w:rsidRPr="00B82963">
        <w:t xml:space="preserve">, it is the </w:t>
      </w:r>
      <w:r w:rsidR="00A15E85">
        <w:t xml:space="preserve">Reviewer’s </w:t>
      </w:r>
      <w:r w:rsidR="00B82963" w:rsidRPr="00B82963">
        <w:t>conclusion that the shortcomings in procurements are ma</w:t>
      </w:r>
      <w:r w:rsidR="007F00BA">
        <w:t>tch</w:t>
      </w:r>
      <w:r w:rsidR="00B82963" w:rsidRPr="00B82963">
        <w:t>ed by short</w:t>
      </w:r>
      <w:r w:rsidR="00A15E85">
        <w:t xml:space="preserve">comings in contract management. Indeed, some of the </w:t>
      </w:r>
      <w:r w:rsidR="00A15E85" w:rsidRPr="00910B63">
        <w:t>series</w:t>
      </w:r>
      <w:r w:rsidR="00B82963" w:rsidRPr="00B82963">
        <w:t xml:space="preserve"> </w:t>
      </w:r>
      <w:r w:rsidR="00A15E85">
        <w:t>of procurements seem to, in turn, reflect failures</w:t>
      </w:r>
      <w:r w:rsidR="00B82963" w:rsidRPr="00B82963">
        <w:t xml:space="preserve"> of </w:t>
      </w:r>
      <w:r w:rsidR="004B22F9" w:rsidRPr="00B82963">
        <w:t>contract management.</w:t>
      </w:r>
    </w:p>
    <w:p w14:paraId="79339085" w14:textId="7A609206" w:rsidR="00795AC6" w:rsidRDefault="00795AC6" w:rsidP="00FF1E44">
      <w:r>
        <w:t xml:space="preserve">For example, </w:t>
      </w:r>
      <w:r w:rsidRPr="00C3571B">
        <w:t xml:space="preserve">a substantial contract for three and a half years was terminated after just nine </w:t>
      </w:r>
      <w:proofErr w:type="gramStart"/>
      <w:r w:rsidRPr="00C3571B">
        <w:t>months, and</w:t>
      </w:r>
      <w:proofErr w:type="gramEnd"/>
      <w:r w:rsidRPr="00C3571B">
        <w:t xml:space="preserve"> replaced with a number of incremental contracts reflecting a complete change in delivery approach</w:t>
      </w:r>
      <w:r w:rsidR="00403344" w:rsidRPr="00C3571B">
        <w:t>, with impacts on the value for money assessment.</w:t>
      </w:r>
    </w:p>
    <w:p w14:paraId="35FE1B65" w14:textId="65CEDDB9" w:rsidR="0079425A" w:rsidRDefault="00121DAD" w:rsidP="00FF1E44">
      <w:r>
        <w:t xml:space="preserve">In another example, a procurement was commenced under an existing panel arrangement, </w:t>
      </w:r>
      <w:r w:rsidR="004070BD">
        <w:t>and</w:t>
      </w:r>
      <w:r>
        <w:t xml:space="preserve"> subsequent procurements undertaken under </w:t>
      </w:r>
      <w:r w:rsidR="0045555E">
        <w:t xml:space="preserve">a different </w:t>
      </w:r>
      <w:r>
        <w:t>deed. However, contract information was copied across incorrectly</w:t>
      </w:r>
      <w:r w:rsidR="0045555E">
        <w:t xml:space="preserve"> from the initial procurement docum</w:t>
      </w:r>
      <w:r w:rsidR="00AD2FFE">
        <w:t>en</w:t>
      </w:r>
      <w:r w:rsidR="0045555E">
        <w:t>tation</w:t>
      </w:r>
      <w:r>
        <w:t>, or not properly amended</w:t>
      </w:r>
      <w:r w:rsidR="0045555E">
        <w:t xml:space="preserve"> in the subsequent procurement documentation</w:t>
      </w:r>
      <w:r>
        <w:t xml:space="preserve">. Not taking care in the detail of </w:t>
      </w:r>
      <w:r w:rsidR="004070BD">
        <w:t xml:space="preserve">these </w:t>
      </w:r>
      <w:r>
        <w:t>spending proposals led to unclear and misleading documentation, reflecting poor management overall.</w:t>
      </w:r>
    </w:p>
    <w:p w14:paraId="6C9E8D6C" w14:textId="7426DF98" w:rsidR="0018104C" w:rsidRDefault="0018104C" w:rsidP="00FF1E44">
      <w:r>
        <w:t xml:space="preserve">Finally, value for money is </w:t>
      </w:r>
      <w:r w:rsidR="009D0841">
        <w:t>only</w:t>
      </w:r>
      <w:r>
        <w:t xml:space="preserve"> realised through the contract that results</w:t>
      </w:r>
      <w:r w:rsidR="009D0841">
        <w:t>, and not from the procurement per se</w:t>
      </w:r>
      <w:r>
        <w:t xml:space="preserve">. That makes good contracts and good contract </w:t>
      </w:r>
      <w:r w:rsidRPr="00E74B1A">
        <w:t xml:space="preserve">management – things </w:t>
      </w:r>
      <w:r w:rsidR="00034DCC">
        <w:t>sometimes</w:t>
      </w:r>
      <w:r w:rsidR="00034DCC" w:rsidRPr="00E74B1A">
        <w:t xml:space="preserve"> </w:t>
      </w:r>
      <w:r w:rsidR="00E74B1A" w:rsidRPr="00E74B1A">
        <w:t xml:space="preserve">forgotten </w:t>
      </w:r>
      <w:r w:rsidRPr="00E74B1A">
        <w:t>– essential.</w:t>
      </w:r>
    </w:p>
    <w:p w14:paraId="41EA7C5D" w14:textId="4C1CF1A0" w:rsidR="00592D0C" w:rsidRDefault="00592D0C" w:rsidP="00FF1E44">
      <w:r>
        <w:t xml:space="preserve">Additional efforts to improve procurements should </w:t>
      </w:r>
      <w:r w:rsidR="001D2773">
        <w:t xml:space="preserve">also </w:t>
      </w:r>
      <w:r>
        <w:t>be reflected in efforts to improve contract management. Some thoughts on this are continued in the next section of the Report.</w:t>
      </w:r>
    </w:p>
    <w:p w14:paraId="5BB1D65F" w14:textId="77777777" w:rsidR="004E25FF" w:rsidRDefault="004E25FF" w:rsidP="00FF1E44">
      <w:pPr>
        <w:pStyle w:val="Heading3"/>
      </w:pPr>
      <w:r>
        <w:t>Stakeholder management</w:t>
      </w:r>
    </w:p>
    <w:p w14:paraId="5079EB81" w14:textId="31745DB6" w:rsidR="004C270E" w:rsidRDefault="0039605B" w:rsidP="00FF1E44">
      <w:r w:rsidRPr="0039605B">
        <w:t>Finally, it is important that various stakeholde</w:t>
      </w:r>
      <w:r w:rsidR="009854EB">
        <w:t>rs, including</w:t>
      </w:r>
      <w:r w:rsidR="004418A2">
        <w:t xml:space="preserve"> senior members of the APS,</w:t>
      </w:r>
      <w:r w:rsidR="009854EB">
        <w:t xml:space="preserve"> Ministerial advise</w:t>
      </w:r>
      <w:r w:rsidRPr="0039605B">
        <w:t>rs and Minis</w:t>
      </w:r>
      <w:r>
        <w:t xml:space="preserve">ters understand the way the CPRs </w:t>
      </w:r>
      <w:r w:rsidR="00D2168C">
        <w:t xml:space="preserve">and the PGPA Act </w:t>
      </w:r>
      <w:r w:rsidR="004C270E" w:rsidRPr="00A865CD">
        <w:t xml:space="preserve">designate </w:t>
      </w:r>
      <w:r w:rsidR="004C270E">
        <w:t xml:space="preserve">responsibility. </w:t>
      </w:r>
      <w:r w:rsidR="00557C8D">
        <w:t>Specifically</w:t>
      </w:r>
      <w:r w:rsidR="004C270E">
        <w:t xml:space="preserve">, </w:t>
      </w:r>
      <w:r w:rsidR="00C5423C">
        <w:t xml:space="preserve">the </w:t>
      </w:r>
      <w:r w:rsidR="00575603">
        <w:t>CPR</w:t>
      </w:r>
      <w:r w:rsidR="00C5423C">
        <w:t>s</w:t>
      </w:r>
      <w:r w:rsidR="00D76D2E">
        <w:t xml:space="preserve"> are </w:t>
      </w:r>
      <w:r w:rsidRPr="0039605B">
        <w:t>unambiguo</w:t>
      </w:r>
      <w:r w:rsidR="004C270E">
        <w:t xml:space="preserve">us </w:t>
      </w:r>
      <w:r w:rsidR="00557C8D">
        <w:t>in that</w:t>
      </w:r>
      <w:r w:rsidR="004C270E">
        <w:t xml:space="preserve"> </w:t>
      </w:r>
      <w:r w:rsidR="00C5423C">
        <w:t xml:space="preserve">they </w:t>
      </w:r>
      <w:r w:rsidR="004C270E">
        <w:t>are directed at officials</w:t>
      </w:r>
      <w:r w:rsidR="00E2491E">
        <w:t>,</w:t>
      </w:r>
      <w:r w:rsidR="004C270E">
        <w:t xml:space="preserve"> and it is officials that set, shape, undertake</w:t>
      </w:r>
      <w:r w:rsidR="001D2773">
        <w:t>,</w:t>
      </w:r>
      <w:r w:rsidRPr="0039605B">
        <w:t xml:space="preserve"> decide on </w:t>
      </w:r>
      <w:r w:rsidR="001D2773">
        <w:t xml:space="preserve">and manage </w:t>
      </w:r>
      <w:r w:rsidRPr="0039605B">
        <w:t xml:space="preserve">the procurement. </w:t>
      </w:r>
      <w:r w:rsidR="00D2168C">
        <w:t>The PGPA Act does the same.</w:t>
      </w:r>
      <w:r w:rsidR="001D2773">
        <w:t xml:space="preserve"> This requirement applies unless the Government specifically determines otherwise.</w:t>
      </w:r>
    </w:p>
    <w:p w14:paraId="704C8A67" w14:textId="289C9A4D" w:rsidR="004E25FF" w:rsidRDefault="009854EB" w:rsidP="00FF1E44">
      <w:r>
        <w:t>Ministers and Minister</w:t>
      </w:r>
      <w:r w:rsidR="000021B6">
        <w:t>ial</w:t>
      </w:r>
      <w:r>
        <w:t xml:space="preserve"> advise</w:t>
      </w:r>
      <w:r w:rsidR="0039605B" w:rsidRPr="0039605B">
        <w:t xml:space="preserve">rs are, for example, </w:t>
      </w:r>
      <w:r w:rsidR="00B90C56">
        <w:t xml:space="preserve">not precluded </w:t>
      </w:r>
      <w:r w:rsidR="0039605B" w:rsidRPr="0039605B">
        <w:t xml:space="preserve">from expressing views and interests but, if they are </w:t>
      </w:r>
      <w:r w:rsidR="00B90C56">
        <w:t>taken</w:t>
      </w:r>
      <w:r w:rsidR="0039605B" w:rsidRPr="0039605B">
        <w:t xml:space="preserve"> into account in the assessment of value for money</w:t>
      </w:r>
      <w:r w:rsidR="00D2168C">
        <w:t xml:space="preserve"> between ven</w:t>
      </w:r>
      <w:r w:rsidR="00990D9F">
        <w:t>dors or the procurement method chosen</w:t>
      </w:r>
      <w:r w:rsidR="00E2491E">
        <w:t>,</w:t>
      </w:r>
      <w:r w:rsidR="0039605B" w:rsidRPr="0039605B">
        <w:t xml:space="preserve"> that need</w:t>
      </w:r>
      <w:r w:rsidR="00D2168C">
        <w:t>s</w:t>
      </w:r>
      <w:r w:rsidR="0039605B" w:rsidRPr="0039605B">
        <w:t xml:space="preserve"> to be recorded.</w:t>
      </w:r>
      <w:r w:rsidR="00D2168C">
        <w:t xml:space="preserve"> Ministers </w:t>
      </w:r>
      <w:r w:rsidR="00B16A55">
        <w:t xml:space="preserve">and ministerial advisers </w:t>
      </w:r>
      <w:r w:rsidR="00D2168C">
        <w:t>are not able to direct officials as to procurement outcomes.</w:t>
      </w:r>
      <w:r w:rsidR="0039605B" w:rsidRPr="0039605B">
        <w:t xml:space="preserve"> The same </w:t>
      </w:r>
      <w:r w:rsidR="00B90C56">
        <w:t xml:space="preserve">applies </w:t>
      </w:r>
      <w:r w:rsidR="0039605B" w:rsidRPr="0039605B">
        <w:t xml:space="preserve">to </w:t>
      </w:r>
      <w:r w:rsidR="00B90C56">
        <w:t xml:space="preserve">senior officials </w:t>
      </w:r>
      <w:r w:rsidR="0039605B" w:rsidRPr="0039605B">
        <w:t>in the agency or in the APS more generally.</w:t>
      </w:r>
    </w:p>
    <w:p w14:paraId="3A9E71F0" w14:textId="0D6E64CA" w:rsidR="00BA6AF0" w:rsidRDefault="009854EB" w:rsidP="00FF1E44">
      <w:r w:rsidRPr="009854EB">
        <w:t xml:space="preserve">It is important that agencies brief Ministers, especially </w:t>
      </w:r>
      <w:r>
        <w:t xml:space="preserve">incoming </w:t>
      </w:r>
      <w:r w:rsidRPr="009854EB">
        <w:t xml:space="preserve">Ministers, </w:t>
      </w:r>
      <w:r>
        <w:t xml:space="preserve">on the role of </w:t>
      </w:r>
      <w:r w:rsidR="00AB5233">
        <w:t xml:space="preserve">officials </w:t>
      </w:r>
      <w:r>
        <w:t xml:space="preserve">under the </w:t>
      </w:r>
      <w:r w:rsidR="0021059E">
        <w:t>CPR</w:t>
      </w:r>
      <w:r w:rsidR="00910B63">
        <w:t>s</w:t>
      </w:r>
      <w:r>
        <w:t xml:space="preserve">, and the requirements around them. </w:t>
      </w:r>
      <w:r w:rsidR="00910B63">
        <w:t xml:space="preserve">However, </w:t>
      </w:r>
      <w:r w:rsidR="00910B63" w:rsidRPr="009854EB">
        <w:t xml:space="preserve">neither </w:t>
      </w:r>
      <w:r w:rsidR="00910B63">
        <w:t xml:space="preserve">the </w:t>
      </w:r>
      <w:r w:rsidR="00910B63" w:rsidRPr="009854EB">
        <w:t>NDIA nor</w:t>
      </w:r>
      <w:r w:rsidRPr="009854EB">
        <w:t xml:space="preserve"> SA </w:t>
      </w:r>
      <w:r>
        <w:t xml:space="preserve">specifically </w:t>
      </w:r>
      <w:r w:rsidRPr="009854EB">
        <w:t xml:space="preserve">briefed </w:t>
      </w:r>
      <w:r>
        <w:t xml:space="preserve">incoming </w:t>
      </w:r>
      <w:r w:rsidRPr="009854EB">
        <w:t xml:space="preserve">Ministers </w:t>
      </w:r>
      <w:r w:rsidR="00A04B3F">
        <w:t>on procurement processes</w:t>
      </w:r>
      <w:r>
        <w:t xml:space="preserve"> </w:t>
      </w:r>
      <w:r w:rsidRPr="009854EB">
        <w:t xml:space="preserve">at or around the time of the </w:t>
      </w:r>
      <w:r>
        <w:t xml:space="preserve">incoming government </w:t>
      </w:r>
      <w:r w:rsidRPr="009854EB">
        <w:t>in the last three</w:t>
      </w:r>
      <w:r w:rsidR="00D76D2E">
        <w:t xml:space="preserve"> </w:t>
      </w:r>
      <w:r w:rsidR="00B16A55">
        <w:t>elections</w:t>
      </w:r>
      <w:r w:rsidRPr="009854EB">
        <w:t>.</w:t>
      </w:r>
      <w:r w:rsidR="0064780D">
        <w:t xml:space="preserve"> The Reviewer considers most departments and agencies are likely to be in a similar position.</w:t>
      </w:r>
      <w:r w:rsidRPr="009854EB">
        <w:t xml:space="preserve"> Early briefing would help establish </w:t>
      </w:r>
      <w:r>
        <w:t>shared understanding</w:t>
      </w:r>
      <w:r w:rsidR="0064780D">
        <w:t xml:space="preserve"> of procurements and their</w:t>
      </w:r>
      <w:r w:rsidR="00525796">
        <w:t xml:space="preserve"> responsibilities</w:t>
      </w:r>
      <w:r w:rsidRPr="009854EB">
        <w:t xml:space="preserve">. </w:t>
      </w:r>
      <w:r w:rsidR="004418A2">
        <w:t xml:space="preserve">This should also apply to Ministerial advisers. </w:t>
      </w:r>
      <w:r w:rsidRPr="009854EB">
        <w:t xml:space="preserve">Similarly, senior </w:t>
      </w:r>
      <w:r>
        <w:t xml:space="preserve">agency officials </w:t>
      </w:r>
      <w:r w:rsidRPr="009854EB">
        <w:t xml:space="preserve">and other members of the APS should also be advised. </w:t>
      </w:r>
      <w:r w:rsidR="004418A2">
        <w:t>A refresher</w:t>
      </w:r>
      <w:r w:rsidR="0064780D">
        <w:t xml:space="preserve"> of these accountabilities</w:t>
      </w:r>
      <w:r w:rsidR="004418A2">
        <w:t xml:space="preserve"> for agency officials would also be worthwhile.</w:t>
      </w:r>
    </w:p>
    <w:p w14:paraId="45267C7C" w14:textId="77777777" w:rsidR="00713887" w:rsidRDefault="00713887">
      <w:pPr>
        <w:rPr>
          <w:rFonts w:ascii="Arial Bold" w:hAnsi="Arial Bold" w:cs="Arial"/>
          <w:b/>
          <w:bCs/>
          <w:color w:val="004A82"/>
          <w:sz w:val="28"/>
          <w:szCs w:val="28"/>
        </w:rPr>
      </w:pPr>
      <w:r>
        <w:br w:type="page"/>
      </w:r>
    </w:p>
    <w:p w14:paraId="1C7BF4E7" w14:textId="79FB9F98" w:rsidR="00460501" w:rsidRDefault="00460501" w:rsidP="00460501">
      <w:pPr>
        <w:pStyle w:val="Recommendationheading"/>
      </w:pPr>
      <w:r>
        <w:lastRenderedPageBreak/>
        <w:t>Recommendation 10</w:t>
      </w:r>
    </w:p>
    <w:tbl>
      <w:tblPr>
        <w:tblStyle w:val="TableGrid"/>
        <w:tblpPr w:leftFromText="181" w:rightFromText="181" w:bottomFromText="284" w:vertAnchor="text" w:tblpY="1"/>
        <w:tblOverlap w:val="never"/>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A82"/>
        <w:tblCellMar>
          <w:top w:w="142" w:type="dxa"/>
          <w:left w:w="142" w:type="dxa"/>
          <w:right w:w="142" w:type="dxa"/>
        </w:tblCellMar>
        <w:tblLook w:val="0500" w:firstRow="0" w:lastRow="0" w:firstColumn="0" w:lastColumn="1" w:noHBand="0" w:noVBand="1"/>
        <w:tblCaption w:val="Recommendation 10"/>
        <w:tblDescription w:val="The NDIA and SA brief incoming Ministers on the CPRs and the PGPA Act, which set the role of officials as those who undertake and decide on procurements. Senior agency officials be similarly advised."/>
      </w:tblPr>
      <w:tblGrid>
        <w:gridCol w:w="8197"/>
        <w:gridCol w:w="929"/>
      </w:tblGrid>
      <w:tr w:rsidR="00001509" w14:paraId="32B4E8A2" w14:textId="77777777" w:rsidTr="00EE788C">
        <w:trPr>
          <w:trHeight w:val="574"/>
          <w:tblHeader/>
        </w:trPr>
        <w:tc>
          <w:tcPr>
            <w:tcW w:w="8197" w:type="dxa"/>
            <w:shd w:val="clear" w:color="auto" w:fill="004A82"/>
          </w:tcPr>
          <w:p w14:paraId="0663EA86" w14:textId="71BFB740" w:rsidR="00001509" w:rsidRPr="005D3339" w:rsidRDefault="00001509" w:rsidP="00774CA4">
            <w:pPr>
              <w:pStyle w:val="Definitiontableparagraph"/>
              <w:rPr>
                <w:i/>
              </w:rPr>
            </w:pPr>
            <w:r w:rsidRPr="00001509">
              <w:t>The NDIA and SA brief incoming Ministers on the CPRs and the PGPA Act, which set the role of officials as those who undertake and decide on procurements.</w:t>
            </w:r>
            <w:r w:rsidR="0064780D">
              <w:t xml:space="preserve"> Senior agency officials be </w:t>
            </w:r>
            <w:r w:rsidR="00774CA4">
              <w:t>similarly</w:t>
            </w:r>
            <w:r w:rsidR="0064780D">
              <w:t xml:space="preserve"> advised</w:t>
            </w:r>
            <w:r w:rsidR="00774CA4">
              <w:t>.</w:t>
            </w:r>
          </w:p>
        </w:tc>
        <w:tc>
          <w:tcPr>
            <w:tcW w:w="929" w:type="dxa"/>
            <w:shd w:val="clear" w:color="auto" w:fill="004A82"/>
          </w:tcPr>
          <w:p w14:paraId="4228CFB3" w14:textId="77777777" w:rsidR="00001509" w:rsidRPr="005D3339" w:rsidRDefault="00001509" w:rsidP="009568A4">
            <w:pPr>
              <w:rPr>
                <w:b/>
              </w:rPr>
            </w:pPr>
            <w:r>
              <w:rPr>
                <w:noProof/>
                <w:lang w:eastAsia="en-AU"/>
              </w:rPr>
              <w:drawing>
                <wp:inline distT="0" distB="0" distL="0" distR="0" wp14:anchorId="614D6A30" wp14:editId="49AEC5A0">
                  <wp:extent cx="368496" cy="366947"/>
                  <wp:effectExtent l="0" t="0" r="0" b="0"/>
                  <wp:docPr id="19" name="Picture 19" descr="Decorative image indicating that this section is about a particluar recommendation."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Announcem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496" cy="366947"/>
                          </a:xfrm>
                          <a:prstGeom prst="rect">
                            <a:avLst/>
                          </a:prstGeom>
                        </pic:spPr>
                      </pic:pic>
                    </a:graphicData>
                  </a:graphic>
                </wp:inline>
              </w:drawing>
            </w:r>
          </w:p>
        </w:tc>
      </w:tr>
    </w:tbl>
    <w:p w14:paraId="0D1AECB5" w14:textId="258404C0" w:rsidR="00D27456" w:rsidRDefault="0064780D" w:rsidP="00FF1E44">
      <w:r>
        <w:t xml:space="preserve">Ministers could be briefed </w:t>
      </w:r>
      <w:r w:rsidR="00B16A55" w:rsidRPr="00C15B1F">
        <w:t>as part of a wider conversation about the engagement of Ministers and ministerial staff with officials.</w:t>
      </w:r>
    </w:p>
    <w:p w14:paraId="53389C4C" w14:textId="77777777" w:rsidR="00D27456" w:rsidRPr="00D27456" w:rsidRDefault="00D27456" w:rsidP="00D27456">
      <w:pPr>
        <w:rPr>
          <w:rFonts w:cs="Arial"/>
          <w:b/>
          <w:bCs/>
          <w:sz w:val="28"/>
          <w:szCs w:val="28"/>
        </w:rPr>
      </w:pPr>
      <w:r w:rsidRPr="00D27456">
        <w:rPr>
          <w:rFonts w:cs="Arial"/>
          <w:b/>
          <w:bCs/>
          <w:sz w:val="28"/>
          <w:szCs w:val="28"/>
        </w:rPr>
        <w:t>Officials and Appropriate Conduct</w:t>
      </w:r>
    </w:p>
    <w:p w14:paraId="0DEA880A" w14:textId="5F1D4ECE" w:rsidR="00C20496" w:rsidRDefault="00D27456" w:rsidP="00D27456">
      <w:pPr>
        <w:rPr>
          <w:sz w:val="40"/>
          <w:szCs w:val="40"/>
        </w:rPr>
      </w:pPr>
      <w:r>
        <w:t>The Review’s Terms of Reference included reference to misconduct in the procurements reviewed. The Taskforce investigation did not find examples of clear misconduct in the procurements. However, it did find</w:t>
      </w:r>
      <w:r w:rsidR="00AB5233">
        <w:t xml:space="preserve"> a few</w:t>
      </w:r>
      <w:r>
        <w:t xml:space="preserve"> examples of </w:t>
      </w:r>
      <w:r w:rsidR="00AB5233">
        <w:t xml:space="preserve">what the Reviewer considers to be </w:t>
      </w:r>
      <w:r>
        <w:t>behaviour that appears well below the standard usually expected of members of the APS. That is disappointing. While the Review does not have the power to conduct further investigation of these behaviours, the Reviewer suggests that the CEOs of the NDIA and SA consider their options for further investigation.</w:t>
      </w:r>
      <w:r w:rsidR="00C20496">
        <w:br w:type="page"/>
      </w:r>
    </w:p>
    <w:p w14:paraId="453F3A32" w14:textId="5DEAC9CC" w:rsidR="001F46B3" w:rsidRDefault="001F46B3" w:rsidP="00FF1E44">
      <w:pPr>
        <w:pStyle w:val="Heading1"/>
      </w:pPr>
      <w:r w:rsidRPr="00153766">
        <w:lastRenderedPageBreak/>
        <w:t xml:space="preserve">Part </w:t>
      </w:r>
      <w:r w:rsidR="00221C39">
        <w:t>II</w:t>
      </w:r>
      <w:r w:rsidR="00EC7926">
        <w:t>: The Australian Government as a whole</w:t>
      </w:r>
    </w:p>
    <w:p w14:paraId="25A8752C" w14:textId="561186EF" w:rsidR="00E22ED3" w:rsidRPr="00A865CD" w:rsidRDefault="00D76D2E" w:rsidP="00FF1E44">
      <w:r>
        <w:t xml:space="preserve">In the first section of the Report </w:t>
      </w:r>
      <w:r w:rsidR="00BA6AF0" w:rsidRPr="00BA6AF0">
        <w:t>(pp</w:t>
      </w:r>
      <w:r w:rsidR="00BA6AF0" w:rsidRPr="007115FF">
        <w:t xml:space="preserve">. </w:t>
      </w:r>
      <w:r w:rsidR="00BC0183" w:rsidRPr="00E74918">
        <w:t>5</w:t>
      </w:r>
      <w:r w:rsidR="00BA6AF0" w:rsidRPr="00E74918">
        <w:t>-</w:t>
      </w:r>
      <w:r w:rsidR="00E74918" w:rsidRPr="00E74918">
        <w:t>17</w:t>
      </w:r>
      <w:r w:rsidRPr="00BA6AF0">
        <w:t>),</w:t>
      </w:r>
      <w:r>
        <w:t xml:space="preserve"> t</w:t>
      </w:r>
      <w:r w:rsidR="00E22ED3" w:rsidRPr="00211E49">
        <w:t>he Taskf</w:t>
      </w:r>
      <w:r w:rsidR="00E22ED3" w:rsidRPr="00A865CD">
        <w:t xml:space="preserve">orce findings in relation to the NDIA and SA procurements suggest that the two agencies procurement processes are capable of further improvement. </w:t>
      </w:r>
      <w:r w:rsidRPr="00A865CD">
        <w:t xml:space="preserve">This is despite the </w:t>
      </w:r>
      <w:r w:rsidR="00EC7926">
        <w:t xml:space="preserve">significant </w:t>
      </w:r>
      <w:r w:rsidRPr="00A865CD">
        <w:t>steps taken by both agencies over</w:t>
      </w:r>
      <w:r w:rsidR="009D2435">
        <w:t>, particularly,</w:t>
      </w:r>
      <w:r w:rsidRPr="00A865CD">
        <w:t xml:space="preserve"> the </w:t>
      </w:r>
      <w:r>
        <w:t xml:space="preserve">past few years </w:t>
      </w:r>
      <w:r w:rsidRPr="00A865CD">
        <w:t>to improve procurement processes</w:t>
      </w:r>
      <w:r w:rsidR="00AB1016">
        <w:t>,</w:t>
      </w:r>
      <w:r w:rsidRPr="00A865CD">
        <w:t xml:space="preserve"> and </w:t>
      </w:r>
      <w:r w:rsidR="00AB1016">
        <w:t xml:space="preserve">to </w:t>
      </w:r>
      <w:r w:rsidR="00525796">
        <w:t xml:space="preserve">expand </w:t>
      </w:r>
      <w:r w:rsidR="00BA6AF0">
        <w:t xml:space="preserve">the guidance </w:t>
      </w:r>
      <w:r w:rsidR="00AB1016">
        <w:t xml:space="preserve">provided </w:t>
      </w:r>
      <w:r w:rsidR="00B26204">
        <w:t xml:space="preserve">to </w:t>
      </w:r>
      <w:r w:rsidR="00BA6AF0">
        <w:t>and</w:t>
      </w:r>
      <w:r w:rsidR="00AB1016">
        <w:t xml:space="preserve"> improve</w:t>
      </w:r>
      <w:r w:rsidR="00B26204">
        <w:t xml:space="preserve"> the</w:t>
      </w:r>
      <w:r w:rsidR="00AB1016">
        <w:t xml:space="preserve"> </w:t>
      </w:r>
      <w:r w:rsidR="00BA6AF0">
        <w:t xml:space="preserve">capability </w:t>
      </w:r>
      <w:r w:rsidRPr="00A865CD">
        <w:t>of</w:t>
      </w:r>
      <w:r w:rsidR="00B26204">
        <w:t>,</w:t>
      </w:r>
      <w:r w:rsidRPr="00A865CD">
        <w:t xml:space="preserve"> their staff.</w:t>
      </w:r>
    </w:p>
    <w:p w14:paraId="35706042" w14:textId="79726745" w:rsidR="00607527" w:rsidRDefault="00607527" w:rsidP="00FF1E44">
      <w:r w:rsidRPr="00A865CD">
        <w:t xml:space="preserve">Further, the </w:t>
      </w:r>
      <w:r w:rsidR="00525796">
        <w:t xml:space="preserve">two </w:t>
      </w:r>
      <w:r w:rsidRPr="00A865CD">
        <w:t>agenci</w:t>
      </w:r>
      <w:r w:rsidRPr="00211E49">
        <w:t>es</w:t>
      </w:r>
      <w:r w:rsidR="000D0A1E">
        <w:t>’</w:t>
      </w:r>
      <w:r w:rsidRPr="00211E49">
        <w:t xml:space="preserve"> procurement experiences and outcomes</w:t>
      </w:r>
      <w:r w:rsidRPr="00A865CD">
        <w:t xml:space="preserve"> are far from unique across the Australian Government. ANAO reports over at least the last decade</w:t>
      </w:r>
      <w:r w:rsidR="00EC7926">
        <w:t xml:space="preserve"> or so</w:t>
      </w:r>
      <w:r w:rsidRPr="00A865CD">
        <w:t xml:space="preserve"> have highlighted similar scope for improvement, and opportunities for impro</w:t>
      </w:r>
      <w:r w:rsidRPr="00211E49">
        <w:t>vement, whether they have been reviewing</w:t>
      </w:r>
      <w:r w:rsidRPr="00A865CD">
        <w:t xml:space="preserve"> individual agencies/departments or groups of them. This is also despite departments and </w:t>
      </w:r>
      <w:r w:rsidRPr="00211E49">
        <w:t>agencies across the Australian Government</w:t>
      </w:r>
      <w:r w:rsidRPr="00A865CD">
        <w:t xml:space="preserve"> </w:t>
      </w:r>
      <w:r w:rsidR="00AB1016">
        <w:t xml:space="preserve">improving </w:t>
      </w:r>
      <w:r w:rsidRPr="00A865CD">
        <w:t xml:space="preserve">processes and building capability. </w:t>
      </w:r>
      <w:r w:rsidR="00EC7926">
        <w:t>Finally, i</w:t>
      </w:r>
      <w:r w:rsidRPr="00A865CD">
        <w:t>t is also despite the D</w:t>
      </w:r>
      <w:r w:rsidRPr="00211E49">
        <w:t>epartment of Finance making CPR</w:t>
      </w:r>
      <w:r w:rsidRPr="00A865CD">
        <w:t xml:space="preserve">s generally easier to </w:t>
      </w:r>
      <w:proofErr w:type="gramStart"/>
      <w:r w:rsidRPr="00A865CD">
        <w:t>use, and</w:t>
      </w:r>
      <w:proofErr w:type="gramEnd"/>
      <w:r w:rsidRPr="00A865CD">
        <w:t xml:space="preserve"> providing additional support and guidance.</w:t>
      </w:r>
    </w:p>
    <w:p w14:paraId="46344BEE" w14:textId="26B81D93" w:rsidR="00607527" w:rsidRDefault="00607527" w:rsidP="00FF1E44">
      <w:r>
        <w:t>Growth in the value and complexity of goods procured, along with the growing reliance of the Australian Government on procuring from Australian and international business</w:t>
      </w:r>
      <w:r w:rsidR="00525796">
        <w:t>,</w:t>
      </w:r>
      <w:r>
        <w:t xml:space="preserve"> </w:t>
      </w:r>
      <w:r w:rsidRPr="00A865CD">
        <w:t xml:space="preserve">may explain some of the continued problems faced, </w:t>
      </w:r>
      <w:r w:rsidRPr="00073B31">
        <w:t>and</w:t>
      </w:r>
      <w:r w:rsidR="00525796" w:rsidRPr="00073B31">
        <w:t xml:space="preserve"> the</w:t>
      </w:r>
      <w:r w:rsidRPr="00073B31">
        <w:t xml:space="preserve"> </w:t>
      </w:r>
      <w:r w:rsidR="005178F8" w:rsidRPr="00073B31">
        <w:t xml:space="preserve">indifferent outcomes of </w:t>
      </w:r>
      <w:r w:rsidRPr="00073B31">
        <w:t>some</w:t>
      </w:r>
      <w:r>
        <w:t xml:space="preserve"> procurements.</w:t>
      </w:r>
    </w:p>
    <w:p w14:paraId="56572E56" w14:textId="5E7DC386" w:rsidR="00757613" w:rsidRDefault="00757613" w:rsidP="00FF1E44">
      <w:r w:rsidRPr="00757613">
        <w:t xml:space="preserve">For example, in 2021-22, all contracts published on AusTender had a combined value of $80.5 billion </w:t>
      </w:r>
      <w:r w:rsidR="002B0EAE">
        <w:t>–</w:t>
      </w:r>
      <w:r w:rsidRPr="00757613">
        <w:t xml:space="preserve"> more than double than in 2012-13 (where all contracts had a combined value of $</w:t>
      </w:r>
      <w:r w:rsidR="00A206D2">
        <w:t xml:space="preserve">36.5 </w:t>
      </w:r>
      <w:r w:rsidRPr="00757613">
        <w:t>billion)</w:t>
      </w:r>
      <w:r w:rsidR="007078D1">
        <w:t>.</w:t>
      </w:r>
      <w:r w:rsidR="00A206D2">
        <w:rPr>
          <w:rStyle w:val="FootnoteReference"/>
        </w:rPr>
        <w:footnoteReference w:id="11"/>
      </w:r>
    </w:p>
    <w:p w14:paraId="639B0D1A" w14:textId="60067227" w:rsidR="00710EA3" w:rsidRPr="00A865CD" w:rsidRDefault="00A91122" w:rsidP="00FF1E44">
      <w:r w:rsidRPr="00A91122">
        <w:t>The Reviewer</w:t>
      </w:r>
      <w:r>
        <w:t xml:space="preserve"> considers that procurement outcomes</w:t>
      </w:r>
      <w:r w:rsidRPr="00A91122">
        <w:t xml:space="preserve"> and enhanced value for money will not be achieved by </w:t>
      </w:r>
      <w:r>
        <w:t xml:space="preserve">improved </w:t>
      </w:r>
      <w:r w:rsidRPr="00A91122">
        <w:t>processes and capability at the department/agency level alon</w:t>
      </w:r>
      <w:r>
        <w:t>e</w:t>
      </w:r>
      <w:r w:rsidRPr="00A91122">
        <w:t xml:space="preserve">, no matter how </w:t>
      </w:r>
      <w:r>
        <w:t>energetically, how vigorously and how exp</w:t>
      </w:r>
      <w:r w:rsidR="00EC7926">
        <w:t>e</w:t>
      </w:r>
      <w:r>
        <w:t xml:space="preserve">nsively </w:t>
      </w:r>
      <w:r w:rsidR="005178F8">
        <w:t>they were to be</w:t>
      </w:r>
      <w:r w:rsidRPr="00A91122">
        <w:t xml:space="preserve"> pursued.</w:t>
      </w:r>
      <w:r>
        <w:t xml:space="preserve"> Instead, it also needs a whole-of-</w:t>
      </w:r>
      <w:r w:rsidRPr="00A91122">
        <w:t xml:space="preserve">government approach including </w:t>
      </w:r>
      <w:r>
        <w:t xml:space="preserve">professionalisation </w:t>
      </w:r>
      <w:r w:rsidRPr="00A91122">
        <w:t>of the procurement cap</w:t>
      </w:r>
      <w:r>
        <w:t xml:space="preserve">ability, changes to the </w:t>
      </w:r>
      <w:r w:rsidR="0021059E">
        <w:t>CPR</w:t>
      </w:r>
      <w:r w:rsidR="00607527">
        <w:t>s</w:t>
      </w:r>
      <w:r w:rsidRPr="00A91122">
        <w:t xml:space="preserve">, and clearer </w:t>
      </w:r>
      <w:r>
        <w:t>identification</w:t>
      </w:r>
      <w:r w:rsidRPr="00A91122">
        <w:t xml:space="preserve"> of accountabilities.</w:t>
      </w:r>
      <w:r w:rsidR="00EC7926">
        <w:t xml:space="preserve"> The recommendations in this section are, accordingly, directed </w:t>
      </w:r>
      <w:r w:rsidR="00BC0183">
        <w:t>primarily</w:t>
      </w:r>
      <w:r w:rsidR="005178F8">
        <w:t xml:space="preserve"> </w:t>
      </w:r>
      <w:r w:rsidR="00EC7926">
        <w:t>at the Australian Government and APS leadership.</w:t>
      </w:r>
    </w:p>
    <w:p w14:paraId="4E528984" w14:textId="77777777" w:rsidR="001F46B3" w:rsidRPr="00211E49" w:rsidRDefault="00064F8A" w:rsidP="00FF1E44">
      <w:pPr>
        <w:pStyle w:val="Heading2"/>
      </w:pPr>
      <w:r>
        <w:t>Procurement professionalisation</w:t>
      </w:r>
    </w:p>
    <w:p w14:paraId="4F727C72" w14:textId="34F0CA36" w:rsidR="00441B23" w:rsidRDefault="00441B23" w:rsidP="00FF1E44">
      <w:r w:rsidRPr="00A865CD">
        <w:t xml:space="preserve">While better processes, improved capability and enhanced support from </w:t>
      </w:r>
      <w:r>
        <w:t xml:space="preserve">the Department of </w:t>
      </w:r>
      <w:r w:rsidRPr="00A865CD">
        <w:t>Finance ha</w:t>
      </w:r>
      <w:r w:rsidR="00B26204">
        <w:t>ve</w:t>
      </w:r>
      <w:r w:rsidRPr="00A865CD">
        <w:t xml:space="preserve"> made some procur</w:t>
      </w:r>
      <w:r w:rsidRPr="00211E49">
        <w:t>ements easier, the procurement environment</w:t>
      </w:r>
      <w:r w:rsidRPr="00A865CD">
        <w:t xml:space="preserve"> seems harder </w:t>
      </w:r>
      <w:proofErr w:type="gramStart"/>
      <w:r w:rsidRPr="00A865CD">
        <w:t>over all</w:t>
      </w:r>
      <w:proofErr w:type="gramEnd"/>
      <w:r w:rsidRPr="00A865CD">
        <w:t xml:space="preserve">, </w:t>
      </w:r>
      <w:r>
        <w:t xml:space="preserve">nullifying </w:t>
      </w:r>
      <w:r w:rsidRPr="00A865CD">
        <w:t>much (if not all) of those improvements.</w:t>
      </w:r>
    </w:p>
    <w:p w14:paraId="761D060A" w14:textId="6C3B2D5F" w:rsidR="00211E49" w:rsidRDefault="00211E49" w:rsidP="00FF1E44">
      <w:r w:rsidRPr="00211E49">
        <w:t>For over two decades the Reviewer has been a</w:t>
      </w:r>
      <w:r w:rsidR="009914DD">
        <w:t xml:space="preserve"> keen</w:t>
      </w:r>
      <w:r w:rsidRPr="00211E49">
        <w:t xml:space="preserve"> student of ANAO </w:t>
      </w:r>
      <w:r w:rsidR="003A689A">
        <w:t xml:space="preserve">performance audit </w:t>
      </w:r>
      <w:r w:rsidRPr="00211E49">
        <w:t xml:space="preserve">reports. The </w:t>
      </w:r>
      <w:r>
        <w:t xml:space="preserve">reports </w:t>
      </w:r>
      <w:r w:rsidRPr="00211E49">
        <w:t>on procurement seem to</w:t>
      </w:r>
      <w:r w:rsidR="009914DD">
        <w:t xml:space="preserve"> continually</w:t>
      </w:r>
      <w:r w:rsidRPr="00211E49">
        <w:t xml:space="preserve"> throw up </w:t>
      </w:r>
      <w:r w:rsidR="003E0ECC">
        <w:t xml:space="preserve">the same or </w:t>
      </w:r>
      <w:r w:rsidRPr="00211E49">
        <w:t xml:space="preserve">similar challenges, in similar areas. The problems overall don’t go away. For every agency that improves its procurement outcomes, </w:t>
      </w:r>
      <w:r>
        <w:t xml:space="preserve">there seems to be another that goes backward. </w:t>
      </w:r>
    </w:p>
    <w:p w14:paraId="527DABA9" w14:textId="148A551C" w:rsidR="00211E49" w:rsidRDefault="00211E49" w:rsidP="00FF1E44">
      <w:r>
        <w:t>The Reviewer’s</w:t>
      </w:r>
      <w:r w:rsidRPr="00211E49">
        <w:t xml:space="preserve"> </w:t>
      </w:r>
      <w:r>
        <w:t>conclusion is (somewhat reluctantly)</w:t>
      </w:r>
      <w:r w:rsidRPr="00211E49">
        <w:t xml:space="preserve"> that if the Australian Government is to seriously improve procurements </w:t>
      </w:r>
      <w:r>
        <w:t>it requires action at the whole-of-</w:t>
      </w:r>
      <w:r w:rsidRPr="00211E49">
        <w:t>government level.</w:t>
      </w:r>
    </w:p>
    <w:p w14:paraId="28729E66" w14:textId="35488109" w:rsidR="00395EB0" w:rsidRDefault="00211E49" w:rsidP="00FF1E44">
      <w:r>
        <w:lastRenderedPageBreak/>
        <w:t xml:space="preserve">The Independent Review of the Australian Public Service (the Thodey Review) </w:t>
      </w:r>
      <w:r w:rsidRPr="00211E49">
        <w:t xml:space="preserve">made </w:t>
      </w:r>
      <w:proofErr w:type="gramStart"/>
      <w:r w:rsidRPr="00211E49">
        <w:t>a number of</w:t>
      </w:r>
      <w:proofErr w:type="gramEnd"/>
      <w:r w:rsidRPr="00211E49">
        <w:t xml:space="preserve"> recommendations</w:t>
      </w:r>
      <w:r w:rsidR="005178F8">
        <w:t xml:space="preserve"> about professionalisation</w:t>
      </w:r>
      <w:r w:rsidR="00E73F3C">
        <w:t>. Some of those are already in train</w:t>
      </w:r>
      <w:r w:rsidRPr="00211E49">
        <w:t xml:space="preserve">. Others are yet to be considered. </w:t>
      </w:r>
      <w:r w:rsidR="00607527">
        <w:t>I</w:t>
      </w:r>
      <w:r w:rsidRPr="00211E49">
        <w:t>n particular, the Thodey Review suggested the use of</w:t>
      </w:r>
      <w:r w:rsidR="00BE0B47">
        <w:t xml:space="preserve"> </w:t>
      </w:r>
      <w:r w:rsidR="00F22708">
        <w:t>‘</w:t>
      </w:r>
      <w:r w:rsidR="00BE0B47">
        <w:t xml:space="preserve">the </w:t>
      </w:r>
      <w:r w:rsidR="00F22708">
        <w:t>p</w:t>
      </w:r>
      <w:r w:rsidR="00BE0B47">
        <w:t>rofessions</w:t>
      </w:r>
      <w:r w:rsidRPr="00211E49">
        <w:t xml:space="preserve"> </w:t>
      </w:r>
      <w:r w:rsidR="00F22708">
        <w:t>m</w:t>
      </w:r>
      <w:r w:rsidRPr="00211E49">
        <w:t xml:space="preserve">odel and APS learning and development strategy to build service </w:t>
      </w:r>
      <w:r w:rsidR="00607527">
        <w:t>wide capability in procurement</w:t>
      </w:r>
      <w:r w:rsidR="00F22708">
        <w:t xml:space="preserve">, </w:t>
      </w:r>
      <w:r w:rsidRPr="00211E49">
        <w:t>contracting</w:t>
      </w:r>
      <w:r w:rsidR="00F22708">
        <w:t xml:space="preserve"> and commissioning’</w:t>
      </w:r>
      <w:r w:rsidRPr="008D14B1">
        <w:t>.</w:t>
      </w:r>
      <w:r w:rsidR="00F22708">
        <w:rPr>
          <w:rStyle w:val="FootnoteReference"/>
          <w:rFonts w:cs="Arial"/>
        </w:rPr>
        <w:footnoteReference w:id="12"/>
      </w:r>
      <w:r w:rsidRPr="008D14B1">
        <w:t xml:space="preserve"> </w:t>
      </w:r>
      <w:r w:rsidR="00395EB0">
        <w:t>At present, the APS</w:t>
      </w:r>
      <w:r w:rsidR="00395EB0" w:rsidRPr="00F64FE1">
        <w:t xml:space="preserve"> has 3</w:t>
      </w:r>
      <w:r w:rsidR="007A4B42">
        <w:t> </w:t>
      </w:r>
      <w:r w:rsidR="00395EB0" w:rsidRPr="00F64FE1">
        <w:t>professional streams</w:t>
      </w:r>
      <w:r w:rsidR="00607527">
        <w:t>, all</w:t>
      </w:r>
      <w:r w:rsidR="00395EB0" w:rsidRPr="00F64FE1">
        <w:t xml:space="preserve"> introduced in 2019-20 – the Human Resources, Digital and Data Professions</w:t>
      </w:r>
      <w:r w:rsidR="00F22708">
        <w:t>.</w:t>
      </w:r>
      <w:r w:rsidR="00AF310E">
        <w:rPr>
          <w:rStyle w:val="FootnoteReference"/>
          <w:rFonts w:cs="Arial"/>
        </w:rPr>
        <w:footnoteReference w:id="13"/>
      </w:r>
      <w:r w:rsidR="00395EB0" w:rsidRPr="00F64FE1">
        <w:t xml:space="preserve"> </w:t>
      </w:r>
      <w:r w:rsidR="00EC7926">
        <w:t xml:space="preserve">This </w:t>
      </w:r>
      <w:r w:rsidR="005178F8">
        <w:t xml:space="preserve">Review proposes to add </w:t>
      </w:r>
      <w:r w:rsidR="00EC7926">
        <w:t>a fourth.</w:t>
      </w:r>
    </w:p>
    <w:p w14:paraId="3A2F6051" w14:textId="6F641219" w:rsidR="00211E49" w:rsidRDefault="00211E49" w:rsidP="00FF1E44">
      <w:r w:rsidRPr="00F30A97">
        <w:t xml:space="preserve">The </w:t>
      </w:r>
      <w:r w:rsidR="00395EB0" w:rsidRPr="00F64FE1">
        <w:t>ANAO has</w:t>
      </w:r>
      <w:r w:rsidR="00EC7926">
        <w:t xml:space="preserve"> also</w:t>
      </w:r>
      <w:r w:rsidR="00395EB0" w:rsidRPr="00F64FE1">
        <w:t xml:space="preserve"> previously suggested that introducing a procurement professional stream within the APS could improve capability and outcomes in public-sector procurement.</w:t>
      </w:r>
      <w:r w:rsidR="00395EB0" w:rsidRPr="00607527">
        <w:rPr>
          <w:vertAlign w:val="superscript"/>
        </w:rPr>
        <w:footnoteReference w:id="14"/>
      </w:r>
      <w:r w:rsidR="00395EB0" w:rsidRPr="00607527">
        <w:rPr>
          <w:vertAlign w:val="superscript"/>
        </w:rPr>
        <w:t xml:space="preserve"> </w:t>
      </w:r>
      <w:r w:rsidR="00395EB0" w:rsidRPr="00F64FE1">
        <w:t>A professional stream presents the opportunity to increase procurement knowledge and experience,</w:t>
      </w:r>
      <w:r w:rsidRPr="00F30A97">
        <w:t xml:space="preserve"> as </w:t>
      </w:r>
      <w:r w:rsidR="00395EB0" w:rsidRPr="00F64FE1">
        <w:t xml:space="preserve">well as attract professionals to the APS and </w:t>
      </w:r>
      <w:r w:rsidR="009914DD">
        <w:t xml:space="preserve">help encourage </w:t>
      </w:r>
      <w:r w:rsidR="007A4B42">
        <w:t xml:space="preserve">their </w:t>
      </w:r>
      <w:r w:rsidR="00395EB0" w:rsidRPr="00F64FE1">
        <w:t>retention. The Department of Finance is currently working towards developing</w:t>
      </w:r>
      <w:r w:rsidR="00A92B3D">
        <w:t xml:space="preserve"> </w:t>
      </w:r>
      <w:r w:rsidR="00395EB0" w:rsidRPr="00F64FE1">
        <w:t>professionalisation pathways for both procurement officers and contract management of</w:t>
      </w:r>
      <w:r w:rsidR="00395EB0">
        <w:t>ficers</w:t>
      </w:r>
      <w:r w:rsidR="00F56230">
        <w:t>.</w:t>
      </w:r>
      <w:r w:rsidR="001F7159">
        <w:rPr>
          <w:rStyle w:val="FootnoteReference"/>
          <w:rFonts w:cs="Arial"/>
        </w:rPr>
        <w:footnoteReference w:id="15"/>
      </w:r>
      <w:r w:rsidR="00395EB0">
        <w:t xml:space="preserve"> </w:t>
      </w:r>
      <w:r w:rsidR="005178F8">
        <w:t>These steps are also important.</w:t>
      </w:r>
    </w:p>
    <w:p w14:paraId="468EC8CF" w14:textId="3B6DF812" w:rsidR="00634E59" w:rsidRDefault="00E73F3C" w:rsidP="00FF1E44">
      <w:r w:rsidRPr="00E73F3C">
        <w:t>The Reviewer endorses these conclusions</w:t>
      </w:r>
      <w:r w:rsidR="00B76450">
        <w:t xml:space="preserve"> and the </w:t>
      </w:r>
      <w:r w:rsidRPr="00E73F3C">
        <w:t>emphasis on both procurement and contractin</w:t>
      </w:r>
      <w:r w:rsidR="00B76450">
        <w:t>g</w:t>
      </w:r>
      <w:r w:rsidRPr="00E73F3C">
        <w:t xml:space="preserve">. The Reviewer </w:t>
      </w:r>
      <w:r>
        <w:t>recommends that the CEO</w:t>
      </w:r>
      <w:r w:rsidRPr="00E73F3C">
        <w:t xml:space="preserve">s of </w:t>
      </w:r>
      <w:r>
        <w:t xml:space="preserve">the </w:t>
      </w:r>
      <w:r w:rsidRPr="00E73F3C">
        <w:t>NDIA and SA support</w:t>
      </w:r>
      <w:r w:rsidR="005178F8">
        <w:t xml:space="preserve"> whole</w:t>
      </w:r>
      <w:r w:rsidR="007A4B42">
        <w:noBreakHyphen/>
      </w:r>
      <w:r w:rsidR="005178F8">
        <w:t>of-government</w:t>
      </w:r>
      <w:r w:rsidRPr="00E73F3C">
        <w:t xml:space="preserve"> change </w:t>
      </w:r>
      <w:r>
        <w:t xml:space="preserve">along these lines. </w:t>
      </w:r>
      <w:r w:rsidRPr="00E73F3C">
        <w:t xml:space="preserve">This should </w:t>
      </w:r>
      <w:r>
        <w:t xml:space="preserve">come out of the public sector reform work </w:t>
      </w:r>
      <w:r w:rsidRPr="00E73F3C">
        <w:t xml:space="preserve">underway, led by </w:t>
      </w:r>
      <w:r>
        <w:t xml:space="preserve">Dr </w:t>
      </w:r>
      <w:r w:rsidRPr="00E73F3C">
        <w:t>Gordon de Bro</w:t>
      </w:r>
      <w:r>
        <w:t>uwer as Secretary for Public Sector Reform</w:t>
      </w:r>
      <w:r w:rsidR="005178F8">
        <w:t xml:space="preserve"> and this </w:t>
      </w:r>
      <w:r w:rsidR="00F4678E">
        <w:t>needs to</w:t>
      </w:r>
      <w:r w:rsidR="005178F8">
        <w:t xml:space="preserve"> be fully supported by the Department of Finance and the APSC</w:t>
      </w:r>
      <w:r>
        <w:t xml:space="preserve">. </w:t>
      </w:r>
      <w:r w:rsidRPr="00E73F3C">
        <w:t>T</w:t>
      </w:r>
      <w:r w:rsidR="00C43BF4">
        <w:t xml:space="preserve">he </w:t>
      </w:r>
      <w:r w:rsidR="00607527">
        <w:t xml:space="preserve">current </w:t>
      </w:r>
      <w:r w:rsidR="00C43BF4">
        <w:t>work underway</w:t>
      </w:r>
      <w:r w:rsidRPr="00E73F3C">
        <w:t xml:space="preserve"> in the JCPAA on procurements may also become relevant in due course.</w:t>
      </w:r>
    </w:p>
    <w:p w14:paraId="04D2B038" w14:textId="3CC79BC0" w:rsidR="00460501" w:rsidRDefault="00460501" w:rsidP="00460501">
      <w:pPr>
        <w:pStyle w:val="Recommendationheading"/>
      </w:pPr>
      <w:r>
        <w:t>Recommendation 11</w:t>
      </w:r>
    </w:p>
    <w:tbl>
      <w:tblPr>
        <w:tblStyle w:val="TableGrid"/>
        <w:tblpPr w:leftFromText="181" w:rightFromText="181" w:bottomFromText="284" w:vertAnchor="text" w:tblpY="1"/>
        <w:tblOverlap w:val="never"/>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A82"/>
        <w:tblCellMar>
          <w:top w:w="142" w:type="dxa"/>
          <w:left w:w="142" w:type="dxa"/>
          <w:right w:w="142" w:type="dxa"/>
        </w:tblCellMar>
        <w:tblLook w:val="0500" w:firstRow="0" w:lastRow="0" w:firstColumn="0" w:lastColumn="1" w:noHBand="0" w:noVBand="1"/>
        <w:tblCaption w:val="Recommendation 11"/>
        <w:tblDescription w:val="That the CEOs of the NDIA and SA support the professionalisation of procurement along the lines recommended in the Thodey Review, and this be included in the Public Sector Reform Agenda."/>
      </w:tblPr>
      <w:tblGrid>
        <w:gridCol w:w="8197"/>
        <w:gridCol w:w="929"/>
      </w:tblGrid>
      <w:tr w:rsidR="00001509" w14:paraId="2C978BD6" w14:textId="77777777" w:rsidTr="00EE788C">
        <w:trPr>
          <w:trHeight w:val="574"/>
          <w:tblHeader/>
        </w:trPr>
        <w:tc>
          <w:tcPr>
            <w:tcW w:w="8197" w:type="dxa"/>
            <w:shd w:val="clear" w:color="auto" w:fill="004A82"/>
          </w:tcPr>
          <w:p w14:paraId="51DBF980" w14:textId="6916D818" w:rsidR="00001509" w:rsidRPr="005D3339" w:rsidRDefault="00001509" w:rsidP="009568A4">
            <w:pPr>
              <w:pStyle w:val="Definitiontableparagraph"/>
              <w:rPr>
                <w:i/>
              </w:rPr>
            </w:pPr>
            <w:r w:rsidRPr="00001509">
              <w:t>That the CEOs of the NDIA and SA support the professionalisation of procurement along the lines recommended in the Thodey Review, and this be included in the Public Sector Reform Agenda.</w:t>
            </w:r>
          </w:p>
        </w:tc>
        <w:tc>
          <w:tcPr>
            <w:tcW w:w="929" w:type="dxa"/>
            <w:shd w:val="clear" w:color="auto" w:fill="004A82"/>
          </w:tcPr>
          <w:p w14:paraId="7EFF8B7F" w14:textId="77777777" w:rsidR="00001509" w:rsidRPr="005D3339" w:rsidRDefault="00001509" w:rsidP="009568A4">
            <w:pPr>
              <w:rPr>
                <w:b/>
              </w:rPr>
            </w:pPr>
            <w:r>
              <w:rPr>
                <w:noProof/>
                <w:lang w:eastAsia="en-AU"/>
              </w:rPr>
              <w:drawing>
                <wp:inline distT="0" distB="0" distL="0" distR="0" wp14:anchorId="4CDC5E98" wp14:editId="5BC90F35">
                  <wp:extent cx="368496" cy="366947"/>
                  <wp:effectExtent l="0" t="0" r="0" b="0"/>
                  <wp:docPr id="20" name="Picture 20" descr="Decorative image indicating that this section is about a particluar recommendation."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Announcem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496" cy="366947"/>
                          </a:xfrm>
                          <a:prstGeom prst="rect">
                            <a:avLst/>
                          </a:prstGeom>
                        </pic:spPr>
                      </pic:pic>
                    </a:graphicData>
                  </a:graphic>
                </wp:inline>
              </w:drawing>
            </w:r>
          </w:p>
        </w:tc>
      </w:tr>
    </w:tbl>
    <w:p w14:paraId="7A241AEC" w14:textId="77777777" w:rsidR="00713887" w:rsidRDefault="00713887">
      <w:pPr>
        <w:rPr>
          <w:rFonts w:cs="Arial"/>
          <w:b/>
          <w:color w:val="0070C4"/>
          <w:sz w:val="36"/>
          <w:szCs w:val="40"/>
        </w:rPr>
      </w:pPr>
      <w:r>
        <w:br w:type="page"/>
      </w:r>
    </w:p>
    <w:p w14:paraId="5E7F2692" w14:textId="490FB1C8" w:rsidR="00A87A64" w:rsidRDefault="00A87A64" w:rsidP="00FF1E44">
      <w:pPr>
        <w:pStyle w:val="Heading2"/>
      </w:pPr>
      <w:r>
        <w:lastRenderedPageBreak/>
        <w:t xml:space="preserve">Potential </w:t>
      </w:r>
      <w:r w:rsidR="00E91703">
        <w:t xml:space="preserve">enhancements </w:t>
      </w:r>
      <w:r>
        <w:t>to the CPRs</w:t>
      </w:r>
    </w:p>
    <w:p w14:paraId="5F2670C3" w14:textId="1D658E56" w:rsidR="00575603" w:rsidRDefault="00A87A64" w:rsidP="00FF1E44">
      <w:r w:rsidRPr="00A87A64">
        <w:t xml:space="preserve">The CPRs </w:t>
      </w:r>
      <w:r w:rsidR="00607527">
        <w:t xml:space="preserve">have </w:t>
      </w:r>
      <w:r w:rsidRPr="00A87A64">
        <w:t xml:space="preserve">been regularly </w:t>
      </w:r>
      <w:r>
        <w:t>refreshed</w:t>
      </w:r>
      <w:r w:rsidRPr="00A865CD">
        <w:t xml:space="preserve"> over the last decade</w:t>
      </w:r>
      <w:r w:rsidR="00B76450">
        <w:t>. This has included</w:t>
      </w:r>
      <w:r w:rsidR="00EC7926">
        <w:t>, among other things,</w:t>
      </w:r>
      <w:r w:rsidR="00B76450">
        <w:t xml:space="preserve"> </w:t>
      </w:r>
      <w:r w:rsidRPr="00A865CD">
        <w:t>updat</w:t>
      </w:r>
      <w:r w:rsidR="00575603">
        <w:t>es</w:t>
      </w:r>
      <w:r w:rsidRPr="00A865CD">
        <w:t xml:space="preserve"> </w:t>
      </w:r>
      <w:r w:rsidR="00B76450">
        <w:t>to reflect</w:t>
      </w:r>
      <w:r w:rsidR="004D5690">
        <w:t xml:space="preserve"> </w:t>
      </w:r>
      <w:r w:rsidRPr="00A865CD">
        <w:t>changes in policy an</w:t>
      </w:r>
      <w:r w:rsidR="00B76450">
        <w:t>d</w:t>
      </w:r>
      <w:r w:rsidRPr="00A865CD">
        <w:t xml:space="preserve"> to address ANAO recommendations. The key basis of the CPRs, however, has not change</w:t>
      </w:r>
      <w:r w:rsidR="004D5690">
        <w:t>d:</w:t>
      </w:r>
    </w:p>
    <w:p w14:paraId="7DD9F596" w14:textId="26F6FB69" w:rsidR="00575603" w:rsidRDefault="004D5690" w:rsidP="00FF1E44">
      <w:pPr>
        <w:pStyle w:val="Bulletlevel1"/>
      </w:pPr>
      <w:r w:rsidRPr="00575603">
        <w:t>value for money at the core</w:t>
      </w:r>
    </w:p>
    <w:p w14:paraId="799B7769" w14:textId="19EFBE55" w:rsidR="00575603" w:rsidRDefault="00F550AA" w:rsidP="00FF1E44">
      <w:pPr>
        <w:pStyle w:val="Bulletlevel1"/>
      </w:pPr>
      <w:r>
        <w:t>engaging competition</w:t>
      </w:r>
    </w:p>
    <w:p w14:paraId="7256E88A" w14:textId="1605AB91" w:rsidR="00575603" w:rsidRDefault="00A87A64" w:rsidP="00FF1E44">
      <w:pPr>
        <w:pStyle w:val="Bulletlevel1"/>
      </w:pPr>
      <w:r w:rsidRPr="00575603">
        <w:t>a non-</w:t>
      </w:r>
      <w:r w:rsidR="004D5690" w:rsidRPr="00575603">
        <w:t>discriminatory approach</w:t>
      </w:r>
    </w:p>
    <w:p w14:paraId="21BB55BA" w14:textId="729393E4" w:rsidR="00575603" w:rsidRDefault="004D5690" w:rsidP="00FF1E44">
      <w:pPr>
        <w:pStyle w:val="Bulletlevel1"/>
      </w:pPr>
      <w:r w:rsidRPr="00575603">
        <w:t xml:space="preserve">ethical </w:t>
      </w:r>
      <w:r w:rsidR="00A87A64" w:rsidRPr="00575603">
        <w:t>behaviour by</w:t>
      </w:r>
      <w:r w:rsidRPr="00575603">
        <w:t xml:space="preserve"> officials</w:t>
      </w:r>
    </w:p>
    <w:p w14:paraId="3429D9E2" w14:textId="5C122958" w:rsidR="00575603" w:rsidRDefault="004D5690" w:rsidP="00FF1E44">
      <w:pPr>
        <w:pStyle w:val="Bulletlevel1"/>
      </w:pPr>
      <w:r w:rsidRPr="00575603">
        <w:t>accountability and transparency by officials</w:t>
      </w:r>
    </w:p>
    <w:p w14:paraId="4696AB38" w14:textId="3FC90656" w:rsidR="00575603" w:rsidRDefault="004D5690" w:rsidP="00FF1E44">
      <w:pPr>
        <w:pStyle w:val="Bulletlevel1"/>
      </w:pPr>
      <w:r w:rsidRPr="00575603">
        <w:t xml:space="preserve">record keeping </w:t>
      </w:r>
      <w:proofErr w:type="gramStart"/>
      <w:r w:rsidRPr="00575603">
        <w:t>to validate</w:t>
      </w:r>
      <w:proofErr w:type="gramEnd"/>
      <w:r w:rsidRPr="00575603">
        <w:t xml:space="preserve"> the value for money decision, hold officials to account, and allow a subsequent review</w:t>
      </w:r>
      <w:r w:rsidR="002D097C" w:rsidRPr="00575603">
        <w:t>er</w:t>
      </w:r>
      <w:r w:rsidRPr="00575603">
        <w:t xml:space="preserve"> the ability to assess the decision.</w:t>
      </w:r>
    </w:p>
    <w:p w14:paraId="4EF7A37A" w14:textId="59D0AB20" w:rsidR="00A87A64" w:rsidRPr="00575603" w:rsidRDefault="00BE21C2" w:rsidP="00FF1E44">
      <w:r w:rsidRPr="00575603">
        <w:t xml:space="preserve">Finally, the </w:t>
      </w:r>
      <w:r>
        <w:t>CPRs</w:t>
      </w:r>
      <w:r w:rsidRPr="00575603">
        <w:t xml:space="preserve"> </w:t>
      </w:r>
      <w:r w:rsidR="007B3339">
        <w:t>a</w:t>
      </w:r>
      <w:r w:rsidR="005178F8">
        <w:t>nd the relevant section of the PGPA Act</w:t>
      </w:r>
      <w:r w:rsidR="007B3339">
        <w:t xml:space="preserve"> </w:t>
      </w:r>
      <w:r w:rsidRPr="00575603">
        <w:t xml:space="preserve">are directed at officials – they undertake the procurements, they make the decisions, they are required to follow the </w:t>
      </w:r>
      <w:r>
        <w:t>CPRs</w:t>
      </w:r>
      <w:r w:rsidRPr="00575603">
        <w:t xml:space="preserve">, and they are accountable for every aspect of the procurement process and outcome. </w:t>
      </w:r>
      <w:r w:rsidR="007B3339">
        <w:t>A</w:t>
      </w:r>
      <w:r w:rsidR="00FF5141">
        <w:t> </w:t>
      </w:r>
      <w:r w:rsidR="007B3339">
        <w:t>change in that clear direction would require a government decision.</w:t>
      </w:r>
    </w:p>
    <w:p w14:paraId="50A8AAB4" w14:textId="1E04E444" w:rsidR="000C63D5" w:rsidRDefault="00BE21C2" w:rsidP="00FF1E44">
      <w:r>
        <w:t xml:space="preserve">While the CPRs are directed at officials, </w:t>
      </w:r>
      <w:r w:rsidR="00F4119E">
        <w:t>other</w:t>
      </w:r>
      <w:r>
        <w:t xml:space="preserve"> stakeholders may </w:t>
      </w:r>
      <w:r w:rsidR="00F4119E">
        <w:t xml:space="preserve">also </w:t>
      </w:r>
      <w:r>
        <w:t>have an interest in the outcome and are able to provide view</w:t>
      </w:r>
      <w:r w:rsidR="0034097C">
        <w:t xml:space="preserve">s, </w:t>
      </w:r>
      <w:r>
        <w:t>advice,</w:t>
      </w:r>
      <w:r w:rsidR="0034097C">
        <w:t xml:space="preserve"> etc. to the procurement officials</w:t>
      </w:r>
      <w:r w:rsidR="0005040B">
        <w:t>. However,</w:t>
      </w:r>
      <w:r w:rsidR="00441F84">
        <w:t xml:space="preserve"> </w:t>
      </w:r>
      <w:r w:rsidR="00BC62FF">
        <w:t xml:space="preserve">under the current CPRs, </w:t>
      </w:r>
      <w:r w:rsidR="0005040B">
        <w:t xml:space="preserve">they </w:t>
      </w:r>
      <w:r w:rsidR="0034097C">
        <w:t xml:space="preserve">are not able to direct the officials to reach certain conclusions on the procurement </w:t>
      </w:r>
      <w:r w:rsidR="00BC62FF">
        <w:t xml:space="preserve">type, </w:t>
      </w:r>
      <w:proofErr w:type="gramStart"/>
      <w:r w:rsidR="0034097C">
        <w:t>process</w:t>
      </w:r>
      <w:proofErr w:type="gramEnd"/>
      <w:r w:rsidR="0034097C">
        <w:t xml:space="preserve"> or the outcome</w:t>
      </w:r>
      <w:r w:rsidR="00BC62FF">
        <w:t xml:space="preserve"> – indeed on any aspect of the procurement</w:t>
      </w:r>
      <w:r w:rsidR="0034097C">
        <w:t>.</w:t>
      </w:r>
    </w:p>
    <w:p w14:paraId="586416CE" w14:textId="3A4E160C" w:rsidR="00BC62FF" w:rsidRDefault="00BC62FF" w:rsidP="00FF1E44">
      <w:r>
        <w:t xml:space="preserve">If the views of stakeholders are </w:t>
      </w:r>
      <w:proofErr w:type="gramStart"/>
      <w:r>
        <w:t>taken into account</w:t>
      </w:r>
      <w:proofErr w:type="gramEnd"/>
      <w:r>
        <w:t xml:space="preserve"> </w:t>
      </w:r>
      <w:r w:rsidR="00931E57">
        <w:t>in determining</w:t>
      </w:r>
      <w:r>
        <w:t xml:space="preserve"> any aspect of procurements, this should be recorded in procurement documentation. Similarly, if underlying government policy influences an outcome, this should also be recorded. </w:t>
      </w:r>
    </w:p>
    <w:p w14:paraId="548D3283" w14:textId="77777777" w:rsidR="00460501" w:rsidRDefault="00BC62FF" w:rsidP="00FF1E44">
      <w:r>
        <w:t xml:space="preserve">Should any stakeholder seek to direct aspects or outcomes of a procurement, this should be </w:t>
      </w:r>
      <w:r w:rsidR="000967E4">
        <w:t xml:space="preserve">done </w:t>
      </w:r>
      <w:r>
        <w:t xml:space="preserve">in writing and the determination published on the department’s/agency’s website along with details of the completed procurement. The Reviewer acknowledges that this is likely to be very rare, and limited to </w:t>
      </w:r>
      <w:r w:rsidR="007A20D2">
        <w:t>significant issues relating to g</w:t>
      </w:r>
      <w:r>
        <w:t>overnment policy.</w:t>
      </w:r>
    </w:p>
    <w:p w14:paraId="1EBFC7F3" w14:textId="3CB5C212" w:rsidR="00BC62FF" w:rsidRDefault="00460501" w:rsidP="00460501">
      <w:pPr>
        <w:pStyle w:val="Recommendationheading"/>
      </w:pPr>
      <w:r>
        <w:t>Recommendation 12</w:t>
      </w:r>
    </w:p>
    <w:tbl>
      <w:tblPr>
        <w:tblStyle w:val="TableGrid"/>
        <w:tblpPr w:leftFromText="181" w:rightFromText="181" w:bottomFromText="284" w:vertAnchor="text" w:tblpY="1"/>
        <w:tblOverlap w:val="never"/>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A82"/>
        <w:tblCellMar>
          <w:top w:w="142" w:type="dxa"/>
          <w:left w:w="142" w:type="dxa"/>
          <w:right w:w="142" w:type="dxa"/>
        </w:tblCellMar>
        <w:tblLook w:val="0500" w:firstRow="0" w:lastRow="0" w:firstColumn="0" w:lastColumn="1" w:noHBand="0" w:noVBand="1"/>
        <w:tblCaption w:val="Recommendation 12"/>
        <w:tblDescription w:val="a) That the CPRs be amended to explain the deterministic role of officials and that they preclude Ministers, ministerial advisers and senior officials from directing officials in relation to procurements.&#10;b) Should a stakeholder seek to direct aspects or outcomes of a specific procurement, this should be documented and published on the agencies’ website along with details of the procurement outcomes. Should there be a government decision, that would also be documented and published."/>
      </w:tblPr>
      <w:tblGrid>
        <w:gridCol w:w="8197"/>
        <w:gridCol w:w="929"/>
      </w:tblGrid>
      <w:tr w:rsidR="00FF1E44" w14:paraId="3F049E24" w14:textId="77777777" w:rsidTr="00EE788C">
        <w:trPr>
          <w:trHeight w:val="574"/>
          <w:tblHeader/>
        </w:trPr>
        <w:tc>
          <w:tcPr>
            <w:tcW w:w="8197" w:type="dxa"/>
            <w:shd w:val="clear" w:color="auto" w:fill="004A82"/>
          </w:tcPr>
          <w:p w14:paraId="49AE5CBA" w14:textId="64815903" w:rsidR="000D0904" w:rsidRPr="000D0904" w:rsidRDefault="00D837A3" w:rsidP="007E3C41">
            <w:pPr>
              <w:pStyle w:val="Definitiontableparagraph"/>
              <w:numPr>
                <w:ilvl w:val="0"/>
                <w:numId w:val="29"/>
              </w:numPr>
            </w:pPr>
            <w:r w:rsidRPr="000D0904">
              <w:t xml:space="preserve">That the CPRs be amended to explain the deterministic role of officials and that they preclude Ministers, ministerial </w:t>
            </w:r>
            <w:proofErr w:type="gramStart"/>
            <w:r w:rsidRPr="000D0904">
              <w:t>advisers</w:t>
            </w:r>
            <w:proofErr w:type="gramEnd"/>
            <w:r w:rsidRPr="000D0904">
              <w:t xml:space="preserve"> and senior officials from directing officials in relation to procurements.</w:t>
            </w:r>
          </w:p>
          <w:p w14:paraId="60EE9D59" w14:textId="3ACCD3E3" w:rsidR="00D837A3" w:rsidRPr="000D0904" w:rsidRDefault="00D837A3" w:rsidP="007E3C41">
            <w:pPr>
              <w:pStyle w:val="Definitiontableparagraph"/>
              <w:numPr>
                <w:ilvl w:val="0"/>
                <w:numId w:val="29"/>
              </w:numPr>
              <w:rPr>
                <w:i/>
              </w:rPr>
            </w:pPr>
            <w:r w:rsidRPr="000D0904">
              <w:t>Should a stakeholder seek to direct aspects or outcomes of a specific procurement, this should be documented and published on the agencies’ website along with details of the procurement outcomes.</w:t>
            </w:r>
            <w:r w:rsidR="007B3339" w:rsidRPr="000D0904">
              <w:t xml:space="preserve"> Should there be a government decision, that would also be documented and published.</w:t>
            </w:r>
          </w:p>
        </w:tc>
        <w:tc>
          <w:tcPr>
            <w:tcW w:w="929" w:type="dxa"/>
            <w:shd w:val="clear" w:color="auto" w:fill="004A82"/>
          </w:tcPr>
          <w:p w14:paraId="3D173979" w14:textId="77777777" w:rsidR="00D837A3" w:rsidRPr="005D3339" w:rsidRDefault="00D837A3" w:rsidP="00A87786">
            <w:pPr>
              <w:rPr>
                <w:b/>
              </w:rPr>
            </w:pPr>
            <w:r>
              <w:rPr>
                <w:noProof/>
                <w:lang w:eastAsia="en-AU"/>
              </w:rPr>
              <w:drawing>
                <wp:inline distT="0" distB="0" distL="0" distR="0" wp14:anchorId="2F3393FC" wp14:editId="5B925129">
                  <wp:extent cx="368496" cy="366947"/>
                  <wp:effectExtent l="0" t="0" r="0" b="0"/>
                  <wp:docPr id="21" name="Picture 21" descr="Decorative image indicating that this section is about a particluar recommendation."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Announcem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496" cy="366947"/>
                          </a:xfrm>
                          <a:prstGeom prst="rect">
                            <a:avLst/>
                          </a:prstGeom>
                        </pic:spPr>
                      </pic:pic>
                    </a:graphicData>
                  </a:graphic>
                </wp:inline>
              </w:drawing>
            </w:r>
          </w:p>
        </w:tc>
      </w:tr>
    </w:tbl>
    <w:p w14:paraId="06283D63" w14:textId="23E2FD50" w:rsidR="0034097C" w:rsidRDefault="00575AA5" w:rsidP="00FF1E44">
      <w:r>
        <w:t xml:space="preserve">Part I of the </w:t>
      </w:r>
      <w:r w:rsidR="0034097C">
        <w:t xml:space="preserve">Report discussed and supported two </w:t>
      </w:r>
      <w:r>
        <w:t xml:space="preserve">proposed </w:t>
      </w:r>
      <w:r w:rsidR="0034097C">
        <w:t>changes to AusTender</w:t>
      </w:r>
      <w:r>
        <w:t xml:space="preserve"> to improve transparency</w:t>
      </w:r>
      <w:r w:rsidR="0034097C">
        <w:t>. These should be supported at the whole-of-government level.</w:t>
      </w:r>
    </w:p>
    <w:p w14:paraId="584CA9A6" w14:textId="77777777" w:rsidR="00713887" w:rsidRDefault="00713887">
      <w:pPr>
        <w:rPr>
          <w:rFonts w:cs="Arial"/>
          <w:b/>
          <w:color w:val="0070C4"/>
          <w:sz w:val="36"/>
          <w:szCs w:val="40"/>
        </w:rPr>
      </w:pPr>
      <w:r>
        <w:br w:type="page"/>
      </w:r>
    </w:p>
    <w:p w14:paraId="21A418E0" w14:textId="4AA5DE44" w:rsidR="006E5207" w:rsidRDefault="006E5207" w:rsidP="00B930ED">
      <w:pPr>
        <w:pStyle w:val="Heading2"/>
      </w:pPr>
      <w:r>
        <w:lastRenderedPageBreak/>
        <w:t>Briefing stakeholders</w:t>
      </w:r>
    </w:p>
    <w:p w14:paraId="37715369" w14:textId="561CB88F" w:rsidR="007E3C41" w:rsidRPr="00713887" w:rsidRDefault="0034097C">
      <w:r>
        <w:t xml:space="preserve">The issue of briefing Ministers on the question of the </w:t>
      </w:r>
      <w:r w:rsidR="00F14E68">
        <w:t xml:space="preserve">PGPA Act, </w:t>
      </w:r>
      <w:r>
        <w:t xml:space="preserve">CPRs and the role of officials was </w:t>
      </w:r>
      <w:r w:rsidR="00CC16E8">
        <w:t xml:space="preserve">also </w:t>
      </w:r>
      <w:r>
        <w:t xml:space="preserve">raised in Part I of this Report. This should also be done for governments as a whole, perhaps by the Department of Finance or as a component of Incoming Government Briefs. While not the most </w:t>
      </w:r>
      <w:r w:rsidR="00581B91">
        <w:t xml:space="preserve">immediate or </w:t>
      </w:r>
      <w:r>
        <w:t xml:space="preserve">important </w:t>
      </w:r>
      <w:r w:rsidR="00581B91">
        <w:t xml:space="preserve">issue </w:t>
      </w:r>
      <w:r>
        <w:t xml:space="preserve">an incoming Minister will have to </w:t>
      </w:r>
      <w:r w:rsidR="008A6C71">
        <w:t>address</w:t>
      </w:r>
      <w:r>
        <w:t>, it is an important part in their understanding of their portfolio</w:t>
      </w:r>
      <w:r w:rsidR="008A6C71">
        <w:t xml:space="preserve"> and their responsibilities</w:t>
      </w:r>
      <w:r>
        <w:t>.</w:t>
      </w:r>
    </w:p>
    <w:p w14:paraId="3692FD72" w14:textId="625E789A" w:rsidR="006E5207" w:rsidRDefault="007E3C41" w:rsidP="007E3C41">
      <w:pPr>
        <w:pStyle w:val="Recommendationheading"/>
      </w:pPr>
      <w:r>
        <w:t>Recommendation 13</w:t>
      </w:r>
    </w:p>
    <w:tbl>
      <w:tblPr>
        <w:tblStyle w:val="TableGrid"/>
        <w:tblpPr w:leftFromText="181" w:rightFromText="181" w:bottomFromText="284" w:vertAnchor="text" w:tblpY="1"/>
        <w:tblOverlap w:val="never"/>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A82"/>
        <w:tblCellMar>
          <w:top w:w="142" w:type="dxa"/>
          <w:left w:w="142" w:type="dxa"/>
          <w:right w:w="142" w:type="dxa"/>
        </w:tblCellMar>
        <w:tblLook w:val="0500" w:firstRow="0" w:lastRow="0" w:firstColumn="0" w:lastColumn="1" w:noHBand="0" w:noVBand="1"/>
        <w:tblCaption w:val="Recommendation 13"/>
        <w:tblDescription w:val="The CEOs of the NDIA and SA support the briefing of Ministers on procurement and the role of officials as part of the Department of Finance Induction for Federal Parliamentarians. This should also be done by individual agency heads as a component of their Incoming Government Briefings, among other things."/>
      </w:tblPr>
      <w:tblGrid>
        <w:gridCol w:w="8197"/>
        <w:gridCol w:w="929"/>
      </w:tblGrid>
      <w:tr w:rsidR="00D837A3" w14:paraId="045F0B15" w14:textId="77777777" w:rsidTr="00EE788C">
        <w:trPr>
          <w:trHeight w:val="574"/>
          <w:tblHeader/>
        </w:trPr>
        <w:tc>
          <w:tcPr>
            <w:tcW w:w="8197" w:type="dxa"/>
            <w:shd w:val="clear" w:color="auto" w:fill="004A82"/>
          </w:tcPr>
          <w:p w14:paraId="4B239C86" w14:textId="70F18E45" w:rsidR="00D837A3" w:rsidRPr="00FF1E44" w:rsidRDefault="00D837A3" w:rsidP="006E5207">
            <w:pPr>
              <w:pStyle w:val="Definitiontableparagraph"/>
              <w:rPr>
                <w:i/>
              </w:rPr>
            </w:pPr>
            <w:r w:rsidRPr="00FF1E44">
              <w:t xml:space="preserve">The </w:t>
            </w:r>
            <w:r w:rsidR="007B3339">
              <w:t>CEOs</w:t>
            </w:r>
            <w:r w:rsidR="007B3339" w:rsidRPr="00FF1E44">
              <w:t xml:space="preserve"> </w:t>
            </w:r>
            <w:r w:rsidRPr="00FF1E44">
              <w:t xml:space="preserve">of the NDIA and SA support the briefing of Ministers on procurement and the role of officials as part of the Department of Finance Induction for Federal Parliamentarians. This should also be </w:t>
            </w:r>
            <w:r w:rsidR="006E5207">
              <w:t>done by</w:t>
            </w:r>
            <w:r w:rsidRPr="00FF1E44">
              <w:t xml:space="preserve"> individual agency heads as a component of their Incoming Government Briefings, among other things.</w:t>
            </w:r>
          </w:p>
        </w:tc>
        <w:tc>
          <w:tcPr>
            <w:tcW w:w="929" w:type="dxa"/>
            <w:shd w:val="clear" w:color="auto" w:fill="004A82"/>
          </w:tcPr>
          <w:p w14:paraId="30388BFC" w14:textId="77777777" w:rsidR="00D837A3" w:rsidRPr="005D3339" w:rsidRDefault="00D837A3" w:rsidP="00A87786">
            <w:pPr>
              <w:rPr>
                <w:b/>
              </w:rPr>
            </w:pPr>
            <w:r>
              <w:rPr>
                <w:noProof/>
                <w:lang w:eastAsia="en-AU"/>
              </w:rPr>
              <w:drawing>
                <wp:inline distT="0" distB="0" distL="0" distR="0" wp14:anchorId="4D38D183" wp14:editId="4B94974D">
                  <wp:extent cx="368496" cy="366947"/>
                  <wp:effectExtent l="0" t="0" r="0" b="0"/>
                  <wp:docPr id="22" name="Picture 22" descr="Decorative image indicating that this section is about a particluar recommendation."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Announcem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496" cy="366947"/>
                          </a:xfrm>
                          <a:prstGeom prst="rect">
                            <a:avLst/>
                          </a:prstGeom>
                        </pic:spPr>
                      </pic:pic>
                    </a:graphicData>
                  </a:graphic>
                </wp:inline>
              </w:drawing>
            </w:r>
          </w:p>
        </w:tc>
      </w:tr>
    </w:tbl>
    <w:p w14:paraId="080245EE" w14:textId="77777777" w:rsidR="00FF09CD" w:rsidRDefault="00FF09CD" w:rsidP="00D33DCE"/>
    <w:p w14:paraId="1BC5594D" w14:textId="77777777" w:rsidR="00FF09CD" w:rsidRDefault="00FF09CD" w:rsidP="00D33DCE">
      <w:pPr>
        <w:rPr>
          <w:rFonts w:cs="Arial"/>
          <w:bCs/>
          <w:color w:val="004A82"/>
          <w:sz w:val="52"/>
          <w:szCs w:val="44"/>
          <w:lang w:eastAsia="en-AU"/>
        </w:rPr>
      </w:pPr>
      <w:r>
        <w:br w:type="page"/>
      </w:r>
    </w:p>
    <w:p w14:paraId="13794F50" w14:textId="5A417228" w:rsidR="0034097C" w:rsidRDefault="00C43881" w:rsidP="00FF1E44">
      <w:pPr>
        <w:pStyle w:val="Heading1"/>
      </w:pPr>
      <w:r>
        <w:lastRenderedPageBreak/>
        <w:t>Handling the report</w:t>
      </w:r>
    </w:p>
    <w:p w14:paraId="2FE46F4E" w14:textId="0C98AFF2" w:rsidR="00C43881" w:rsidRDefault="00C43881" w:rsidP="00FF1E44">
      <w:r>
        <w:t>The Report was commissioned</w:t>
      </w:r>
      <w:r w:rsidR="00F14E68">
        <w:t xml:space="preserve"> by</w:t>
      </w:r>
      <w:r>
        <w:t xml:space="preserve"> the CEOs of the </w:t>
      </w:r>
      <w:r w:rsidR="00076752">
        <w:t>NDIA and SA</w:t>
      </w:r>
      <w:r>
        <w:t xml:space="preserve"> and it is</w:t>
      </w:r>
      <w:r w:rsidR="00E450F1">
        <w:t xml:space="preserve"> accordingly</w:t>
      </w:r>
      <w:r>
        <w:t xml:space="preserve"> a report to them. However, the Terms of Reference also state that ‘a</w:t>
      </w:r>
      <w:r w:rsidRPr="00C43881">
        <w:t xml:space="preserve"> copy of the report</w:t>
      </w:r>
      <w:r w:rsidR="00E450F1">
        <w:t>,</w:t>
      </w:r>
      <w:r w:rsidRPr="00C43881">
        <w:t xml:space="preserve"> or part of the report</w:t>
      </w:r>
      <w:r w:rsidR="00E450F1">
        <w:t>,</w:t>
      </w:r>
      <w:r w:rsidRPr="00C43881">
        <w:t xml:space="preserve"> may be provided to other agencies, where it raises issues relevant to their functions or activities.</w:t>
      </w:r>
      <w:r>
        <w:t>’</w:t>
      </w:r>
    </w:p>
    <w:p w14:paraId="698EC280" w14:textId="7DEBEB64" w:rsidR="00C43881" w:rsidRDefault="00C43881" w:rsidP="00FF1E44">
      <w:r>
        <w:t xml:space="preserve">The Reviewer considers that the report would be of broader use, in the context of procurement reform and </w:t>
      </w:r>
      <w:r w:rsidR="00076752">
        <w:t>p</w:t>
      </w:r>
      <w:r>
        <w:t xml:space="preserve">ublic </w:t>
      </w:r>
      <w:r w:rsidR="00076752">
        <w:t>s</w:t>
      </w:r>
      <w:r>
        <w:t xml:space="preserve">ector </w:t>
      </w:r>
      <w:r w:rsidR="00076752">
        <w:t>r</w:t>
      </w:r>
      <w:r>
        <w:t xml:space="preserve">eform, more generally. The whole-of-government recommendations would be particularly relevant, but so </w:t>
      </w:r>
      <w:proofErr w:type="spellStart"/>
      <w:r w:rsidR="00E450F1">
        <w:t>may</w:t>
      </w:r>
      <w:proofErr w:type="spellEnd"/>
      <w:r w:rsidR="00E450F1">
        <w:t xml:space="preserve"> </w:t>
      </w:r>
      <w:r>
        <w:t>other parts of the report.</w:t>
      </w:r>
    </w:p>
    <w:p w14:paraId="617F7310" w14:textId="26E11F44" w:rsidR="00A6460A" w:rsidRDefault="00C43881" w:rsidP="00FF1E44">
      <w:r>
        <w:t>The Reviewer considers that the Report should be circulated to</w:t>
      </w:r>
      <w:r w:rsidR="008A6C71">
        <w:t xml:space="preserve"> at least</w:t>
      </w:r>
      <w:r>
        <w:t xml:space="preserve"> selected agency heads with a view to </w:t>
      </w:r>
      <w:r w:rsidR="00BC613A">
        <w:t xml:space="preserve">it being </w:t>
      </w:r>
      <w:r>
        <w:t xml:space="preserve">able to play a role, albeit a </w:t>
      </w:r>
      <w:r w:rsidR="00BC613A">
        <w:t xml:space="preserve">small </w:t>
      </w:r>
      <w:r>
        <w:t xml:space="preserve">one, in </w:t>
      </w:r>
      <w:r w:rsidR="00BC613A">
        <w:t>the public sector reform work that is currently underway</w:t>
      </w:r>
      <w:r w:rsidR="008A6C71">
        <w:t xml:space="preserve"> and in</w:t>
      </w:r>
      <w:r w:rsidR="00F005D3">
        <w:t xml:space="preserve"> the continuing task</w:t>
      </w:r>
      <w:r w:rsidR="007B3339">
        <w:t xml:space="preserve"> of</w:t>
      </w:r>
      <w:r w:rsidR="008A6C71">
        <w:t xml:space="preserve"> improving APS procurement overall.</w:t>
      </w:r>
      <w:r w:rsidR="007078D1">
        <w:rPr>
          <w:rStyle w:val="FootnoteReference"/>
        </w:rPr>
        <w:footnoteReference w:id="16"/>
      </w:r>
      <w:r w:rsidR="00BC613A">
        <w:t xml:space="preserve"> </w:t>
      </w:r>
      <w:r w:rsidR="009B311C">
        <w:t>The Reviewer has not made a</w:t>
      </w:r>
      <w:r w:rsidR="007B3339">
        <w:t xml:space="preserve"> specific</w:t>
      </w:r>
      <w:r w:rsidR="009B311C">
        <w:t xml:space="preserve"> recommendation in this regard and is happy to rely on the</w:t>
      </w:r>
      <w:r w:rsidR="00E67076">
        <w:t xml:space="preserve"> two</w:t>
      </w:r>
      <w:r w:rsidR="009B311C">
        <w:t xml:space="preserve"> </w:t>
      </w:r>
      <w:r w:rsidR="00E67076">
        <w:t>a</w:t>
      </w:r>
      <w:r w:rsidR="009B311C">
        <w:t xml:space="preserve">gency heads to reach their </w:t>
      </w:r>
      <w:r w:rsidR="008A6C71">
        <w:t xml:space="preserve">own </w:t>
      </w:r>
      <w:r w:rsidR="009B311C">
        <w:t>judgement.</w:t>
      </w:r>
    </w:p>
    <w:p w14:paraId="5A5357D8" w14:textId="77777777" w:rsidR="00A6460A" w:rsidRDefault="00A6460A">
      <w:r>
        <w:br w:type="page"/>
      </w:r>
    </w:p>
    <w:p w14:paraId="73C6CEA6" w14:textId="506B27CB" w:rsidR="00A6460A" w:rsidRPr="00153766" w:rsidRDefault="00A6460A" w:rsidP="00A6460A">
      <w:pPr>
        <w:pStyle w:val="Heading1"/>
      </w:pPr>
      <w:r>
        <w:lastRenderedPageBreak/>
        <w:t>List of recommendations</w:t>
      </w:r>
    </w:p>
    <w:p w14:paraId="2CF29DB5" w14:textId="77777777" w:rsidR="00A6460A" w:rsidRPr="00921E78" w:rsidRDefault="00A6460A" w:rsidP="00A6460A">
      <w:pPr>
        <w:pStyle w:val="Recommendationindexheading"/>
      </w:pPr>
      <w:r w:rsidRPr="00921E78">
        <w:t>Recommendation 1</w:t>
      </w:r>
    </w:p>
    <w:p w14:paraId="7298F5B4" w14:textId="0EBA98ED" w:rsidR="00A6460A" w:rsidRPr="00921E78" w:rsidRDefault="003F2468" w:rsidP="00A6460A">
      <w:r w:rsidRPr="00921E78">
        <w:t>The NDIA and SA tighten up the use of limited tenders justified by claims of urgency and closely monitor the extent of their usage including requiring clear, fully documented justification for the decision</w:t>
      </w:r>
      <w:r w:rsidR="00A6460A" w:rsidRPr="00921E78">
        <w:t xml:space="preserve"> </w:t>
      </w:r>
      <w:r w:rsidR="00A6460A" w:rsidRPr="00921E78">
        <w:rPr>
          <w:i/>
        </w:rPr>
        <w:t xml:space="preserve">(page </w:t>
      </w:r>
      <w:r w:rsidR="00A458AF" w:rsidRPr="00921E78">
        <w:rPr>
          <w:i/>
        </w:rPr>
        <w:t>8</w:t>
      </w:r>
      <w:r w:rsidR="00A6460A" w:rsidRPr="00921E78">
        <w:rPr>
          <w:i/>
        </w:rPr>
        <w:t>)</w:t>
      </w:r>
      <w:r w:rsidR="00A6460A" w:rsidRPr="00921E78">
        <w:t>.</w:t>
      </w:r>
    </w:p>
    <w:p w14:paraId="7116E922" w14:textId="25793AF6" w:rsidR="00A6460A" w:rsidRPr="00921E78" w:rsidRDefault="00A6460A" w:rsidP="00A6460A">
      <w:pPr>
        <w:pStyle w:val="Recommendationindexheading"/>
      </w:pPr>
      <w:r w:rsidRPr="00921E78">
        <w:t>Recommendation 2</w:t>
      </w:r>
    </w:p>
    <w:p w14:paraId="16FAA92D" w14:textId="7EB929D0" w:rsidR="00A6460A" w:rsidRPr="00921E78" w:rsidRDefault="00660756" w:rsidP="00A6460A">
      <w:r>
        <w:t>The a</w:t>
      </w:r>
      <w:r w:rsidR="003F2468" w:rsidRPr="00921E78">
        <w:t xml:space="preserve">gencies should require the use of limited tender or single supplier procurements to be justified and fully documented. They should also require a particularly compelling justification when limited tenders or a single supplier approach are used for procurements that may trigger a subsequent chain of procurements </w:t>
      </w:r>
      <w:r w:rsidR="00A6460A" w:rsidRPr="00921E78">
        <w:rPr>
          <w:i/>
        </w:rPr>
        <w:t xml:space="preserve">(page </w:t>
      </w:r>
      <w:r w:rsidR="00A458AF" w:rsidRPr="00921E78">
        <w:rPr>
          <w:i/>
        </w:rPr>
        <w:t>8</w:t>
      </w:r>
      <w:r w:rsidR="00A6460A" w:rsidRPr="00921E78">
        <w:rPr>
          <w:i/>
        </w:rPr>
        <w:t>)</w:t>
      </w:r>
      <w:r w:rsidR="00A6460A" w:rsidRPr="00921E78">
        <w:t>.</w:t>
      </w:r>
    </w:p>
    <w:p w14:paraId="2938E583" w14:textId="77777777" w:rsidR="00A6460A" w:rsidRPr="00921E78" w:rsidRDefault="00A6460A" w:rsidP="00A6460A">
      <w:pPr>
        <w:pStyle w:val="Recommendationindexheading"/>
      </w:pPr>
      <w:r w:rsidRPr="00921E78">
        <w:t>Recommendation 3</w:t>
      </w:r>
    </w:p>
    <w:p w14:paraId="06C994FB" w14:textId="24E1F228" w:rsidR="00A6460A" w:rsidRPr="00921E78" w:rsidRDefault="003F2468" w:rsidP="00A6460A">
      <w:r w:rsidRPr="00921E78">
        <w:t xml:space="preserve">The NDIA and SA should publicly report on the number of suppliers invited to respond for each procurement through their websites. Reporting for SA could occur through AusTender, when the Department of Finance introduces this functionality. Data for procurements above a certain threshold should be included in the Annual Report </w:t>
      </w:r>
      <w:r w:rsidR="00A6460A" w:rsidRPr="00921E78">
        <w:rPr>
          <w:i/>
        </w:rPr>
        <w:t xml:space="preserve">(page </w:t>
      </w:r>
      <w:r w:rsidR="00A458AF" w:rsidRPr="00921E78">
        <w:rPr>
          <w:i/>
        </w:rPr>
        <w:t>9</w:t>
      </w:r>
      <w:r w:rsidR="00A6460A" w:rsidRPr="00921E78">
        <w:rPr>
          <w:i/>
        </w:rPr>
        <w:t>)</w:t>
      </w:r>
      <w:r w:rsidR="00A6460A" w:rsidRPr="00921E78">
        <w:t>.</w:t>
      </w:r>
    </w:p>
    <w:p w14:paraId="7E65121C" w14:textId="77777777" w:rsidR="00A6460A" w:rsidRPr="00921E78" w:rsidRDefault="00A6460A" w:rsidP="00A6460A">
      <w:pPr>
        <w:pStyle w:val="Recommendationindexheading"/>
      </w:pPr>
      <w:r w:rsidRPr="00921E78">
        <w:t>Recommendation 4</w:t>
      </w:r>
    </w:p>
    <w:p w14:paraId="0674AD78" w14:textId="15684061" w:rsidR="00A6460A" w:rsidRPr="00921E78" w:rsidRDefault="003F2468" w:rsidP="00A6460A">
      <w:r w:rsidRPr="00921E78">
        <w:t xml:space="preserve">The NDIA and SA require all staff involved in a procurement process to declare any conflict of interest – actual, potential or perceived – at the start of the process, to update it as necessary during the procurement, and that the declaration be recorded and retained as an important part of tender documentation </w:t>
      </w:r>
      <w:r w:rsidR="00A6460A" w:rsidRPr="00921E78">
        <w:rPr>
          <w:i/>
        </w:rPr>
        <w:t xml:space="preserve">(page </w:t>
      </w:r>
      <w:r w:rsidR="00A458AF" w:rsidRPr="00921E78">
        <w:rPr>
          <w:i/>
        </w:rPr>
        <w:t>10</w:t>
      </w:r>
      <w:r w:rsidR="00A6460A" w:rsidRPr="00921E78">
        <w:rPr>
          <w:i/>
        </w:rPr>
        <w:t>)</w:t>
      </w:r>
      <w:r w:rsidR="00A6460A" w:rsidRPr="00921E78">
        <w:t>.</w:t>
      </w:r>
    </w:p>
    <w:p w14:paraId="452F7A48" w14:textId="77777777" w:rsidR="00A6460A" w:rsidRPr="00921E78" w:rsidRDefault="00A6460A" w:rsidP="00A6460A">
      <w:pPr>
        <w:pStyle w:val="Recommendationindexheading"/>
      </w:pPr>
      <w:r w:rsidRPr="00921E78">
        <w:t>Recommendation 5</w:t>
      </w:r>
    </w:p>
    <w:p w14:paraId="49730402" w14:textId="6586239D" w:rsidR="00A6460A" w:rsidRPr="00921E78" w:rsidRDefault="00A6460A" w:rsidP="00A6460A">
      <w:r w:rsidRPr="00921E78">
        <w:t xml:space="preserve">The NDIA and SA review and, as necessary, modify their procurement approval templates to ensure they provide clarity as to the factors that are taken into account in determining value for money, and are clear about the obligations of the signatories </w:t>
      </w:r>
      <w:r w:rsidRPr="00921E78">
        <w:rPr>
          <w:i/>
        </w:rPr>
        <w:t xml:space="preserve">(page </w:t>
      </w:r>
      <w:r w:rsidR="00A458AF" w:rsidRPr="00921E78">
        <w:rPr>
          <w:i/>
        </w:rPr>
        <w:t>11</w:t>
      </w:r>
      <w:r w:rsidRPr="00921E78">
        <w:rPr>
          <w:i/>
        </w:rPr>
        <w:t>)</w:t>
      </w:r>
      <w:r w:rsidRPr="00921E78">
        <w:t>.</w:t>
      </w:r>
    </w:p>
    <w:p w14:paraId="5C6D9120" w14:textId="77777777" w:rsidR="00A6460A" w:rsidRPr="00921E78" w:rsidRDefault="00A6460A" w:rsidP="00A6460A">
      <w:pPr>
        <w:pStyle w:val="Recommendationindexheading"/>
      </w:pPr>
      <w:r w:rsidRPr="00921E78">
        <w:t>Recommendation 6</w:t>
      </w:r>
    </w:p>
    <w:p w14:paraId="6A28CC2C" w14:textId="32172280" w:rsidR="003F2468" w:rsidRPr="00921E78" w:rsidRDefault="003F2468" w:rsidP="003F2468">
      <w:r w:rsidRPr="00921E78">
        <w:rPr>
          <w:b/>
        </w:rPr>
        <w:t>a)</w:t>
      </w:r>
      <w:r w:rsidRPr="00921E78">
        <w:t xml:space="preserve"> The NDIA and SA should review their requirements in relation to probity and legal advice, to ensure that internal advice is available for all procurements, and is used on all procurements over a certain value, risk, and/or complexity threshold, external probity and legal advice should be considered for all complex high risk and/or high value procurements, with the final decision </w:t>
      </w:r>
      <w:r w:rsidR="004F6C6A">
        <w:t xml:space="preserve">on whether to use advice </w:t>
      </w:r>
      <w:r w:rsidRPr="00921E78">
        <w:t xml:space="preserve">made and declared by the decision maker </w:t>
      </w:r>
      <w:r w:rsidRPr="00921E78">
        <w:rPr>
          <w:i/>
        </w:rPr>
        <w:t xml:space="preserve">(page </w:t>
      </w:r>
      <w:r w:rsidR="00A458AF" w:rsidRPr="00921E78">
        <w:rPr>
          <w:i/>
        </w:rPr>
        <w:t>12</w:t>
      </w:r>
      <w:r w:rsidRPr="00921E78">
        <w:rPr>
          <w:i/>
        </w:rPr>
        <w:t>)</w:t>
      </w:r>
      <w:r w:rsidRPr="00921E78">
        <w:t>.</w:t>
      </w:r>
    </w:p>
    <w:p w14:paraId="72654EA4" w14:textId="1557D1EA" w:rsidR="00A6460A" w:rsidRPr="00921E78" w:rsidRDefault="003F2468" w:rsidP="003F2468">
      <w:r w:rsidRPr="00921E78">
        <w:rPr>
          <w:b/>
        </w:rPr>
        <w:t>b)</w:t>
      </w:r>
      <w:r w:rsidRPr="00921E78">
        <w:t xml:space="preserve"> The NDIA and SA should also consider using an independent adviser on large, complex and high risk procurements</w:t>
      </w:r>
      <w:r w:rsidR="00A6460A" w:rsidRPr="00921E78">
        <w:t xml:space="preserve"> </w:t>
      </w:r>
      <w:r w:rsidR="00A6460A" w:rsidRPr="00921E78">
        <w:rPr>
          <w:i/>
        </w:rPr>
        <w:t xml:space="preserve">(page </w:t>
      </w:r>
      <w:r w:rsidR="00A458AF" w:rsidRPr="00921E78">
        <w:rPr>
          <w:i/>
        </w:rPr>
        <w:t>12</w:t>
      </w:r>
      <w:r w:rsidR="00A6460A" w:rsidRPr="00921E78">
        <w:rPr>
          <w:i/>
        </w:rPr>
        <w:t>)</w:t>
      </w:r>
      <w:r w:rsidR="00A6460A" w:rsidRPr="00921E78">
        <w:t>.</w:t>
      </w:r>
    </w:p>
    <w:p w14:paraId="3386D780" w14:textId="77777777" w:rsidR="00A6460A" w:rsidRPr="00921E78" w:rsidRDefault="00A6460A" w:rsidP="00A6460A">
      <w:pPr>
        <w:pStyle w:val="Recommendationindexheading"/>
      </w:pPr>
      <w:r w:rsidRPr="00921E78">
        <w:t>Recommendation 7</w:t>
      </w:r>
    </w:p>
    <w:p w14:paraId="57060EF5" w14:textId="673B17D3" w:rsidR="00A6460A" w:rsidRPr="00921E78" w:rsidRDefault="003F2468" w:rsidP="00A6460A">
      <w:r w:rsidRPr="00921E78">
        <w:t xml:space="preserve">The NDIA and SA should review the adequacy of their current record keeping arrangements, and their plans to improve them, in light of the findings of the report </w:t>
      </w:r>
      <w:r w:rsidR="00A6460A" w:rsidRPr="00921E78">
        <w:rPr>
          <w:i/>
        </w:rPr>
        <w:t xml:space="preserve">(page </w:t>
      </w:r>
      <w:r w:rsidR="00A458AF" w:rsidRPr="00921E78">
        <w:rPr>
          <w:i/>
        </w:rPr>
        <w:t>1</w:t>
      </w:r>
      <w:r w:rsidR="002006EB" w:rsidRPr="00921E78">
        <w:rPr>
          <w:i/>
        </w:rPr>
        <w:t>4</w:t>
      </w:r>
      <w:r w:rsidR="00A6460A" w:rsidRPr="00921E78">
        <w:rPr>
          <w:i/>
        </w:rPr>
        <w:t>)</w:t>
      </w:r>
      <w:r w:rsidR="00A6460A" w:rsidRPr="00921E78">
        <w:t>.</w:t>
      </w:r>
    </w:p>
    <w:p w14:paraId="78BA14B6" w14:textId="77777777" w:rsidR="00B644A1" w:rsidRPr="00921E78" w:rsidRDefault="00B644A1">
      <w:pPr>
        <w:rPr>
          <w:rFonts w:cs="Arial"/>
          <w:b/>
          <w:sz w:val="24"/>
          <w:szCs w:val="40"/>
        </w:rPr>
      </w:pPr>
      <w:r w:rsidRPr="00921E78">
        <w:br w:type="page"/>
      </w:r>
    </w:p>
    <w:p w14:paraId="1E78B575" w14:textId="01D8E446" w:rsidR="00A6460A" w:rsidRPr="00921E78" w:rsidRDefault="00A6460A" w:rsidP="00A6460A">
      <w:pPr>
        <w:pStyle w:val="Recommendationindexheading"/>
      </w:pPr>
      <w:r w:rsidRPr="00921E78">
        <w:lastRenderedPageBreak/>
        <w:t>Recommendation 8</w:t>
      </w:r>
    </w:p>
    <w:p w14:paraId="17D604ED" w14:textId="5BC6257D" w:rsidR="00A6460A" w:rsidRPr="00921E78" w:rsidRDefault="003F2468" w:rsidP="00A6460A">
      <w:r w:rsidRPr="00921E78">
        <w:t xml:space="preserve">The NDIA and SA CEOs support the introduction of an AusTender change to provide advice to agencies when a contract has been varied a number of times. As the NDIA does not report on AusTender, it should develop its own system. If the change is not introduced as a priority, then SA should develop its own system as well </w:t>
      </w:r>
      <w:r w:rsidR="00A6460A" w:rsidRPr="00921E78">
        <w:rPr>
          <w:i/>
        </w:rPr>
        <w:t xml:space="preserve">(page </w:t>
      </w:r>
      <w:r w:rsidR="00A458AF" w:rsidRPr="00921E78">
        <w:rPr>
          <w:i/>
        </w:rPr>
        <w:t>14</w:t>
      </w:r>
      <w:r w:rsidR="00A6460A" w:rsidRPr="00921E78">
        <w:rPr>
          <w:i/>
        </w:rPr>
        <w:t>)</w:t>
      </w:r>
      <w:r w:rsidR="00A6460A" w:rsidRPr="00921E78">
        <w:t>.</w:t>
      </w:r>
    </w:p>
    <w:p w14:paraId="0887AD27" w14:textId="1EFCC735" w:rsidR="00A6460A" w:rsidRPr="00921E78" w:rsidRDefault="00A6460A" w:rsidP="00A6460A">
      <w:pPr>
        <w:pStyle w:val="Recommendationindexheading"/>
      </w:pPr>
      <w:r w:rsidRPr="00921E78">
        <w:t>Recommendation 9</w:t>
      </w:r>
    </w:p>
    <w:p w14:paraId="580A555B" w14:textId="6780C90F" w:rsidR="00A6460A" w:rsidRPr="00921E78" w:rsidRDefault="003F2468" w:rsidP="00A6460A">
      <w:r w:rsidRPr="00921E78">
        <w:t xml:space="preserve">The NDIA and SA should review the adequacy of their procurement training programs, and their officials’ procurement experience, and enhance them as necessary. They should also require specified levels of training and experience for procurement team members and procurement team chairs </w:t>
      </w:r>
      <w:r w:rsidR="00A6460A" w:rsidRPr="00921E78">
        <w:rPr>
          <w:i/>
        </w:rPr>
        <w:t xml:space="preserve">(page </w:t>
      </w:r>
      <w:r w:rsidR="00A458AF" w:rsidRPr="00921E78">
        <w:rPr>
          <w:i/>
        </w:rPr>
        <w:t>15</w:t>
      </w:r>
      <w:r w:rsidR="00A6460A" w:rsidRPr="00921E78">
        <w:rPr>
          <w:i/>
        </w:rPr>
        <w:t>)</w:t>
      </w:r>
      <w:r w:rsidR="00A6460A" w:rsidRPr="00921E78">
        <w:t>.</w:t>
      </w:r>
    </w:p>
    <w:p w14:paraId="1F7979FF" w14:textId="77777777" w:rsidR="00A6460A" w:rsidRPr="00921E78" w:rsidRDefault="00A6460A" w:rsidP="00A6460A">
      <w:pPr>
        <w:pStyle w:val="Recommendationindexheading"/>
      </w:pPr>
      <w:r w:rsidRPr="00921E78">
        <w:t>Recommendation 10</w:t>
      </w:r>
    </w:p>
    <w:p w14:paraId="124A01BC" w14:textId="6F2B04B3" w:rsidR="00A6460A" w:rsidRPr="00921E78" w:rsidRDefault="003F2468" w:rsidP="00A6460A">
      <w:r w:rsidRPr="00921E78">
        <w:t xml:space="preserve">The NDIA and SA brief incoming Ministers on the CPRs and the PGPA Act, which set the role of officials as those who undertake and decide on procurements. Senior agency officials be similarly advised </w:t>
      </w:r>
      <w:r w:rsidR="00A6460A" w:rsidRPr="00921E78">
        <w:rPr>
          <w:i/>
        </w:rPr>
        <w:t xml:space="preserve">(page </w:t>
      </w:r>
      <w:r w:rsidR="00A458AF" w:rsidRPr="00921E78">
        <w:rPr>
          <w:i/>
        </w:rPr>
        <w:t>1</w:t>
      </w:r>
      <w:r w:rsidR="002006EB" w:rsidRPr="00921E78">
        <w:rPr>
          <w:i/>
        </w:rPr>
        <w:t>7</w:t>
      </w:r>
      <w:r w:rsidR="00A6460A" w:rsidRPr="00921E78">
        <w:rPr>
          <w:i/>
        </w:rPr>
        <w:t>)</w:t>
      </w:r>
      <w:r w:rsidR="00A6460A" w:rsidRPr="00921E78">
        <w:t>.</w:t>
      </w:r>
    </w:p>
    <w:p w14:paraId="3C313176" w14:textId="77777777" w:rsidR="00A6460A" w:rsidRPr="00921E78" w:rsidRDefault="00A6460A" w:rsidP="00A6460A">
      <w:pPr>
        <w:pStyle w:val="Recommendationindexheading"/>
      </w:pPr>
      <w:r w:rsidRPr="00921E78">
        <w:t>Recommendation 11</w:t>
      </w:r>
    </w:p>
    <w:p w14:paraId="46433D21" w14:textId="0B50DBB6" w:rsidR="00A6460A" w:rsidRPr="00921E78" w:rsidRDefault="003F2468" w:rsidP="00A6460A">
      <w:r w:rsidRPr="00921E78">
        <w:t>That the CEOs of the NDIA and SA support the professionalisation of procurement along the lines recommended in the Thodey Review, and this be included in the Public Sector Reform Agenda</w:t>
      </w:r>
      <w:r w:rsidR="00A6460A" w:rsidRPr="00921E78">
        <w:t xml:space="preserve"> </w:t>
      </w:r>
      <w:r w:rsidR="00A6460A" w:rsidRPr="00921E78">
        <w:rPr>
          <w:i/>
        </w:rPr>
        <w:t xml:space="preserve">(page </w:t>
      </w:r>
      <w:r w:rsidR="00A458AF" w:rsidRPr="00921E78">
        <w:rPr>
          <w:i/>
        </w:rPr>
        <w:t>19</w:t>
      </w:r>
      <w:r w:rsidR="00A6460A" w:rsidRPr="00921E78">
        <w:rPr>
          <w:i/>
        </w:rPr>
        <w:t>)</w:t>
      </w:r>
      <w:r w:rsidR="00A6460A" w:rsidRPr="00921E78">
        <w:t>.</w:t>
      </w:r>
    </w:p>
    <w:p w14:paraId="1C8CFCD9" w14:textId="77777777" w:rsidR="00A6460A" w:rsidRPr="00921E78" w:rsidRDefault="00A6460A" w:rsidP="00A6460A">
      <w:pPr>
        <w:pStyle w:val="Recommendationindexheading"/>
      </w:pPr>
      <w:r w:rsidRPr="00921E78">
        <w:t>Recommendation 12</w:t>
      </w:r>
    </w:p>
    <w:p w14:paraId="6E9C8756" w14:textId="768AE2CE" w:rsidR="003F2468" w:rsidRPr="00921E78" w:rsidRDefault="003F2468" w:rsidP="003F2468">
      <w:r w:rsidRPr="00921E78">
        <w:rPr>
          <w:b/>
        </w:rPr>
        <w:t>a)</w:t>
      </w:r>
      <w:r w:rsidRPr="00921E78">
        <w:t xml:space="preserve"> That the CPRs be amended to explain the deterministic role of officials and that they preclude Ministers, ministerial advisers and senior officials from directing officials in relation to procurements </w:t>
      </w:r>
      <w:r w:rsidRPr="00921E78">
        <w:rPr>
          <w:i/>
        </w:rPr>
        <w:t xml:space="preserve">(page </w:t>
      </w:r>
      <w:r w:rsidR="00A458AF" w:rsidRPr="00921E78">
        <w:rPr>
          <w:i/>
        </w:rPr>
        <w:t>20</w:t>
      </w:r>
      <w:r w:rsidRPr="00921E78">
        <w:rPr>
          <w:i/>
        </w:rPr>
        <w:t>)</w:t>
      </w:r>
      <w:r w:rsidRPr="00921E78">
        <w:t>.</w:t>
      </w:r>
    </w:p>
    <w:p w14:paraId="36DB8DA1" w14:textId="4F9D8965" w:rsidR="00A6460A" w:rsidRPr="00921E78" w:rsidRDefault="003F2468" w:rsidP="003F2468">
      <w:r w:rsidRPr="00921E78">
        <w:rPr>
          <w:b/>
        </w:rPr>
        <w:t>b)</w:t>
      </w:r>
      <w:r w:rsidRPr="00921E78">
        <w:t xml:space="preserve"> Should a stakeholder seek to direct aspects or outcomes of a specific procurement, this should be documented and published on the agencies’ website along with details of the procurement outcomes. Should there be a government decision, that would also be documented and published</w:t>
      </w:r>
      <w:r w:rsidRPr="00921E78">
        <w:rPr>
          <w:b/>
          <w:i/>
        </w:rPr>
        <w:t xml:space="preserve"> </w:t>
      </w:r>
      <w:r w:rsidR="00A6460A" w:rsidRPr="00921E78">
        <w:rPr>
          <w:i/>
        </w:rPr>
        <w:t xml:space="preserve">(page </w:t>
      </w:r>
      <w:r w:rsidR="00A458AF" w:rsidRPr="00921E78">
        <w:rPr>
          <w:i/>
        </w:rPr>
        <w:t>20</w:t>
      </w:r>
      <w:r w:rsidR="00A6460A" w:rsidRPr="00921E78">
        <w:rPr>
          <w:i/>
        </w:rPr>
        <w:t>)</w:t>
      </w:r>
      <w:r w:rsidR="00A6460A" w:rsidRPr="00921E78">
        <w:t>.</w:t>
      </w:r>
    </w:p>
    <w:p w14:paraId="1FD52970" w14:textId="77777777" w:rsidR="00A6460A" w:rsidRPr="00921E78" w:rsidRDefault="00A6460A" w:rsidP="00A6460A">
      <w:pPr>
        <w:pStyle w:val="Recommendationindexheading"/>
      </w:pPr>
      <w:r w:rsidRPr="00921E78">
        <w:t>Recommendation 13</w:t>
      </w:r>
    </w:p>
    <w:p w14:paraId="4FA38042" w14:textId="54739077" w:rsidR="00A6460A" w:rsidRDefault="003F2468" w:rsidP="00A6460A">
      <w:r w:rsidRPr="00921E78">
        <w:t xml:space="preserve">The CEOs of the NDIA and SA support the briefing of Ministers on procurement and the role of officials as part of the Department of Finance Induction for Federal Parliamentarians. This should also be done by individual agency heads as a component of their Incoming Government Briefings, among other things </w:t>
      </w:r>
      <w:r w:rsidR="00A6460A" w:rsidRPr="00921E78">
        <w:rPr>
          <w:i/>
        </w:rPr>
        <w:t xml:space="preserve">(page </w:t>
      </w:r>
      <w:r w:rsidR="00A458AF" w:rsidRPr="00921E78">
        <w:rPr>
          <w:i/>
        </w:rPr>
        <w:t>21</w:t>
      </w:r>
      <w:r w:rsidR="00A6460A" w:rsidRPr="00921E78">
        <w:rPr>
          <w:i/>
        </w:rPr>
        <w:t>)</w:t>
      </w:r>
      <w:r w:rsidR="00A6460A" w:rsidRPr="00921E78">
        <w:t>.</w:t>
      </w:r>
    </w:p>
    <w:p w14:paraId="53D58288" w14:textId="61DFD266" w:rsidR="009F5EA4" w:rsidRDefault="009F5EA4">
      <w:r>
        <w:br w:type="page"/>
      </w:r>
    </w:p>
    <w:p w14:paraId="31FF537D" w14:textId="77777777" w:rsidR="009F5EA4" w:rsidRPr="00B75841" w:rsidRDefault="009F5EA4" w:rsidP="009F5EA4">
      <w:pPr>
        <w:pStyle w:val="Heading1"/>
      </w:pPr>
      <w:r w:rsidRPr="00B75841">
        <w:lastRenderedPageBreak/>
        <w:t>References</w:t>
      </w:r>
    </w:p>
    <w:sdt>
      <w:sdtPr>
        <w:rPr>
          <w:rFonts w:asciiTheme="minorHAnsi" w:hAnsiTheme="minorHAnsi" w:cs="Arial"/>
        </w:rPr>
        <w:id w:val="-361439697"/>
        <w:bibliography/>
      </w:sdtPr>
      <w:sdtEndPr>
        <w:rPr>
          <w:rFonts w:ascii="Arial" w:hAnsi="Arial"/>
        </w:rPr>
      </w:sdtEndPr>
      <w:sdtContent>
        <w:p w14:paraId="2CDC8B22" w14:textId="77777777" w:rsidR="00B80D48" w:rsidRPr="000652E2" w:rsidRDefault="00B80D48" w:rsidP="005018D4">
          <w:pPr>
            <w:pStyle w:val="Bulletlevel1"/>
            <w:rPr>
              <w:noProof/>
            </w:rPr>
          </w:pPr>
          <w:r w:rsidRPr="00F529E9">
            <w:rPr>
              <w:rFonts w:eastAsiaTheme="minorHAnsi"/>
              <w:noProof/>
            </w:rPr>
            <w:t xml:space="preserve">Australian National Audit Office (2022) </w:t>
          </w:r>
          <w:hyperlink r:id="rId12" w:history="1">
            <w:r w:rsidRPr="005018D4">
              <w:rPr>
                <w:rStyle w:val="Hyperlink"/>
              </w:rPr>
              <w:t>Procurement by the National Capital Authority, Australian National Audit Office</w:t>
            </w:r>
          </w:hyperlink>
          <w:r w:rsidRPr="000652E2">
            <w:rPr>
              <w:rFonts w:eastAsiaTheme="minorHAnsi"/>
              <w:noProof/>
            </w:rPr>
            <w:t>, Australian Government</w:t>
          </w:r>
        </w:p>
        <w:p w14:paraId="59FFC579" w14:textId="77777777" w:rsidR="00B80D48" w:rsidRPr="000652E2" w:rsidRDefault="00B80D48" w:rsidP="005018D4">
          <w:pPr>
            <w:pStyle w:val="Bulletlevel1"/>
            <w:rPr>
              <w:noProof/>
            </w:rPr>
          </w:pPr>
          <w:r w:rsidRPr="000652E2">
            <w:rPr>
              <w:rFonts w:eastAsiaTheme="minorHAnsi"/>
              <w:noProof/>
            </w:rPr>
            <w:t xml:space="preserve">Australian National Audit Office (2022) </w:t>
          </w:r>
          <w:hyperlink r:id="rId13" w:history="1">
            <w:r w:rsidRPr="005018D4">
              <w:rPr>
                <w:rStyle w:val="Hyperlink"/>
              </w:rPr>
              <w:t>Procurement of Delivery Partners for the Entrepreneurs' Programme</w:t>
            </w:r>
          </w:hyperlink>
          <w:r w:rsidRPr="000652E2">
            <w:rPr>
              <w:rFonts w:eastAsiaTheme="minorHAnsi"/>
              <w:noProof/>
            </w:rPr>
            <w:t>, ANAO, Australian Government</w:t>
          </w:r>
        </w:p>
        <w:p w14:paraId="0A86620A" w14:textId="70B534D2" w:rsidR="00B80D48" w:rsidRPr="00B80D48" w:rsidRDefault="00B80D48" w:rsidP="005018D4">
          <w:pPr>
            <w:pStyle w:val="Bulletlevel1"/>
            <w:rPr>
              <w:rFonts w:cs="Arial"/>
              <w:noProof/>
            </w:rPr>
          </w:pPr>
          <w:r w:rsidRPr="005018D4">
            <w:rPr>
              <w:rFonts w:cs="Arial"/>
              <w:noProof/>
            </w:rPr>
            <w:t xml:space="preserve">Australian National Audit Office, Submission No 12 to </w:t>
          </w:r>
          <w:r w:rsidRPr="005018D4">
            <w:rPr>
              <w:rFonts w:cs="Arial"/>
              <w:iCs/>
              <w:noProof/>
            </w:rPr>
            <w:t xml:space="preserve">Joint Committee of Public Accounts and Audit, </w:t>
          </w:r>
          <w:r w:rsidRPr="005018D4">
            <w:rPr>
              <w:rFonts w:cs="Arial"/>
              <w:i/>
              <w:iCs/>
              <w:noProof/>
            </w:rPr>
            <w:t>Commonwealth procurement: Inquiry into Auditor-General Reports 6, 15, 30, 42 (2021</w:t>
          </w:r>
          <w:r>
            <w:rPr>
              <w:rFonts w:cs="Arial"/>
              <w:i/>
              <w:iCs/>
              <w:noProof/>
            </w:rPr>
            <w:t>–</w:t>
          </w:r>
          <w:r w:rsidRPr="00F529E9">
            <w:rPr>
              <w:rFonts w:cs="Arial"/>
              <w:i/>
              <w:iCs/>
              <w:noProof/>
            </w:rPr>
            <w:t>22) and 5 (2022</w:t>
          </w:r>
          <w:r>
            <w:rPr>
              <w:rFonts w:cs="Arial"/>
              <w:i/>
              <w:iCs/>
              <w:noProof/>
            </w:rPr>
            <w:t>–</w:t>
          </w:r>
          <w:r w:rsidRPr="00F529E9">
            <w:rPr>
              <w:rFonts w:cs="Arial"/>
              <w:i/>
              <w:iCs/>
              <w:noProof/>
            </w:rPr>
            <w:t>23)</w:t>
          </w:r>
          <w:r w:rsidRPr="00F529E9">
            <w:rPr>
              <w:rFonts w:cs="Arial"/>
              <w:iCs/>
              <w:noProof/>
            </w:rPr>
            <w:t xml:space="preserve"> (2 February 2023)</w:t>
          </w:r>
        </w:p>
        <w:p w14:paraId="606BD7E6" w14:textId="22D5C126" w:rsidR="00B80D48" w:rsidRPr="00B80D48" w:rsidRDefault="00B80D48" w:rsidP="005018D4">
          <w:pPr>
            <w:pStyle w:val="Bulletlevel1"/>
            <w:rPr>
              <w:noProof/>
            </w:rPr>
          </w:pPr>
          <w:r w:rsidRPr="005018D4">
            <w:rPr>
              <w:noProof/>
            </w:rPr>
            <w:t xml:space="preserve">Australian Public Service Commission (2022) </w:t>
          </w:r>
          <w:hyperlink r:id="rId14" w:history="1">
            <w:r w:rsidRPr="005018D4">
              <w:rPr>
                <w:rStyle w:val="Hyperlink"/>
              </w:rPr>
              <w:t>APS Professional Streams</w:t>
            </w:r>
          </w:hyperlink>
          <w:r w:rsidRPr="005018D4">
            <w:rPr>
              <w:noProof/>
            </w:rPr>
            <w:t>, apsc.gov.au</w:t>
          </w:r>
        </w:p>
        <w:p w14:paraId="24466A39" w14:textId="77777777" w:rsidR="00B80D48" w:rsidRPr="00B80D48" w:rsidRDefault="00B80D48" w:rsidP="005018D4">
          <w:pPr>
            <w:pStyle w:val="Bulletlevel1"/>
            <w:rPr>
              <w:i/>
              <w:noProof/>
            </w:rPr>
          </w:pPr>
          <w:r w:rsidRPr="005018D4">
            <w:rPr>
              <w:noProof/>
            </w:rPr>
            <w:t>Brown A and Mitchell A (24 November 2022) ‘</w:t>
          </w:r>
          <w:hyperlink r:id="rId15" w:history="1">
            <w:r w:rsidRPr="000652E2">
              <w:rPr>
                <w:rStyle w:val="Hyperlink"/>
                <w:rFonts w:cs="Arial"/>
                <w:noProof/>
              </w:rPr>
              <w:t>MP Robert’s lobbying contract links probed</w:t>
            </w:r>
          </w:hyperlink>
          <w:r w:rsidRPr="005018D4">
            <w:rPr>
              <w:noProof/>
            </w:rPr>
            <w:t xml:space="preserve">’, </w:t>
          </w:r>
          <w:r w:rsidRPr="005018D4">
            <w:rPr>
              <w:i/>
              <w:noProof/>
            </w:rPr>
            <w:t>The Canberra Times</w:t>
          </w:r>
        </w:p>
        <w:p w14:paraId="3C65D41D" w14:textId="77777777" w:rsidR="00B80D48" w:rsidRPr="000652E2" w:rsidRDefault="00B80D48" w:rsidP="005018D4">
          <w:pPr>
            <w:pStyle w:val="Bulletlevel1"/>
            <w:rPr>
              <w:noProof/>
            </w:rPr>
          </w:pPr>
          <w:r w:rsidRPr="00B80D48">
            <w:rPr>
              <w:rFonts w:eastAsiaTheme="minorHAnsi"/>
              <w:noProof/>
            </w:rPr>
            <w:t xml:space="preserve">Commonwealth of Australia (2019) </w:t>
          </w:r>
          <w:hyperlink r:id="rId16" w:history="1">
            <w:r w:rsidRPr="005018D4">
              <w:rPr>
                <w:rStyle w:val="Hyperlink"/>
              </w:rPr>
              <w:t>Our Public Service, Our Future: Independent Review of the Australian Public Service</w:t>
            </w:r>
          </w:hyperlink>
          <w:r w:rsidRPr="000652E2">
            <w:rPr>
              <w:rFonts w:eastAsiaTheme="minorHAnsi"/>
              <w:noProof/>
            </w:rPr>
            <w:t>, Australian Government</w:t>
          </w:r>
        </w:p>
        <w:p w14:paraId="43D62BB1" w14:textId="77777777" w:rsidR="00B80D48" w:rsidRPr="000652E2" w:rsidRDefault="00B80D48" w:rsidP="00B80D48">
          <w:pPr>
            <w:pStyle w:val="Bulletlevel1"/>
            <w:rPr>
              <w:rFonts w:cs="Arial"/>
              <w:noProof/>
            </w:rPr>
          </w:pPr>
          <w:r w:rsidRPr="000652E2">
            <w:rPr>
              <w:rFonts w:cs="Arial"/>
              <w:i/>
              <w:iCs/>
              <w:noProof/>
            </w:rPr>
            <w:t xml:space="preserve">Commonwealth Procurement Rules 2022 </w:t>
          </w:r>
          <w:r w:rsidRPr="000652E2">
            <w:rPr>
              <w:rFonts w:cs="Arial"/>
              <w:iCs/>
              <w:noProof/>
            </w:rPr>
            <w:t>(Cth)</w:t>
          </w:r>
        </w:p>
        <w:p w14:paraId="0A570A75" w14:textId="77777777" w:rsidR="00B80D48" w:rsidRPr="00B80D48" w:rsidRDefault="00B80D48" w:rsidP="005018D4">
          <w:pPr>
            <w:pStyle w:val="Bulletlevel1"/>
            <w:rPr>
              <w:rFonts w:cs="Arial"/>
              <w:szCs w:val="24"/>
            </w:rPr>
          </w:pPr>
          <w:r w:rsidRPr="00F529E9">
            <w:rPr>
              <w:rFonts w:cs="Arial"/>
              <w:noProof/>
            </w:rPr>
            <w:t xml:space="preserve">Crowe D and McKenzie N (24 November 2022) </w:t>
          </w:r>
          <w:r w:rsidRPr="00F529E9">
            <w:rPr>
              <w:rFonts w:cs="Arial"/>
              <w:noProof/>
              <w:szCs w:val="24"/>
            </w:rPr>
            <w:t>‘</w:t>
          </w:r>
          <w:hyperlink r:id="rId17" w:history="1">
            <w:r w:rsidRPr="000652E2">
              <w:rPr>
                <w:rStyle w:val="Hyperlink"/>
                <w:rFonts w:cs="Arial"/>
                <w:szCs w:val="24"/>
              </w:rPr>
              <w:t>Senior Coalition MP Stuart Robert gave secret advice to lobbyist</w:t>
            </w:r>
          </w:hyperlink>
          <w:r w:rsidRPr="005018D4">
            <w:rPr>
              <w:rFonts w:cs="Arial"/>
              <w:szCs w:val="24"/>
            </w:rPr>
            <w:t xml:space="preserve">’, </w:t>
          </w:r>
          <w:r w:rsidRPr="005018D4">
            <w:rPr>
              <w:rFonts w:cs="Arial"/>
              <w:i/>
              <w:szCs w:val="24"/>
            </w:rPr>
            <w:t>The Sydney Morning Herald</w:t>
          </w:r>
        </w:p>
        <w:p w14:paraId="4838E639" w14:textId="77777777" w:rsidR="00B80D48" w:rsidRPr="000652E2" w:rsidRDefault="00B80D48" w:rsidP="005018D4">
          <w:pPr>
            <w:pStyle w:val="Bulletlevel1"/>
            <w:rPr>
              <w:rStyle w:val="ui-provider"/>
              <w:rFonts w:cs="Arial"/>
            </w:rPr>
          </w:pPr>
          <w:r w:rsidRPr="000652E2">
            <w:rPr>
              <w:rStyle w:val="ui-provider"/>
              <w:rFonts w:cs="Arial"/>
            </w:rPr>
            <w:t xml:space="preserve">Crowe D and McKenzie N </w:t>
          </w:r>
          <w:r w:rsidRPr="00F529E9">
            <w:rPr>
              <w:rFonts w:cs="Arial"/>
              <w:noProof/>
            </w:rPr>
            <w:t xml:space="preserve">(24 November 2022) </w:t>
          </w:r>
          <w:r w:rsidRPr="000652E2">
            <w:rPr>
              <w:rStyle w:val="ui-provider"/>
              <w:rFonts w:cs="Arial"/>
            </w:rPr>
            <w:t>‘</w:t>
          </w:r>
          <w:hyperlink r:id="rId18" w:history="1">
            <w:r w:rsidRPr="000652E2">
              <w:rPr>
                <w:rStyle w:val="Hyperlink"/>
                <w:rFonts w:cs="Arial"/>
              </w:rPr>
              <w:t>Bill Shorten orders review into deals linked to Stuart Robert</w:t>
            </w:r>
          </w:hyperlink>
          <w:r w:rsidRPr="000652E2">
            <w:rPr>
              <w:rStyle w:val="ui-provider"/>
              <w:rFonts w:cs="Arial"/>
            </w:rPr>
            <w:t xml:space="preserve">’, </w:t>
          </w:r>
          <w:r w:rsidRPr="000652E2">
            <w:rPr>
              <w:rStyle w:val="ui-provider"/>
              <w:rFonts w:cs="Arial"/>
              <w:i/>
            </w:rPr>
            <w:t>The Sydney Morning Herald</w:t>
          </w:r>
        </w:p>
        <w:p w14:paraId="49E4E9A1" w14:textId="77777777" w:rsidR="00B80D48" w:rsidRPr="00F529E9" w:rsidRDefault="00B80D48" w:rsidP="005018D4">
          <w:pPr>
            <w:pStyle w:val="Bulletlevel1"/>
            <w:rPr>
              <w:rFonts w:cs="Arial"/>
            </w:rPr>
          </w:pPr>
          <w:r w:rsidRPr="000652E2">
            <w:rPr>
              <w:rStyle w:val="ui-provider"/>
              <w:rFonts w:cs="Arial"/>
            </w:rPr>
            <w:t>Crowe D and McKenzie N (1 December 2022) ‘</w:t>
          </w:r>
          <w:hyperlink r:id="rId19" w:history="1">
            <w:r w:rsidRPr="000652E2">
              <w:rPr>
                <w:rStyle w:val="Hyperlink"/>
                <w:rFonts w:cs="Arial"/>
              </w:rPr>
              <w:t>Leaked files reveal meetings with minister over contracts</w:t>
            </w:r>
          </w:hyperlink>
          <w:r w:rsidRPr="000652E2">
            <w:rPr>
              <w:rStyle w:val="ui-provider"/>
              <w:rFonts w:cs="Arial"/>
            </w:rPr>
            <w:t xml:space="preserve">’, </w:t>
          </w:r>
          <w:r w:rsidRPr="000652E2">
            <w:rPr>
              <w:rStyle w:val="ui-provider"/>
              <w:rFonts w:cs="Arial"/>
              <w:i/>
            </w:rPr>
            <w:t>The Sydney Morning Herald</w:t>
          </w:r>
        </w:p>
        <w:p w14:paraId="6DE3A5EB" w14:textId="53B1114A" w:rsidR="00B80D48" w:rsidRPr="00F529E9" w:rsidRDefault="00B80D48" w:rsidP="005018D4">
          <w:pPr>
            <w:pStyle w:val="Bulletlevel1"/>
            <w:rPr>
              <w:rFonts w:cs="Arial"/>
              <w:noProof/>
            </w:rPr>
          </w:pPr>
          <w:r w:rsidRPr="000652E2">
            <w:rPr>
              <w:rStyle w:val="ui-provider"/>
              <w:rFonts w:cs="Arial"/>
            </w:rPr>
            <w:t>Crowe D and McKenzie N (</w:t>
          </w:r>
          <w:r w:rsidRPr="00F529E9">
            <w:rPr>
              <w:rStyle w:val="ui-provider"/>
              <w:rFonts w:cs="Arial"/>
            </w:rPr>
            <w:t>1</w:t>
          </w:r>
          <w:r w:rsidRPr="000652E2">
            <w:rPr>
              <w:rStyle w:val="ui-provider"/>
              <w:rFonts w:cs="Arial"/>
            </w:rPr>
            <w:t xml:space="preserve"> December 2022) ‘</w:t>
          </w:r>
          <w:hyperlink r:id="rId20" w:history="1">
            <w:r w:rsidRPr="000652E2">
              <w:rPr>
                <w:rStyle w:val="Hyperlink"/>
                <w:rFonts w:cs="Arial"/>
              </w:rPr>
              <w:t>Robert denies pressuring officials over leaked emails</w:t>
            </w:r>
          </w:hyperlink>
          <w:r w:rsidRPr="00F529E9">
            <w:rPr>
              <w:rFonts w:cs="Arial"/>
            </w:rPr>
            <w:t>’</w:t>
          </w:r>
          <w:r w:rsidRPr="000652E2">
            <w:rPr>
              <w:rStyle w:val="ui-provider"/>
              <w:rFonts w:cs="Arial"/>
            </w:rPr>
            <w:t xml:space="preserve">, </w:t>
          </w:r>
          <w:r w:rsidRPr="000652E2">
            <w:rPr>
              <w:rStyle w:val="ui-provider"/>
              <w:rFonts w:cs="Arial"/>
              <w:i/>
            </w:rPr>
            <w:t>The Sydney Morning Herald</w:t>
          </w:r>
        </w:p>
        <w:p w14:paraId="51611FCE" w14:textId="77777777" w:rsidR="00B80D48" w:rsidRPr="000652E2" w:rsidRDefault="00B80D48" w:rsidP="005018D4">
          <w:pPr>
            <w:pStyle w:val="Bulletlevel1"/>
            <w:rPr>
              <w:rFonts w:cs="Arial"/>
              <w:noProof/>
            </w:rPr>
          </w:pPr>
          <w:r w:rsidRPr="000652E2">
            <w:rPr>
              <w:rFonts w:cs="Arial"/>
              <w:noProof/>
            </w:rPr>
            <w:t xml:space="preserve">Department of Finance (2022) </w:t>
          </w:r>
          <w:r w:rsidRPr="000652E2">
            <w:rPr>
              <w:rFonts w:cs="Arial"/>
              <w:i/>
              <w:noProof/>
            </w:rPr>
            <w:t>Statistics on Australian Government Procurement Contracts</w:t>
          </w:r>
          <w:r w:rsidRPr="000652E2">
            <w:rPr>
              <w:rFonts w:cs="Arial"/>
              <w:noProof/>
            </w:rPr>
            <w:t xml:space="preserve"> [data set], finance.gov.au</w:t>
          </w:r>
        </w:p>
        <w:p w14:paraId="160E105C" w14:textId="22C2A934" w:rsidR="00B80D48" w:rsidRPr="000652E2" w:rsidRDefault="00B80D48" w:rsidP="005018D4">
          <w:pPr>
            <w:pStyle w:val="Bulletlevel1"/>
            <w:rPr>
              <w:rFonts w:cs="Arial"/>
              <w:iCs/>
              <w:noProof/>
            </w:rPr>
          </w:pPr>
          <w:r w:rsidRPr="000652E2">
            <w:rPr>
              <w:rFonts w:cs="Arial"/>
              <w:noProof/>
            </w:rPr>
            <w:t xml:space="preserve">Department of Finance, Submission No 11 to Joint Committee of Public Accounts and Audit, </w:t>
          </w:r>
          <w:r w:rsidRPr="000652E2">
            <w:rPr>
              <w:rFonts w:cs="Arial"/>
              <w:i/>
              <w:iCs/>
              <w:noProof/>
            </w:rPr>
            <w:t>Commonwealth procurement: Inquiry into Auditor-General Reports 6, 15, 30, 42 (2021</w:t>
          </w:r>
          <w:r>
            <w:rPr>
              <w:rFonts w:cs="Arial"/>
              <w:i/>
              <w:iCs/>
              <w:noProof/>
            </w:rPr>
            <w:t>–</w:t>
          </w:r>
          <w:r w:rsidRPr="000652E2">
            <w:rPr>
              <w:rFonts w:cs="Arial"/>
              <w:i/>
              <w:iCs/>
              <w:noProof/>
            </w:rPr>
            <w:t>22) and 5 (2022</w:t>
          </w:r>
          <w:r>
            <w:rPr>
              <w:rFonts w:cs="Arial"/>
              <w:i/>
              <w:iCs/>
              <w:noProof/>
            </w:rPr>
            <w:t>–</w:t>
          </w:r>
          <w:r w:rsidRPr="000652E2">
            <w:rPr>
              <w:rFonts w:cs="Arial"/>
              <w:i/>
              <w:iCs/>
              <w:noProof/>
            </w:rPr>
            <w:t>23)</w:t>
          </w:r>
          <w:r w:rsidRPr="000652E2">
            <w:rPr>
              <w:rFonts w:cs="Arial"/>
              <w:iCs/>
              <w:noProof/>
            </w:rPr>
            <w:t xml:space="preserve"> (2 February 2023)</w:t>
          </w:r>
        </w:p>
        <w:p w14:paraId="349649D4" w14:textId="20E1F80C" w:rsidR="00B80D48" w:rsidRPr="000652E2" w:rsidRDefault="00B80D48" w:rsidP="005018D4">
          <w:pPr>
            <w:pStyle w:val="Bulletlevel1"/>
            <w:rPr>
              <w:rFonts w:cs="Arial"/>
              <w:noProof/>
            </w:rPr>
          </w:pPr>
          <w:r w:rsidRPr="000652E2">
            <w:rPr>
              <w:rFonts w:cs="Arial"/>
            </w:rPr>
            <w:t>Karp P (1 December 2022) ‘</w:t>
          </w:r>
          <w:hyperlink r:id="rId21" w:history="1">
            <w:r w:rsidRPr="000652E2">
              <w:rPr>
                <w:rStyle w:val="Hyperlink"/>
                <w:rFonts w:cs="Arial"/>
              </w:rPr>
              <w:t>Bill Shorten reveals review into Stuart Robert ‘lobbying scandal’ claims</w:t>
            </w:r>
          </w:hyperlink>
          <w:r w:rsidRPr="000652E2">
            <w:rPr>
              <w:rFonts w:cs="Arial"/>
            </w:rPr>
            <w:t xml:space="preserve">’, </w:t>
          </w:r>
          <w:r w:rsidRPr="000652E2">
            <w:rPr>
              <w:rFonts w:cs="Arial"/>
              <w:i/>
            </w:rPr>
            <w:t>The Guardian</w:t>
          </w:r>
          <w:r w:rsidRPr="000652E2">
            <w:rPr>
              <w:rFonts w:cs="Arial"/>
            </w:rPr>
            <w:t xml:space="preserve"> </w:t>
          </w:r>
        </w:p>
        <w:p w14:paraId="049B0A88" w14:textId="77777777" w:rsidR="00B80D48" w:rsidRPr="000652E2" w:rsidRDefault="00B80D48" w:rsidP="005018D4">
          <w:pPr>
            <w:pStyle w:val="Bulletlevel1"/>
            <w:rPr>
              <w:rFonts w:cs="Arial"/>
              <w:noProof/>
            </w:rPr>
          </w:pPr>
          <w:r w:rsidRPr="000652E2">
            <w:rPr>
              <w:rStyle w:val="ui-provider"/>
              <w:rFonts w:cs="Arial"/>
            </w:rPr>
            <w:t>Murphy K and Karp P (24 November 2022) ‘</w:t>
          </w:r>
          <w:hyperlink r:id="rId22" w:history="1">
            <w:r w:rsidRPr="000652E2">
              <w:rPr>
                <w:rStyle w:val="Hyperlink"/>
                <w:rFonts w:cs="Arial"/>
              </w:rPr>
              <w:t>Labor orders investigation into government contracts linked to Stuart Robert</w:t>
            </w:r>
          </w:hyperlink>
          <w:r w:rsidRPr="000652E2">
            <w:rPr>
              <w:rStyle w:val="ui-provider"/>
              <w:rFonts w:cs="Arial"/>
            </w:rPr>
            <w:t xml:space="preserve">’, </w:t>
          </w:r>
          <w:r w:rsidRPr="000652E2">
            <w:rPr>
              <w:rStyle w:val="ui-provider"/>
              <w:rFonts w:cs="Arial"/>
              <w:i/>
            </w:rPr>
            <w:t>The Guardian</w:t>
          </w:r>
        </w:p>
        <w:p w14:paraId="4AEFC5F1" w14:textId="77777777" w:rsidR="00B80D48" w:rsidRPr="000652E2" w:rsidRDefault="00B80D48" w:rsidP="00B80D48">
          <w:pPr>
            <w:pStyle w:val="Bulletlevel1"/>
            <w:rPr>
              <w:rFonts w:cs="Arial"/>
              <w:noProof/>
            </w:rPr>
          </w:pPr>
          <w:r w:rsidRPr="000652E2">
            <w:rPr>
              <w:rFonts w:cs="Arial"/>
              <w:i/>
              <w:noProof/>
            </w:rPr>
            <w:t xml:space="preserve">Public Governance, Performance and Accountability Act 2013 </w:t>
          </w:r>
          <w:r w:rsidRPr="000652E2">
            <w:rPr>
              <w:rFonts w:cs="Arial"/>
              <w:noProof/>
            </w:rPr>
            <w:t>(Cth)</w:t>
          </w:r>
        </w:p>
        <w:p w14:paraId="6B8993C7" w14:textId="77777777" w:rsidR="00B80D48" w:rsidRPr="000652E2" w:rsidRDefault="00B80D48" w:rsidP="00B80D48">
          <w:pPr>
            <w:pStyle w:val="Bulletlevel1"/>
            <w:rPr>
              <w:rFonts w:cs="Arial"/>
              <w:noProof/>
            </w:rPr>
          </w:pPr>
          <w:r w:rsidRPr="000652E2">
            <w:rPr>
              <w:rFonts w:cs="Arial"/>
              <w:i/>
              <w:noProof/>
            </w:rPr>
            <w:t xml:space="preserve">Public Service Act 1999 </w:t>
          </w:r>
          <w:r w:rsidRPr="000652E2">
            <w:rPr>
              <w:rFonts w:cs="Arial"/>
              <w:noProof/>
            </w:rPr>
            <w:t>(Cth)</w:t>
          </w:r>
        </w:p>
        <w:p w14:paraId="17F72258" w14:textId="77777777" w:rsidR="00B80D48" w:rsidRPr="000652E2" w:rsidRDefault="00B80D48" w:rsidP="005018D4">
          <w:pPr>
            <w:pStyle w:val="Bulletlevel1"/>
            <w:rPr>
              <w:rFonts w:cs="Arial"/>
              <w:noProof/>
            </w:rPr>
          </w:pPr>
          <w:r w:rsidRPr="000652E2">
            <w:rPr>
              <w:rFonts w:cs="Arial"/>
            </w:rPr>
            <w:t>Robertson J (24 November 2022) '</w:t>
          </w:r>
          <w:hyperlink r:id="rId23" w:history="1">
            <w:r w:rsidRPr="000652E2">
              <w:rPr>
                <w:rStyle w:val="Hyperlink"/>
                <w:rFonts w:cs="Arial"/>
              </w:rPr>
              <w:t>Revealed: Stuart Robert's new connection to business partner</w:t>
            </w:r>
          </w:hyperlink>
          <w:r w:rsidRPr="000652E2">
            <w:rPr>
              <w:rFonts w:cs="Arial"/>
            </w:rPr>
            <w:t xml:space="preserve">’, </w:t>
          </w:r>
          <w:r w:rsidRPr="000652E2">
            <w:rPr>
              <w:rFonts w:cs="Arial"/>
              <w:i/>
            </w:rPr>
            <w:t>The New Daily</w:t>
          </w:r>
        </w:p>
        <w:p w14:paraId="4D9E461F" w14:textId="445B39C8" w:rsidR="00EF000A" w:rsidRPr="00B80D48" w:rsidRDefault="00B80D48" w:rsidP="00B80D48">
          <w:pPr>
            <w:pStyle w:val="Bulletlevel1"/>
            <w:rPr>
              <w:rFonts w:cs="Arial"/>
              <w:noProof/>
            </w:rPr>
          </w:pPr>
          <w:r w:rsidRPr="000652E2">
            <w:rPr>
              <w:rFonts w:cs="Arial"/>
              <w:noProof/>
            </w:rPr>
            <w:t xml:space="preserve">Senator the Hon J Gallagher and The Hon J Collins MP (1 July 2022) </w:t>
          </w:r>
          <w:hyperlink r:id="rId24" w:history="1">
            <w:r w:rsidRPr="000652E2">
              <w:rPr>
                <w:rStyle w:val="Hyperlink"/>
                <w:rFonts w:cs="Arial"/>
                <w:i/>
                <w:noProof/>
              </w:rPr>
              <w:t>A Better Deal for Australian Businesses Under Commonwealth Contracts</w:t>
            </w:r>
          </w:hyperlink>
          <w:r w:rsidRPr="000652E2">
            <w:rPr>
              <w:rFonts w:cs="Arial"/>
              <w:noProof/>
            </w:rPr>
            <w:t>, Ministers: Treasury portfolio</w:t>
          </w:r>
        </w:p>
      </w:sdtContent>
    </w:sdt>
    <w:sectPr w:rsidR="00EF000A" w:rsidRPr="00B80D48">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A4A08" w14:textId="77777777" w:rsidR="008D42FF" w:rsidRDefault="008D42FF" w:rsidP="00153766">
      <w:pPr>
        <w:spacing w:after="0" w:line="240" w:lineRule="auto"/>
      </w:pPr>
      <w:r>
        <w:separator/>
      </w:r>
    </w:p>
  </w:endnote>
  <w:endnote w:type="continuationSeparator" w:id="0">
    <w:p w14:paraId="006A4A9C" w14:textId="77777777" w:rsidR="008D42FF" w:rsidRDefault="008D42FF" w:rsidP="00153766">
      <w:pPr>
        <w:spacing w:after="0" w:line="240" w:lineRule="auto"/>
      </w:pPr>
      <w:r>
        <w:continuationSeparator/>
      </w:r>
    </w:p>
  </w:endnote>
  <w:endnote w:type="continuationNotice" w:id="1">
    <w:p w14:paraId="564709F0" w14:textId="77777777" w:rsidR="008D42FF" w:rsidRDefault="008D4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925762"/>
      <w:docPartObj>
        <w:docPartGallery w:val="Page Numbers (Bottom of Page)"/>
        <w:docPartUnique/>
      </w:docPartObj>
    </w:sdtPr>
    <w:sdtEndPr>
      <w:rPr>
        <w:noProof/>
      </w:rPr>
    </w:sdtEndPr>
    <w:sdtContent>
      <w:p w14:paraId="123DA4A0" w14:textId="160A6C48" w:rsidR="005178F8" w:rsidRDefault="005178F8">
        <w:pPr>
          <w:pStyle w:val="Footer"/>
          <w:jc w:val="right"/>
        </w:pPr>
        <w:r>
          <w:fldChar w:fldCharType="begin"/>
        </w:r>
        <w:r>
          <w:instrText xml:space="preserve"> PAGE   \* MERGEFORMAT </w:instrText>
        </w:r>
        <w:r>
          <w:fldChar w:fldCharType="separate"/>
        </w:r>
        <w:r w:rsidR="00660756">
          <w:rPr>
            <w:noProof/>
          </w:rPr>
          <w:t>23</w:t>
        </w:r>
        <w:r>
          <w:rPr>
            <w:noProof/>
          </w:rPr>
          <w:fldChar w:fldCharType="end"/>
        </w:r>
      </w:p>
    </w:sdtContent>
  </w:sdt>
  <w:p w14:paraId="61E15288" w14:textId="77777777" w:rsidR="005178F8" w:rsidRDefault="00517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1ADA" w14:textId="77777777" w:rsidR="008D42FF" w:rsidRDefault="008D42FF" w:rsidP="00153766">
      <w:pPr>
        <w:spacing w:after="0" w:line="240" w:lineRule="auto"/>
      </w:pPr>
      <w:r>
        <w:separator/>
      </w:r>
    </w:p>
  </w:footnote>
  <w:footnote w:type="continuationSeparator" w:id="0">
    <w:p w14:paraId="0E571FFF" w14:textId="77777777" w:rsidR="008D42FF" w:rsidRDefault="008D42FF" w:rsidP="00153766">
      <w:pPr>
        <w:spacing w:after="0" w:line="240" w:lineRule="auto"/>
      </w:pPr>
      <w:r>
        <w:continuationSeparator/>
      </w:r>
    </w:p>
  </w:footnote>
  <w:footnote w:type="continuationNotice" w:id="1">
    <w:p w14:paraId="40DB801A" w14:textId="77777777" w:rsidR="008D42FF" w:rsidRDefault="008D42FF">
      <w:pPr>
        <w:spacing w:after="0" w:line="240" w:lineRule="auto"/>
      </w:pPr>
    </w:p>
  </w:footnote>
  <w:footnote w:id="2">
    <w:p w14:paraId="4A5404EC" w14:textId="5EB2651F" w:rsidR="00BF1357" w:rsidRPr="00D12508" w:rsidRDefault="005178F8" w:rsidP="007734B3">
      <w:pPr>
        <w:pStyle w:val="Bibliography"/>
        <w:spacing w:after="40" w:line="240" w:lineRule="auto"/>
        <w:rPr>
          <w:rFonts w:cs="Arial"/>
          <w:noProof/>
          <w:sz w:val="20"/>
          <w:szCs w:val="20"/>
        </w:rPr>
      </w:pPr>
      <w:r w:rsidRPr="00D12508">
        <w:rPr>
          <w:rStyle w:val="FootnoteReference"/>
          <w:rFonts w:cs="Arial"/>
          <w:sz w:val="20"/>
          <w:szCs w:val="20"/>
        </w:rPr>
        <w:footnoteRef/>
      </w:r>
      <w:r w:rsidRPr="00D12508">
        <w:rPr>
          <w:rFonts w:cs="Arial"/>
          <w:noProof/>
          <w:sz w:val="20"/>
          <w:szCs w:val="20"/>
        </w:rPr>
        <w:t xml:space="preserve"> A Brown and A Mitchell,‘</w:t>
      </w:r>
      <w:hyperlink r:id="rId1" w:history="1">
        <w:r w:rsidRPr="00D12508">
          <w:rPr>
            <w:rStyle w:val="Hyperlink"/>
            <w:rFonts w:cs="Arial"/>
            <w:noProof/>
            <w:color w:val="auto"/>
            <w:sz w:val="20"/>
            <w:szCs w:val="20"/>
          </w:rPr>
          <w:t>MP Robert’s lobbying contract links probed</w:t>
        </w:r>
      </w:hyperlink>
      <w:r w:rsidRPr="00D12508">
        <w:rPr>
          <w:rFonts w:cs="Arial"/>
          <w:noProof/>
          <w:sz w:val="20"/>
          <w:szCs w:val="20"/>
        </w:rPr>
        <w:t xml:space="preserve">’, </w:t>
      </w:r>
      <w:r w:rsidRPr="00D12508">
        <w:rPr>
          <w:rFonts w:cs="Arial"/>
          <w:i/>
          <w:noProof/>
          <w:sz w:val="20"/>
          <w:szCs w:val="20"/>
        </w:rPr>
        <w:t>The Canberra Times</w:t>
      </w:r>
      <w:r w:rsidRPr="00D12508">
        <w:rPr>
          <w:rFonts w:cs="Arial"/>
          <w:noProof/>
          <w:sz w:val="20"/>
          <w:szCs w:val="20"/>
        </w:rPr>
        <w:t>, 24</w:t>
      </w:r>
      <w:r w:rsidR="006E3557" w:rsidRPr="00D12508">
        <w:rPr>
          <w:rFonts w:cs="Arial"/>
          <w:noProof/>
          <w:sz w:val="20"/>
          <w:szCs w:val="20"/>
        </w:rPr>
        <w:t> </w:t>
      </w:r>
      <w:r w:rsidRPr="00D12508">
        <w:rPr>
          <w:rFonts w:cs="Arial"/>
          <w:noProof/>
          <w:sz w:val="20"/>
          <w:szCs w:val="20"/>
        </w:rPr>
        <w:t>November 2022</w:t>
      </w:r>
      <w:r w:rsidR="00BF1357" w:rsidRPr="00D12508">
        <w:rPr>
          <w:rFonts w:cs="Arial"/>
          <w:noProof/>
          <w:sz w:val="20"/>
          <w:szCs w:val="20"/>
        </w:rPr>
        <w:t>;</w:t>
      </w:r>
    </w:p>
    <w:p w14:paraId="74CD1036" w14:textId="6CB1C940" w:rsidR="005178F8" w:rsidRPr="00D12508" w:rsidRDefault="005178F8" w:rsidP="007734B3">
      <w:pPr>
        <w:pStyle w:val="Bibliography"/>
        <w:spacing w:after="40" w:line="240" w:lineRule="auto"/>
        <w:rPr>
          <w:rFonts w:cs="Arial"/>
          <w:sz w:val="20"/>
          <w:szCs w:val="20"/>
        </w:rPr>
      </w:pPr>
      <w:r w:rsidRPr="00D12508">
        <w:rPr>
          <w:rFonts w:cs="Arial"/>
          <w:sz w:val="20"/>
          <w:szCs w:val="20"/>
        </w:rPr>
        <w:t>D Crowe and N McKenzie, ‘</w:t>
      </w:r>
      <w:hyperlink r:id="rId2" w:history="1">
        <w:r w:rsidRPr="00D12508">
          <w:rPr>
            <w:rStyle w:val="Hyperlink"/>
            <w:rFonts w:cs="Arial"/>
            <w:color w:val="auto"/>
            <w:sz w:val="20"/>
            <w:szCs w:val="20"/>
          </w:rPr>
          <w:t>Senior Coalition MP Stuart Robert gave secret advice to lobbyist</w:t>
        </w:r>
      </w:hyperlink>
      <w:r w:rsidRPr="00D12508">
        <w:rPr>
          <w:rFonts w:cs="Arial"/>
          <w:sz w:val="20"/>
          <w:szCs w:val="20"/>
        </w:rPr>
        <w:t xml:space="preserve">’, </w:t>
      </w:r>
      <w:r w:rsidRPr="00D12508">
        <w:rPr>
          <w:rFonts w:cs="Arial"/>
          <w:i/>
          <w:sz w:val="20"/>
          <w:szCs w:val="20"/>
        </w:rPr>
        <w:t>The</w:t>
      </w:r>
      <w:r w:rsidR="006E3557" w:rsidRPr="00D12508">
        <w:rPr>
          <w:rFonts w:cs="Arial"/>
          <w:i/>
          <w:sz w:val="20"/>
          <w:szCs w:val="20"/>
        </w:rPr>
        <w:t> </w:t>
      </w:r>
      <w:r w:rsidRPr="00D12508">
        <w:rPr>
          <w:rFonts w:cs="Arial"/>
          <w:i/>
          <w:sz w:val="20"/>
          <w:szCs w:val="20"/>
        </w:rPr>
        <w:t>Sydney Morning Herald</w:t>
      </w:r>
      <w:r w:rsidRPr="00D12508">
        <w:rPr>
          <w:rFonts w:cs="Arial"/>
          <w:sz w:val="20"/>
          <w:szCs w:val="20"/>
        </w:rPr>
        <w:t xml:space="preserve">, 24 November 2022; </w:t>
      </w:r>
    </w:p>
    <w:p w14:paraId="6267F153" w14:textId="7B827FFA" w:rsidR="005178F8" w:rsidRPr="00D12508" w:rsidRDefault="005178F8" w:rsidP="007734B3">
      <w:pPr>
        <w:pStyle w:val="Bibliography"/>
        <w:spacing w:after="40" w:line="240" w:lineRule="auto"/>
        <w:rPr>
          <w:rFonts w:cs="Arial"/>
          <w:sz w:val="20"/>
          <w:szCs w:val="20"/>
        </w:rPr>
      </w:pPr>
      <w:r w:rsidRPr="00D12508">
        <w:rPr>
          <w:rFonts w:cs="Arial"/>
          <w:sz w:val="20"/>
          <w:szCs w:val="20"/>
        </w:rPr>
        <w:t>D Crowe and N McKenzie, ‘</w:t>
      </w:r>
      <w:hyperlink r:id="rId3" w:history="1">
        <w:r w:rsidRPr="00D12508">
          <w:rPr>
            <w:rStyle w:val="Hyperlink"/>
            <w:rFonts w:cs="Arial"/>
            <w:color w:val="auto"/>
            <w:sz w:val="20"/>
            <w:szCs w:val="20"/>
          </w:rPr>
          <w:t>Bill Shorten orders review into deals linked to Stuart Robert</w:t>
        </w:r>
      </w:hyperlink>
      <w:r w:rsidRPr="00D12508">
        <w:rPr>
          <w:rFonts w:cs="Arial"/>
          <w:sz w:val="20"/>
          <w:szCs w:val="20"/>
        </w:rPr>
        <w:t xml:space="preserve">’, </w:t>
      </w:r>
      <w:r w:rsidRPr="00D12508">
        <w:rPr>
          <w:rFonts w:cs="Arial"/>
          <w:i/>
          <w:sz w:val="20"/>
          <w:szCs w:val="20"/>
        </w:rPr>
        <w:t>The Sydney Morning Herald</w:t>
      </w:r>
      <w:r w:rsidRPr="00D12508">
        <w:rPr>
          <w:rFonts w:cs="Arial"/>
          <w:sz w:val="20"/>
          <w:szCs w:val="20"/>
        </w:rPr>
        <w:t xml:space="preserve">, 24 November 2022; </w:t>
      </w:r>
    </w:p>
    <w:p w14:paraId="19B2E6CC" w14:textId="0AECB973" w:rsidR="005178F8" w:rsidRPr="00D12508" w:rsidRDefault="005178F8" w:rsidP="007734B3">
      <w:pPr>
        <w:pStyle w:val="Bibliography"/>
        <w:spacing w:after="40" w:line="240" w:lineRule="auto"/>
        <w:rPr>
          <w:rFonts w:cs="Arial"/>
          <w:sz w:val="20"/>
          <w:szCs w:val="20"/>
        </w:rPr>
      </w:pPr>
      <w:r w:rsidRPr="00D12508">
        <w:rPr>
          <w:rFonts w:cs="Arial"/>
          <w:sz w:val="20"/>
          <w:szCs w:val="20"/>
        </w:rPr>
        <w:t>D Crowe and N McKenzie, ‘</w:t>
      </w:r>
      <w:hyperlink r:id="rId4" w:history="1">
        <w:r w:rsidRPr="00D12508">
          <w:rPr>
            <w:rStyle w:val="Hyperlink"/>
            <w:rFonts w:cs="Arial"/>
            <w:color w:val="auto"/>
            <w:sz w:val="20"/>
            <w:szCs w:val="20"/>
          </w:rPr>
          <w:t>Leaked files reveal meetings with minister over contracts</w:t>
        </w:r>
      </w:hyperlink>
      <w:r w:rsidRPr="00D12508">
        <w:rPr>
          <w:rFonts w:cs="Arial"/>
          <w:sz w:val="20"/>
          <w:szCs w:val="20"/>
        </w:rPr>
        <w:t xml:space="preserve">’, </w:t>
      </w:r>
      <w:r w:rsidRPr="00D12508">
        <w:rPr>
          <w:rFonts w:cs="Arial"/>
          <w:i/>
          <w:sz w:val="20"/>
          <w:szCs w:val="20"/>
        </w:rPr>
        <w:t>The Sydney Morning Herald</w:t>
      </w:r>
      <w:r w:rsidRPr="00D12508">
        <w:rPr>
          <w:rFonts w:cs="Arial"/>
          <w:sz w:val="20"/>
          <w:szCs w:val="20"/>
        </w:rPr>
        <w:t>, 1 December 202</w:t>
      </w:r>
      <w:r w:rsidR="00BF1357" w:rsidRPr="00D12508">
        <w:rPr>
          <w:rFonts w:cs="Arial"/>
          <w:sz w:val="20"/>
          <w:szCs w:val="20"/>
        </w:rPr>
        <w:t>2</w:t>
      </w:r>
      <w:r w:rsidRPr="00D12508">
        <w:rPr>
          <w:rFonts w:cs="Arial"/>
          <w:sz w:val="20"/>
          <w:szCs w:val="20"/>
        </w:rPr>
        <w:t xml:space="preserve">; </w:t>
      </w:r>
    </w:p>
    <w:p w14:paraId="3BB23A60" w14:textId="36932694" w:rsidR="005178F8" w:rsidRPr="00D12508" w:rsidRDefault="005178F8" w:rsidP="007734B3">
      <w:pPr>
        <w:pStyle w:val="Bibliography"/>
        <w:spacing w:after="40" w:line="240" w:lineRule="auto"/>
        <w:rPr>
          <w:rFonts w:cs="Arial"/>
          <w:sz w:val="20"/>
          <w:szCs w:val="20"/>
        </w:rPr>
      </w:pPr>
      <w:r w:rsidRPr="00D12508">
        <w:rPr>
          <w:rFonts w:cs="Arial"/>
          <w:sz w:val="20"/>
          <w:szCs w:val="20"/>
        </w:rPr>
        <w:t>D Crowe and N McKenzie, ‘</w:t>
      </w:r>
      <w:hyperlink r:id="rId5" w:history="1">
        <w:r w:rsidRPr="00D12508">
          <w:rPr>
            <w:rStyle w:val="Hyperlink"/>
            <w:rFonts w:cs="Arial"/>
            <w:color w:val="auto"/>
            <w:sz w:val="20"/>
            <w:szCs w:val="20"/>
          </w:rPr>
          <w:t>Robert denies pressuring officials over leaked emails</w:t>
        </w:r>
      </w:hyperlink>
      <w:r w:rsidRPr="00D12508">
        <w:rPr>
          <w:rFonts w:cs="Arial"/>
          <w:sz w:val="20"/>
          <w:szCs w:val="20"/>
        </w:rPr>
        <w:t xml:space="preserve">’, </w:t>
      </w:r>
      <w:r w:rsidRPr="00D12508">
        <w:rPr>
          <w:rFonts w:cs="Arial"/>
          <w:i/>
          <w:sz w:val="20"/>
          <w:szCs w:val="20"/>
        </w:rPr>
        <w:t>The Sydney Morning Herald</w:t>
      </w:r>
      <w:r w:rsidRPr="00D12508">
        <w:rPr>
          <w:rFonts w:cs="Arial"/>
          <w:sz w:val="20"/>
          <w:szCs w:val="20"/>
        </w:rPr>
        <w:t xml:space="preserve">, 2 December 2022; </w:t>
      </w:r>
    </w:p>
    <w:p w14:paraId="52846B23" w14:textId="7D25D384" w:rsidR="005178F8" w:rsidRPr="00D12508" w:rsidRDefault="005178F8" w:rsidP="007734B3">
      <w:pPr>
        <w:pStyle w:val="Bibliography"/>
        <w:spacing w:after="40" w:line="240" w:lineRule="auto"/>
        <w:rPr>
          <w:rFonts w:cs="Arial"/>
          <w:sz w:val="20"/>
          <w:szCs w:val="20"/>
        </w:rPr>
      </w:pPr>
      <w:r w:rsidRPr="00D12508">
        <w:rPr>
          <w:rFonts w:cs="Arial"/>
          <w:noProof/>
          <w:sz w:val="20"/>
          <w:szCs w:val="20"/>
        </w:rPr>
        <w:t xml:space="preserve">J </w:t>
      </w:r>
      <w:r w:rsidRPr="00D12508">
        <w:rPr>
          <w:rFonts w:cs="Arial"/>
          <w:sz w:val="20"/>
          <w:szCs w:val="20"/>
        </w:rPr>
        <w:t xml:space="preserve">Robertson, </w:t>
      </w:r>
      <w:hyperlink r:id="rId6" w:history="1">
        <w:r w:rsidRPr="00D12508">
          <w:rPr>
            <w:rStyle w:val="Hyperlink"/>
            <w:rFonts w:cs="Arial"/>
            <w:color w:val="auto"/>
            <w:sz w:val="20"/>
            <w:szCs w:val="20"/>
          </w:rPr>
          <w:t>'Revealed: Stuart Robert's new connection to business partner</w:t>
        </w:r>
      </w:hyperlink>
      <w:r w:rsidRPr="00D12508">
        <w:rPr>
          <w:rStyle w:val="Hyperlink"/>
          <w:rFonts w:cs="Arial"/>
          <w:color w:val="auto"/>
          <w:sz w:val="20"/>
          <w:szCs w:val="20"/>
        </w:rPr>
        <w:t>’</w:t>
      </w:r>
      <w:r w:rsidRPr="00D12508">
        <w:rPr>
          <w:rFonts w:cs="Arial"/>
          <w:sz w:val="20"/>
          <w:szCs w:val="20"/>
        </w:rPr>
        <w:t xml:space="preserve">, </w:t>
      </w:r>
      <w:r w:rsidRPr="00D12508">
        <w:rPr>
          <w:rFonts w:cs="Arial"/>
          <w:i/>
          <w:sz w:val="20"/>
          <w:szCs w:val="20"/>
        </w:rPr>
        <w:t>The New Daily</w:t>
      </w:r>
      <w:r w:rsidRPr="00D12508">
        <w:rPr>
          <w:rFonts w:cs="Arial"/>
          <w:sz w:val="20"/>
          <w:szCs w:val="20"/>
        </w:rPr>
        <w:t>, 24</w:t>
      </w:r>
      <w:r w:rsidR="006E3557" w:rsidRPr="00D12508">
        <w:rPr>
          <w:rFonts w:cs="Arial"/>
          <w:sz w:val="20"/>
          <w:szCs w:val="20"/>
        </w:rPr>
        <w:t> </w:t>
      </w:r>
      <w:r w:rsidRPr="00D12508">
        <w:rPr>
          <w:rFonts w:cs="Arial"/>
          <w:sz w:val="20"/>
          <w:szCs w:val="20"/>
        </w:rPr>
        <w:t xml:space="preserve">November 2022; </w:t>
      </w:r>
    </w:p>
    <w:p w14:paraId="19A9D0D7" w14:textId="2F306F28" w:rsidR="005178F8" w:rsidRPr="00D12508" w:rsidRDefault="005178F8" w:rsidP="007734B3">
      <w:pPr>
        <w:pStyle w:val="Bibliography"/>
        <w:spacing w:after="40" w:line="240" w:lineRule="auto"/>
        <w:rPr>
          <w:rFonts w:cs="Arial"/>
          <w:sz w:val="20"/>
          <w:szCs w:val="20"/>
        </w:rPr>
      </w:pPr>
      <w:r w:rsidRPr="00D12508">
        <w:rPr>
          <w:rFonts w:cs="Arial"/>
          <w:sz w:val="20"/>
          <w:szCs w:val="20"/>
        </w:rPr>
        <w:t>K Murphy and P Karp, ‘</w:t>
      </w:r>
      <w:hyperlink r:id="rId7" w:history="1">
        <w:r w:rsidRPr="00D12508">
          <w:rPr>
            <w:rStyle w:val="Hyperlink"/>
            <w:rFonts w:cs="Arial"/>
            <w:color w:val="auto"/>
            <w:sz w:val="20"/>
            <w:szCs w:val="20"/>
          </w:rPr>
          <w:t>Labor orders investigation into government contracts linked to Stuart Robert</w:t>
        </w:r>
      </w:hyperlink>
      <w:r w:rsidRPr="00D12508">
        <w:rPr>
          <w:rFonts w:cs="Arial"/>
          <w:sz w:val="20"/>
          <w:szCs w:val="20"/>
        </w:rPr>
        <w:t xml:space="preserve">’, </w:t>
      </w:r>
      <w:r w:rsidRPr="00D12508">
        <w:rPr>
          <w:rFonts w:cs="Arial"/>
          <w:i/>
          <w:sz w:val="20"/>
          <w:szCs w:val="20"/>
        </w:rPr>
        <w:t xml:space="preserve">The Guardian, </w:t>
      </w:r>
      <w:r w:rsidRPr="00D12508">
        <w:rPr>
          <w:rFonts w:cs="Arial"/>
          <w:sz w:val="20"/>
          <w:szCs w:val="20"/>
        </w:rPr>
        <w:t xml:space="preserve">24 November 2022; </w:t>
      </w:r>
    </w:p>
    <w:p w14:paraId="0864CCFF" w14:textId="5BC73B26" w:rsidR="005178F8" w:rsidRPr="00353A9E" w:rsidRDefault="005178F8" w:rsidP="007734B3">
      <w:pPr>
        <w:pStyle w:val="Bibliography"/>
        <w:spacing w:after="40" w:line="240" w:lineRule="auto"/>
        <w:rPr>
          <w:rFonts w:cs="Arial"/>
          <w:noProof/>
          <w:sz w:val="20"/>
          <w:szCs w:val="20"/>
        </w:rPr>
      </w:pPr>
      <w:r w:rsidRPr="00D12508">
        <w:rPr>
          <w:rFonts w:cs="Arial"/>
          <w:sz w:val="20"/>
          <w:szCs w:val="20"/>
        </w:rPr>
        <w:t>P Karp, ‘</w:t>
      </w:r>
      <w:hyperlink r:id="rId8" w:history="1">
        <w:r w:rsidRPr="00D12508">
          <w:rPr>
            <w:rStyle w:val="Hyperlink"/>
            <w:rFonts w:cs="Arial"/>
            <w:color w:val="auto"/>
            <w:sz w:val="20"/>
            <w:szCs w:val="20"/>
          </w:rPr>
          <w:t>Bill Shorten reveals review into Stuart Robert ‘lobbying scandal’ claims</w:t>
        </w:r>
      </w:hyperlink>
      <w:r w:rsidRPr="00D12508">
        <w:rPr>
          <w:rFonts w:cs="Arial"/>
          <w:sz w:val="20"/>
          <w:szCs w:val="20"/>
        </w:rPr>
        <w:t xml:space="preserve">’, </w:t>
      </w:r>
      <w:r w:rsidRPr="00D12508">
        <w:rPr>
          <w:rFonts w:cs="Arial"/>
          <w:i/>
          <w:sz w:val="20"/>
          <w:szCs w:val="20"/>
        </w:rPr>
        <w:t>The Guardian</w:t>
      </w:r>
      <w:r w:rsidRPr="00D12508">
        <w:rPr>
          <w:rFonts w:cs="Arial"/>
          <w:sz w:val="20"/>
          <w:szCs w:val="20"/>
        </w:rPr>
        <w:t>, 1</w:t>
      </w:r>
      <w:r w:rsidR="006E3557" w:rsidRPr="00D12508">
        <w:rPr>
          <w:rFonts w:cs="Arial"/>
          <w:sz w:val="20"/>
          <w:szCs w:val="20"/>
        </w:rPr>
        <w:t> </w:t>
      </w:r>
      <w:r w:rsidRPr="00D12508">
        <w:rPr>
          <w:rFonts w:cs="Arial"/>
          <w:sz w:val="20"/>
          <w:szCs w:val="20"/>
        </w:rPr>
        <w:t>December 2022</w:t>
      </w:r>
      <w:r w:rsidRPr="00D12508">
        <w:rPr>
          <w:rFonts w:cs="Arial"/>
          <w:noProof/>
          <w:sz w:val="20"/>
          <w:szCs w:val="20"/>
        </w:rPr>
        <w:t>.</w:t>
      </w:r>
    </w:p>
  </w:footnote>
  <w:footnote w:id="3">
    <w:p w14:paraId="439521F3" w14:textId="0E27D01D" w:rsidR="005178F8" w:rsidRDefault="005178F8">
      <w:pPr>
        <w:pStyle w:val="FootnoteText"/>
      </w:pPr>
      <w:r>
        <w:rPr>
          <w:rStyle w:val="FootnoteReference"/>
        </w:rPr>
        <w:footnoteRef/>
      </w:r>
      <w:r>
        <w:t xml:space="preserve"> </w:t>
      </w:r>
      <w:r>
        <w:rPr>
          <w:rFonts w:cs="Arial"/>
        </w:rPr>
        <w:t xml:space="preserve">‘Misconduct’ meaning behaviour that does not meet the requirements of the APS Values, Employment Principles and Code of Conduct. </w:t>
      </w:r>
      <w:r w:rsidRPr="00B92268">
        <w:rPr>
          <w:rFonts w:cs="Arial"/>
          <w:i/>
        </w:rPr>
        <w:t xml:space="preserve">Public Service Act 1999 </w:t>
      </w:r>
      <w:r w:rsidRPr="00B92268">
        <w:rPr>
          <w:rFonts w:cs="Arial"/>
        </w:rPr>
        <w:t>s</w:t>
      </w:r>
      <w:r>
        <w:rPr>
          <w:rFonts w:cs="Arial"/>
        </w:rPr>
        <w:t>s 10,</w:t>
      </w:r>
      <w:r w:rsidRPr="00B92268">
        <w:rPr>
          <w:rFonts w:cs="Arial"/>
        </w:rPr>
        <w:t>10</w:t>
      </w:r>
      <w:r>
        <w:rPr>
          <w:rFonts w:cs="Arial"/>
        </w:rPr>
        <w:t>A,</w:t>
      </w:r>
      <w:r w:rsidRPr="00B92268">
        <w:rPr>
          <w:rFonts w:cs="Arial"/>
        </w:rPr>
        <w:t>13.</w:t>
      </w:r>
    </w:p>
  </w:footnote>
  <w:footnote w:id="4">
    <w:p w14:paraId="74DDF4D1" w14:textId="17D2B67A" w:rsidR="005178F8" w:rsidRPr="00B55F12" w:rsidRDefault="005178F8" w:rsidP="00210E30">
      <w:pPr>
        <w:pStyle w:val="FootnoteText"/>
        <w:rPr>
          <w:rFonts w:cs="Arial"/>
          <w:i/>
        </w:rPr>
      </w:pPr>
      <w:r w:rsidRPr="00B55F12">
        <w:rPr>
          <w:rStyle w:val="FootnoteReference"/>
          <w:rFonts w:cs="Arial"/>
        </w:rPr>
        <w:footnoteRef/>
      </w:r>
      <w:r w:rsidRPr="00B55F12">
        <w:rPr>
          <w:rFonts w:cs="Arial"/>
        </w:rPr>
        <w:t xml:space="preserve"> </w:t>
      </w:r>
      <w:r w:rsidRPr="00B55F12">
        <w:rPr>
          <w:rFonts w:cs="Arial"/>
          <w:noProof/>
        </w:rPr>
        <w:t xml:space="preserve">Australian National Audit Office, Submission No 12 to </w:t>
      </w:r>
      <w:r w:rsidRPr="00B55F12">
        <w:rPr>
          <w:rFonts w:cs="Arial"/>
          <w:iCs/>
          <w:noProof/>
        </w:rPr>
        <w:t xml:space="preserve">Joint Committee of Public Accounts and Audit, </w:t>
      </w:r>
      <w:r w:rsidRPr="00B55F12">
        <w:rPr>
          <w:rFonts w:cs="Arial"/>
          <w:i/>
          <w:iCs/>
          <w:noProof/>
        </w:rPr>
        <w:t>Commonwealth procurement: Inquiry into Auditor-General Reports 6, 15, 30, 42 (2021-22) and 5 (2022-23)</w:t>
      </w:r>
      <w:r w:rsidRPr="00B55F12">
        <w:rPr>
          <w:rFonts w:cs="Arial"/>
          <w:iCs/>
          <w:noProof/>
        </w:rPr>
        <w:t xml:space="preserve"> (2 February 2023)</w:t>
      </w:r>
      <w:r w:rsidR="00E46A2D">
        <w:rPr>
          <w:rFonts w:cs="Arial"/>
          <w:iCs/>
          <w:noProof/>
        </w:rPr>
        <w:t xml:space="preserve"> p 7, para 30</w:t>
      </w:r>
      <w:r w:rsidRPr="00B55F12">
        <w:rPr>
          <w:rFonts w:cs="Arial"/>
        </w:rPr>
        <w:t>.</w:t>
      </w:r>
    </w:p>
  </w:footnote>
  <w:footnote w:id="5">
    <w:p w14:paraId="2FBC026C" w14:textId="3FE59DA8" w:rsidR="005178F8" w:rsidRPr="00B55F12" w:rsidRDefault="005178F8">
      <w:pPr>
        <w:pStyle w:val="FootnoteText"/>
        <w:rPr>
          <w:rFonts w:cs="Arial"/>
        </w:rPr>
      </w:pPr>
      <w:r w:rsidRPr="00B55F12">
        <w:rPr>
          <w:rStyle w:val="FootnoteReference"/>
          <w:rFonts w:cs="Arial"/>
        </w:rPr>
        <w:footnoteRef/>
      </w:r>
      <w:r w:rsidRPr="00B55F12">
        <w:rPr>
          <w:rFonts w:cs="Arial"/>
        </w:rPr>
        <w:t xml:space="preserve"> This includes instances where the procurement was from a single supplier panel</w:t>
      </w:r>
      <w:r>
        <w:rPr>
          <w:rFonts w:cs="Arial"/>
        </w:rPr>
        <w:t>.</w:t>
      </w:r>
    </w:p>
  </w:footnote>
  <w:footnote w:id="6">
    <w:p w14:paraId="4C16B42A" w14:textId="118AC462" w:rsidR="005178F8" w:rsidRPr="00D12508" w:rsidRDefault="005178F8">
      <w:pPr>
        <w:pStyle w:val="FootnoteText"/>
        <w:rPr>
          <w:rFonts w:cs="Arial"/>
        </w:rPr>
      </w:pPr>
      <w:r w:rsidRPr="00D12508">
        <w:rPr>
          <w:rStyle w:val="FootnoteReference"/>
          <w:rFonts w:cs="Arial"/>
        </w:rPr>
        <w:footnoteRef/>
      </w:r>
      <w:r w:rsidRPr="00D12508">
        <w:rPr>
          <w:rFonts w:cs="Arial"/>
        </w:rPr>
        <w:t xml:space="preserve"> ANAO, </w:t>
      </w:r>
      <w:hyperlink r:id="rId9" w:history="1">
        <w:r w:rsidRPr="00D12508">
          <w:rPr>
            <w:rStyle w:val="Hyperlink"/>
            <w:rFonts w:cs="Arial"/>
            <w:i/>
            <w:color w:val="auto"/>
          </w:rPr>
          <w:t>Procurement of Delivery Partners for the Entrepreneurs’ Programme</w:t>
        </w:r>
      </w:hyperlink>
      <w:r w:rsidRPr="00D12508">
        <w:rPr>
          <w:rFonts w:cs="Arial"/>
        </w:rPr>
        <w:t>, ANAO, Australian Government, 2022.</w:t>
      </w:r>
    </w:p>
  </w:footnote>
  <w:footnote w:id="7">
    <w:p w14:paraId="1694BA45" w14:textId="1A9B6711" w:rsidR="005178F8" w:rsidRPr="00D12508" w:rsidRDefault="005178F8">
      <w:pPr>
        <w:pStyle w:val="FootnoteText"/>
        <w:rPr>
          <w:rFonts w:cs="Arial"/>
        </w:rPr>
      </w:pPr>
      <w:r w:rsidRPr="00D12508">
        <w:rPr>
          <w:rStyle w:val="FootnoteReference"/>
          <w:rFonts w:cs="Arial"/>
        </w:rPr>
        <w:footnoteRef/>
      </w:r>
      <w:r w:rsidRPr="00D12508">
        <w:rPr>
          <w:rFonts w:cs="Arial"/>
        </w:rPr>
        <w:t xml:space="preserve"> </w:t>
      </w:r>
      <w:r w:rsidRPr="00D12508">
        <w:rPr>
          <w:rFonts w:cs="Arial"/>
          <w:noProof/>
        </w:rPr>
        <w:t xml:space="preserve">Department of Finance, Submission No 11 to Joint Committee of Public Accounts and Audit, </w:t>
      </w:r>
      <w:r w:rsidRPr="00D12508">
        <w:rPr>
          <w:rFonts w:cs="Arial"/>
          <w:i/>
          <w:iCs/>
          <w:noProof/>
        </w:rPr>
        <w:t>Commonwealth procurement: Inquiry into Auditor-General Reports 6, 15, 30, 42 (2021-22) and 5 (2022-23)</w:t>
      </w:r>
      <w:r w:rsidRPr="00D12508">
        <w:rPr>
          <w:rFonts w:cs="Arial"/>
          <w:iCs/>
          <w:noProof/>
        </w:rPr>
        <w:t xml:space="preserve"> (2 February 2023)</w:t>
      </w:r>
      <w:r w:rsidRPr="00D12508">
        <w:rPr>
          <w:rFonts w:cs="Arial"/>
        </w:rPr>
        <w:t xml:space="preserve"> </w:t>
      </w:r>
      <w:r w:rsidR="00513DC1" w:rsidRPr="00D12508">
        <w:rPr>
          <w:rFonts w:cs="Arial"/>
        </w:rPr>
        <w:t xml:space="preserve">p </w:t>
      </w:r>
      <w:r w:rsidRPr="00D12508">
        <w:rPr>
          <w:rFonts w:cs="Arial"/>
        </w:rPr>
        <w:t>11.</w:t>
      </w:r>
    </w:p>
  </w:footnote>
  <w:footnote w:id="8">
    <w:p w14:paraId="3BE80B21" w14:textId="2CBC7730" w:rsidR="005178F8" w:rsidRPr="00B55F12" w:rsidRDefault="005178F8" w:rsidP="00692F13">
      <w:pPr>
        <w:pStyle w:val="FootnoteText"/>
        <w:rPr>
          <w:rFonts w:cs="Arial"/>
        </w:rPr>
      </w:pPr>
      <w:r w:rsidRPr="00D12508">
        <w:rPr>
          <w:rStyle w:val="FootnoteReference"/>
          <w:rFonts w:cs="Arial"/>
        </w:rPr>
        <w:footnoteRef/>
      </w:r>
      <w:r w:rsidRPr="00D12508">
        <w:rPr>
          <w:rFonts w:cs="Arial"/>
        </w:rPr>
        <w:t xml:space="preserve"> </w:t>
      </w:r>
      <w:r w:rsidRPr="00D12508">
        <w:rPr>
          <w:rFonts w:cs="Arial"/>
          <w:i/>
        </w:rPr>
        <w:t>Public Service Act 1999</w:t>
      </w:r>
      <w:r w:rsidRPr="00D12508">
        <w:rPr>
          <w:rFonts w:cs="Arial"/>
        </w:rPr>
        <w:t>, s 13(7).</w:t>
      </w:r>
    </w:p>
  </w:footnote>
  <w:footnote w:id="9">
    <w:p w14:paraId="5BCFB8A7" w14:textId="160F577F" w:rsidR="005178F8" w:rsidRPr="00B55F12" w:rsidRDefault="005178F8">
      <w:pPr>
        <w:pStyle w:val="FootnoteText"/>
        <w:rPr>
          <w:rFonts w:cs="Arial"/>
        </w:rPr>
      </w:pPr>
      <w:r w:rsidRPr="00B55F12">
        <w:rPr>
          <w:rStyle w:val="FootnoteReference"/>
          <w:rFonts w:cs="Arial"/>
        </w:rPr>
        <w:footnoteRef/>
      </w:r>
      <w:r w:rsidRPr="00B55F12">
        <w:rPr>
          <w:rFonts w:cs="Arial"/>
        </w:rPr>
        <w:t xml:space="preserve"> </w:t>
      </w:r>
      <w:r w:rsidRPr="002878BE">
        <w:rPr>
          <w:rFonts w:cs="Arial"/>
        </w:rPr>
        <w:t xml:space="preserve">ANAO, </w:t>
      </w:r>
      <w:r w:rsidRPr="00204FB8">
        <w:rPr>
          <w:rFonts w:cs="Arial"/>
          <w:i/>
        </w:rPr>
        <w:t>Procurement of Delivery Partners for the Entrepreneurs’ Programme</w:t>
      </w:r>
      <w:r w:rsidRPr="002878BE">
        <w:rPr>
          <w:rFonts w:cs="Arial"/>
        </w:rPr>
        <w:t>.</w:t>
      </w:r>
    </w:p>
  </w:footnote>
  <w:footnote w:id="10">
    <w:p w14:paraId="1275C435" w14:textId="77777777" w:rsidR="00296215" w:rsidRPr="00B55F12" w:rsidRDefault="00296215" w:rsidP="00296215">
      <w:pPr>
        <w:pStyle w:val="FootnoteText"/>
        <w:keepNext/>
        <w:keepLines/>
        <w:rPr>
          <w:rFonts w:cs="Arial"/>
        </w:rPr>
      </w:pPr>
      <w:r w:rsidRPr="00D12508">
        <w:rPr>
          <w:rStyle w:val="FootnoteReference"/>
          <w:rFonts w:cs="Arial"/>
        </w:rPr>
        <w:footnoteRef/>
      </w:r>
      <w:r w:rsidRPr="00D12508">
        <w:rPr>
          <w:rFonts w:cs="Arial"/>
        </w:rPr>
        <w:t xml:space="preserve"> Australian National Audit Office (ANAO), </w:t>
      </w:r>
      <w:hyperlink r:id="rId10" w:history="1">
        <w:r w:rsidRPr="00D12508">
          <w:rPr>
            <w:rStyle w:val="Hyperlink"/>
            <w:rFonts w:cs="Arial"/>
            <w:i/>
            <w:color w:val="auto"/>
          </w:rPr>
          <w:t>Procurement by the National Capital Authority</w:t>
        </w:r>
      </w:hyperlink>
      <w:r w:rsidRPr="00D12508">
        <w:rPr>
          <w:rFonts w:cs="Arial"/>
        </w:rPr>
        <w:t>, ANAO, Australian Government, 2022,</w:t>
      </w:r>
      <w:r w:rsidRPr="00B55F12">
        <w:rPr>
          <w:rFonts w:cs="Arial"/>
        </w:rPr>
        <w:t xml:space="preserve"> </w:t>
      </w:r>
      <w:r w:rsidRPr="00B55F12">
        <w:rPr>
          <w:rFonts w:cs="Arial"/>
          <w:i/>
        </w:rPr>
        <w:t>Procurement of Delivery Partners for the Entrepreneur’s Programme</w:t>
      </w:r>
      <w:r w:rsidRPr="00B55F12">
        <w:rPr>
          <w:rFonts w:cs="Arial"/>
        </w:rPr>
        <w:t xml:space="preserve">; </w:t>
      </w:r>
      <w:r w:rsidRPr="00B55F12">
        <w:rPr>
          <w:rFonts w:cs="Arial"/>
          <w:noProof/>
        </w:rPr>
        <w:t xml:space="preserve">Australian National Audit Office, Submission No 12 to </w:t>
      </w:r>
      <w:r w:rsidRPr="00B55F12">
        <w:rPr>
          <w:rFonts w:cs="Arial"/>
          <w:iCs/>
          <w:noProof/>
        </w:rPr>
        <w:t xml:space="preserve">Joint Committee of Public Accounts and Audit, </w:t>
      </w:r>
      <w:r w:rsidRPr="00B55F12">
        <w:rPr>
          <w:rFonts w:cs="Arial"/>
          <w:i/>
          <w:iCs/>
          <w:noProof/>
        </w:rPr>
        <w:t>Commonwealth procurement: Inquiry into Auditor-General Reports 6, 15, 30, 42 (2021-22) and 5 (2022-23)</w:t>
      </w:r>
      <w:r w:rsidRPr="00B55F12">
        <w:rPr>
          <w:rFonts w:cs="Arial"/>
          <w:iCs/>
          <w:noProof/>
        </w:rPr>
        <w:t xml:space="preserve"> (2 February 2023)</w:t>
      </w:r>
      <w:r w:rsidRPr="00B55F12">
        <w:rPr>
          <w:rFonts w:cs="Arial"/>
        </w:rPr>
        <w:t>.</w:t>
      </w:r>
    </w:p>
  </w:footnote>
  <w:footnote w:id="11">
    <w:p w14:paraId="1759C116" w14:textId="77777777" w:rsidR="00A206D2" w:rsidRDefault="00A206D2" w:rsidP="00A206D2">
      <w:pPr>
        <w:pStyle w:val="FootnoteText"/>
      </w:pPr>
      <w:r>
        <w:rPr>
          <w:rStyle w:val="FootnoteReference"/>
        </w:rPr>
        <w:footnoteRef/>
      </w:r>
      <w:r>
        <w:t xml:space="preserve"> </w:t>
      </w:r>
      <w:r w:rsidRPr="00B92268">
        <w:rPr>
          <w:rFonts w:cs="Arial"/>
        </w:rPr>
        <w:t>Statistics taken from AusTender, data collated and provided by Services Australia Procurement Branch.</w:t>
      </w:r>
    </w:p>
  </w:footnote>
  <w:footnote w:id="12">
    <w:p w14:paraId="55C9AF7E" w14:textId="0535116D" w:rsidR="005178F8" w:rsidRPr="00D12508" w:rsidRDefault="005178F8">
      <w:pPr>
        <w:pStyle w:val="FootnoteText"/>
        <w:rPr>
          <w:rFonts w:cs="Arial"/>
        </w:rPr>
      </w:pPr>
      <w:r w:rsidRPr="00D12508">
        <w:rPr>
          <w:rStyle w:val="FootnoteReference"/>
          <w:rFonts w:cs="Arial"/>
        </w:rPr>
        <w:footnoteRef/>
      </w:r>
      <w:r w:rsidRPr="00D12508">
        <w:rPr>
          <w:rFonts w:cs="Arial"/>
        </w:rPr>
        <w:t xml:space="preserve"> Commonwealth of Australia, </w:t>
      </w:r>
      <w:hyperlink r:id="rId11" w:history="1">
        <w:r w:rsidRPr="00D12508">
          <w:rPr>
            <w:rStyle w:val="Hyperlink"/>
            <w:rFonts w:cs="Arial"/>
            <w:i/>
            <w:color w:val="auto"/>
          </w:rPr>
          <w:t>Our Public Service, Our Future: Independent Review of the Australian Public Service</w:t>
        </w:r>
      </w:hyperlink>
      <w:r w:rsidRPr="00D12508">
        <w:rPr>
          <w:rFonts w:cs="Arial"/>
        </w:rPr>
        <w:t>, Australian Government, 2019, p 268.</w:t>
      </w:r>
    </w:p>
  </w:footnote>
  <w:footnote w:id="13">
    <w:p w14:paraId="52D6C527" w14:textId="5FEA364C" w:rsidR="005178F8" w:rsidRPr="00D12508" w:rsidRDefault="005178F8">
      <w:pPr>
        <w:pStyle w:val="FootnoteText"/>
        <w:rPr>
          <w:rFonts w:cs="Arial"/>
        </w:rPr>
      </w:pPr>
      <w:r w:rsidRPr="00D12508">
        <w:rPr>
          <w:rStyle w:val="FootnoteReference"/>
          <w:rFonts w:cs="Arial"/>
        </w:rPr>
        <w:footnoteRef/>
      </w:r>
      <w:r w:rsidRPr="00D12508">
        <w:rPr>
          <w:rFonts w:cs="Arial"/>
        </w:rPr>
        <w:t xml:space="preserve"> Australian Public Service Commission (APSC), </w:t>
      </w:r>
      <w:hyperlink r:id="rId12" w:history="1">
        <w:r w:rsidRPr="00D12508">
          <w:rPr>
            <w:rStyle w:val="Hyperlink"/>
            <w:rFonts w:cs="Arial"/>
            <w:i/>
            <w:color w:val="auto"/>
          </w:rPr>
          <w:t>APS Professional Streams</w:t>
        </w:r>
      </w:hyperlink>
      <w:r w:rsidRPr="00D12508">
        <w:rPr>
          <w:rFonts w:cs="Arial"/>
        </w:rPr>
        <w:t>, apsc.gov.au, 2022.</w:t>
      </w:r>
    </w:p>
  </w:footnote>
  <w:footnote w:id="14">
    <w:p w14:paraId="3ED5845D" w14:textId="0347A7ED" w:rsidR="005178F8" w:rsidRPr="00D12508" w:rsidRDefault="005178F8" w:rsidP="00395EB0">
      <w:pPr>
        <w:pStyle w:val="FootnoteText"/>
        <w:rPr>
          <w:rFonts w:cs="Arial"/>
        </w:rPr>
      </w:pPr>
      <w:r w:rsidRPr="00D12508">
        <w:rPr>
          <w:rStyle w:val="FootnoteReference"/>
          <w:rFonts w:cs="Arial"/>
        </w:rPr>
        <w:footnoteRef/>
      </w:r>
      <w:r w:rsidRPr="00D12508">
        <w:rPr>
          <w:rFonts w:cs="Arial"/>
        </w:rPr>
        <w:t xml:space="preserve"> </w:t>
      </w:r>
      <w:r w:rsidRPr="00D12508">
        <w:rPr>
          <w:rFonts w:cs="Arial"/>
          <w:noProof/>
        </w:rPr>
        <w:t xml:space="preserve">Australian National Audit Office, Submission No 12 to </w:t>
      </w:r>
      <w:r w:rsidRPr="00D12508">
        <w:rPr>
          <w:rFonts w:cs="Arial"/>
          <w:iCs/>
          <w:noProof/>
        </w:rPr>
        <w:t xml:space="preserve">Joint Committee of Public Accounts and Audit, </w:t>
      </w:r>
      <w:r w:rsidRPr="00D12508">
        <w:rPr>
          <w:rFonts w:cs="Arial"/>
          <w:i/>
          <w:iCs/>
          <w:noProof/>
        </w:rPr>
        <w:t>Commonwealth procurement: Inquiry into Auditor-General Reports 6, 15, 30, 42 (2021-22) and 5 (2022-23)</w:t>
      </w:r>
      <w:r w:rsidRPr="00D12508">
        <w:rPr>
          <w:rFonts w:cs="Arial"/>
          <w:iCs/>
          <w:noProof/>
        </w:rPr>
        <w:t xml:space="preserve"> (2 February 2023) </w:t>
      </w:r>
      <w:r w:rsidR="00D764E7" w:rsidRPr="00D12508">
        <w:rPr>
          <w:rFonts w:cs="Arial"/>
          <w:iCs/>
          <w:noProof/>
        </w:rPr>
        <w:t xml:space="preserve">p </w:t>
      </w:r>
      <w:r w:rsidRPr="00D12508">
        <w:rPr>
          <w:rFonts w:cs="Arial"/>
        </w:rPr>
        <w:t xml:space="preserve">13-14. </w:t>
      </w:r>
    </w:p>
  </w:footnote>
  <w:footnote w:id="15">
    <w:p w14:paraId="46834882" w14:textId="69F97308" w:rsidR="005178F8" w:rsidRPr="00B55F12" w:rsidRDefault="005178F8">
      <w:pPr>
        <w:pStyle w:val="FootnoteText"/>
        <w:rPr>
          <w:rFonts w:cs="Arial"/>
        </w:rPr>
      </w:pPr>
      <w:r w:rsidRPr="00D12508">
        <w:rPr>
          <w:rStyle w:val="FootnoteReference"/>
          <w:rFonts w:cs="Arial"/>
        </w:rPr>
        <w:footnoteRef/>
      </w:r>
      <w:r w:rsidRPr="00D12508">
        <w:rPr>
          <w:rFonts w:cs="Arial"/>
        </w:rPr>
        <w:t xml:space="preserve"> </w:t>
      </w:r>
      <w:r w:rsidRPr="00D12508">
        <w:rPr>
          <w:rFonts w:cs="Arial"/>
          <w:noProof/>
        </w:rPr>
        <w:t xml:space="preserve">Department of Finance, Submission No 11 to Joint Committee of Public Accounts and Audit, </w:t>
      </w:r>
      <w:r w:rsidRPr="00D12508">
        <w:rPr>
          <w:rFonts w:cs="Arial"/>
          <w:i/>
          <w:iCs/>
          <w:noProof/>
        </w:rPr>
        <w:t>Commonwealth procurement: Inquiry into Auditor-General Reports 6, 15, 30, 42 (2021-22) and 5 (2022-23)</w:t>
      </w:r>
      <w:r w:rsidRPr="00D12508">
        <w:rPr>
          <w:rFonts w:cs="Arial"/>
          <w:iCs/>
          <w:noProof/>
        </w:rPr>
        <w:t xml:space="preserve"> (2 February 2023)</w:t>
      </w:r>
      <w:r w:rsidRPr="00D12508">
        <w:rPr>
          <w:rFonts w:cs="Arial"/>
        </w:rPr>
        <w:t xml:space="preserve"> </w:t>
      </w:r>
      <w:r w:rsidR="00D764E7" w:rsidRPr="00D12508">
        <w:rPr>
          <w:rFonts w:cs="Arial"/>
        </w:rPr>
        <w:t xml:space="preserve">p </w:t>
      </w:r>
      <w:r w:rsidRPr="00D12508">
        <w:rPr>
          <w:rFonts w:cs="Arial"/>
        </w:rPr>
        <w:t>14.</w:t>
      </w:r>
    </w:p>
  </w:footnote>
  <w:footnote w:id="16">
    <w:p w14:paraId="78C28169" w14:textId="1B1CEACD" w:rsidR="005178F8" w:rsidRPr="007078D1" w:rsidRDefault="005178F8">
      <w:pPr>
        <w:pStyle w:val="FootnoteText"/>
      </w:pPr>
      <w:r>
        <w:rPr>
          <w:rStyle w:val="FootnoteReference"/>
        </w:rPr>
        <w:footnoteRef/>
      </w:r>
      <w:r>
        <w:t xml:space="preserve"> </w:t>
      </w:r>
      <w:r w:rsidRPr="00B55F12">
        <w:rPr>
          <w:rFonts w:cs="Arial"/>
        </w:rPr>
        <w:t>Senator the Hon K Gallagher and The Hon J Collins MP</w:t>
      </w:r>
      <w:r>
        <w:rPr>
          <w:rFonts w:cs="Arial"/>
        </w:rPr>
        <w:t xml:space="preserve">, </w:t>
      </w:r>
      <w:hyperlink r:id="rId13" w:history="1">
        <w:r w:rsidRPr="007078D1">
          <w:rPr>
            <w:rStyle w:val="Hyperlink"/>
            <w:rFonts w:cs="Arial"/>
            <w:i/>
          </w:rPr>
          <w:t>A Better Deal for Australian Businesses Under Commonwealth Contracts</w:t>
        </w:r>
      </w:hyperlink>
      <w:r>
        <w:rPr>
          <w:rFonts w:cs="Arial"/>
          <w:i/>
        </w:rPr>
        <w:t>.</w:t>
      </w:r>
      <w:r>
        <w:rPr>
          <w:rFonts w:cs="Arial"/>
        </w:rPr>
        <w:t xml:space="preserve"> [media release], 1 July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C40"/>
    <w:multiLevelType w:val="hybridMultilevel"/>
    <w:tmpl w:val="94843934"/>
    <w:lvl w:ilvl="0" w:tplc="CDCEE7E2">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239DF"/>
    <w:multiLevelType w:val="hybridMultilevel"/>
    <w:tmpl w:val="14A20410"/>
    <w:lvl w:ilvl="0" w:tplc="34D2CA9A">
      <w:start w:val="1"/>
      <w:numFmt w:val="lowerLetter"/>
      <w:lvlText w:val="(%1)"/>
      <w:lvlJc w:val="left"/>
      <w:pPr>
        <w:ind w:left="720" w:hanging="360"/>
      </w:pPr>
      <w:rPr>
        <w:rFonts w:hint="default"/>
        <w:b/>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B16F79"/>
    <w:multiLevelType w:val="hybridMultilevel"/>
    <w:tmpl w:val="8C948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136E8"/>
    <w:multiLevelType w:val="hybridMultilevel"/>
    <w:tmpl w:val="5D5AA6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7F677B0"/>
    <w:multiLevelType w:val="hybridMultilevel"/>
    <w:tmpl w:val="15D86202"/>
    <w:lvl w:ilvl="0" w:tplc="44F252CC">
      <w:start w:val="1"/>
      <w:numFmt w:val="bullet"/>
      <w:pStyle w:val="Bulletlevel1"/>
      <w:lvlText w:val=""/>
      <w:lvlJc w:val="left"/>
      <w:pPr>
        <w:ind w:left="720" w:hanging="360"/>
      </w:pPr>
      <w:rPr>
        <w:rFonts w:ascii="Symbol" w:hAnsi="Symbol" w:hint="default"/>
      </w:rPr>
    </w:lvl>
    <w:lvl w:ilvl="1" w:tplc="491AF930">
      <w:start w:val="1"/>
      <w:numFmt w:val="bullet"/>
      <w:pStyle w:val="BulletLevel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F55642"/>
    <w:multiLevelType w:val="hybridMultilevel"/>
    <w:tmpl w:val="C076F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F16010"/>
    <w:multiLevelType w:val="hybridMultilevel"/>
    <w:tmpl w:val="29F62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D4020A"/>
    <w:multiLevelType w:val="hybridMultilevel"/>
    <w:tmpl w:val="EF9A7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572A75"/>
    <w:multiLevelType w:val="hybridMultilevel"/>
    <w:tmpl w:val="09123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380782"/>
    <w:multiLevelType w:val="hybridMultilevel"/>
    <w:tmpl w:val="898068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CD6AB1"/>
    <w:multiLevelType w:val="hybridMultilevel"/>
    <w:tmpl w:val="ACAA68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8445351"/>
    <w:multiLevelType w:val="hybridMultilevel"/>
    <w:tmpl w:val="62B423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D506F71"/>
    <w:multiLevelType w:val="hybridMultilevel"/>
    <w:tmpl w:val="0F1E7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941AC0"/>
    <w:multiLevelType w:val="hybridMultilevel"/>
    <w:tmpl w:val="01CAF43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B3378E"/>
    <w:multiLevelType w:val="hybridMultilevel"/>
    <w:tmpl w:val="168E9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AE6A0D"/>
    <w:multiLevelType w:val="hybridMultilevel"/>
    <w:tmpl w:val="8F1CA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584D47"/>
    <w:multiLevelType w:val="hybridMultilevel"/>
    <w:tmpl w:val="AC221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F269FE"/>
    <w:multiLevelType w:val="hybridMultilevel"/>
    <w:tmpl w:val="FE883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780954"/>
    <w:multiLevelType w:val="hybridMultilevel"/>
    <w:tmpl w:val="F89E5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901F89"/>
    <w:multiLevelType w:val="hybridMultilevel"/>
    <w:tmpl w:val="1DE41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18448A"/>
    <w:multiLevelType w:val="hybridMultilevel"/>
    <w:tmpl w:val="5900D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ED7835"/>
    <w:multiLevelType w:val="hybridMultilevel"/>
    <w:tmpl w:val="490489F0"/>
    <w:lvl w:ilvl="0" w:tplc="4B50B5FE">
      <w:start w:val="1"/>
      <w:numFmt w:val="decimal"/>
      <w:pStyle w:val="OrderedList"/>
      <w:lvlText w:val="%1."/>
      <w:lvlJc w:val="left"/>
      <w:pPr>
        <w:ind w:left="360" w:hanging="360"/>
      </w:pPr>
      <w:rPr>
        <w:rFonts w:hint="default"/>
      </w:rPr>
    </w:lvl>
    <w:lvl w:ilvl="1" w:tplc="491AF93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565209B"/>
    <w:multiLevelType w:val="hybridMultilevel"/>
    <w:tmpl w:val="07F0D5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65AA0944"/>
    <w:multiLevelType w:val="hybridMultilevel"/>
    <w:tmpl w:val="6E1C9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2963F4"/>
    <w:multiLevelType w:val="hybridMultilevel"/>
    <w:tmpl w:val="C8064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AF2EAD"/>
    <w:multiLevelType w:val="hybridMultilevel"/>
    <w:tmpl w:val="BF84C0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243242"/>
    <w:multiLevelType w:val="hybridMultilevel"/>
    <w:tmpl w:val="88441FF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6421B23"/>
    <w:multiLevelType w:val="hybridMultilevel"/>
    <w:tmpl w:val="7AE2BB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DD4DE1"/>
    <w:multiLevelType w:val="hybridMultilevel"/>
    <w:tmpl w:val="968E4A3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90776086">
    <w:abstractNumId w:val="28"/>
  </w:num>
  <w:num w:numId="2" w16cid:durableId="228003005">
    <w:abstractNumId w:val="23"/>
  </w:num>
  <w:num w:numId="3" w16cid:durableId="1678146397">
    <w:abstractNumId w:val="18"/>
  </w:num>
  <w:num w:numId="4" w16cid:durableId="482310954">
    <w:abstractNumId w:val="14"/>
  </w:num>
  <w:num w:numId="5" w16cid:durableId="57287819">
    <w:abstractNumId w:val="6"/>
  </w:num>
  <w:num w:numId="6" w16cid:durableId="1266963305">
    <w:abstractNumId w:val="20"/>
  </w:num>
  <w:num w:numId="7" w16cid:durableId="874851603">
    <w:abstractNumId w:val="5"/>
  </w:num>
  <w:num w:numId="8" w16cid:durableId="2014725194">
    <w:abstractNumId w:val="16"/>
  </w:num>
  <w:num w:numId="9" w16cid:durableId="542402539">
    <w:abstractNumId w:val="27"/>
  </w:num>
  <w:num w:numId="10" w16cid:durableId="724259905">
    <w:abstractNumId w:val="15"/>
  </w:num>
  <w:num w:numId="11" w16cid:durableId="1910118843">
    <w:abstractNumId w:val="22"/>
  </w:num>
  <w:num w:numId="12" w16cid:durableId="1057508062">
    <w:abstractNumId w:val="19"/>
  </w:num>
  <w:num w:numId="13" w16cid:durableId="2107922253">
    <w:abstractNumId w:val="3"/>
  </w:num>
  <w:num w:numId="14" w16cid:durableId="668869347">
    <w:abstractNumId w:val="2"/>
  </w:num>
  <w:num w:numId="15" w16cid:durableId="2015764640">
    <w:abstractNumId w:val="17"/>
  </w:num>
  <w:num w:numId="16" w16cid:durableId="264575656">
    <w:abstractNumId w:val="11"/>
  </w:num>
  <w:num w:numId="17" w16cid:durableId="786436991">
    <w:abstractNumId w:val="7"/>
  </w:num>
  <w:num w:numId="18" w16cid:durableId="1965767187">
    <w:abstractNumId w:val="24"/>
  </w:num>
  <w:num w:numId="19" w16cid:durableId="2094744142">
    <w:abstractNumId w:val="12"/>
  </w:num>
  <w:num w:numId="20" w16cid:durableId="750548456">
    <w:abstractNumId w:val="8"/>
  </w:num>
  <w:num w:numId="21" w16cid:durableId="822283867">
    <w:abstractNumId w:val="10"/>
  </w:num>
  <w:num w:numId="22" w16cid:durableId="631443912">
    <w:abstractNumId w:val="4"/>
  </w:num>
  <w:num w:numId="23" w16cid:durableId="1562062543">
    <w:abstractNumId w:val="9"/>
  </w:num>
  <w:num w:numId="24" w16cid:durableId="1282614631">
    <w:abstractNumId w:val="21"/>
  </w:num>
  <w:num w:numId="25" w16cid:durableId="548497597">
    <w:abstractNumId w:val="1"/>
  </w:num>
  <w:num w:numId="26" w16cid:durableId="430854629">
    <w:abstractNumId w:val="25"/>
  </w:num>
  <w:num w:numId="27" w16cid:durableId="703019871">
    <w:abstractNumId w:val="0"/>
  </w:num>
  <w:num w:numId="28" w16cid:durableId="971910307">
    <w:abstractNumId w:val="26"/>
  </w:num>
  <w:num w:numId="29" w16cid:durableId="6034150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B5D"/>
    <w:rsid w:val="000007C5"/>
    <w:rsid w:val="00001509"/>
    <w:rsid w:val="0000161A"/>
    <w:rsid w:val="000021B6"/>
    <w:rsid w:val="000028E6"/>
    <w:rsid w:val="00003499"/>
    <w:rsid w:val="00010ABB"/>
    <w:rsid w:val="00012058"/>
    <w:rsid w:val="00014278"/>
    <w:rsid w:val="00032672"/>
    <w:rsid w:val="00032DFD"/>
    <w:rsid w:val="00033180"/>
    <w:rsid w:val="00034298"/>
    <w:rsid w:val="00034DCC"/>
    <w:rsid w:val="00036F88"/>
    <w:rsid w:val="000425D4"/>
    <w:rsid w:val="00044E64"/>
    <w:rsid w:val="0005040B"/>
    <w:rsid w:val="0005132B"/>
    <w:rsid w:val="00061A69"/>
    <w:rsid w:val="000627A5"/>
    <w:rsid w:val="000634C1"/>
    <w:rsid w:val="00064F8A"/>
    <w:rsid w:val="0006525F"/>
    <w:rsid w:val="00073B31"/>
    <w:rsid w:val="00076752"/>
    <w:rsid w:val="0008430F"/>
    <w:rsid w:val="00086CAA"/>
    <w:rsid w:val="000870A0"/>
    <w:rsid w:val="0009030A"/>
    <w:rsid w:val="00090A62"/>
    <w:rsid w:val="00092213"/>
    <w:rsid w:val="00093265"/>
    <w:rsid w:val="000967E4"/>
    <w:rsid w:val="000A2295"/>
    <w:rsid w:val="000A3E38"/>
    <w:rsid w:val="000A6E9A"/>
    <w:rsid w:val="000B1BCC"/>
    <w:rsid w:val="000B2665"/>
    <w:rsid w:val="000B2A18"/>
    <w:rsid w:val="000B5B40"/>
    <w:rsid w:val="000C15F0"/>
    <w:rsid w:val="000C63D5"/>
    <w:rsid w:val="000C772A"/>
    <w:rsid w:val="000D0904"/>
    <w:rsid w:val="000D0A1E"/>
    <w:rsid w:val="000D3329"/>
    <w:rsid w:val="000D4869"/>
    <w:rsid w:val="000D63FB"/>
    <w:rsid w:val="000E33A9"/>
    <w:rsid w:val="000E37DD"/>
    <w:rsid w:val="000E6231"/>
    <w:rsid w:val="000E7D60"/>
    <w:rsid w:val="000F0C99"/>
    <w:rsid w:val="000F547A"/>
    <w:rsid w:val="000F55A2"/>
    <w:rsid w:val="000F7EDC"/>
    <w:rsid w:val="00100AF2"/>
    <w:rsid w:val="00102022"/>
    <w:rsid w:val="001026AE"/>
    <w:rsid w:val="00103028"/>
    <w:rsid w:val="001037D6"/>
    <w:rsid w:val="001103C8"/>
    <w:rsid w:val="001201F9"/>
    <w:rsid w:val="0012121F"/>
    <w:rsid w:val="001218EB"/>
    <w:rsid w:val="00121DAD"/>
    <w:rsid w:val="00122243"/>
    <w:rsid w:val="00122C6A"/>
    <w:rsid w:val="00126C74"/>
    <w:rsid w:val="00127048"/>
    <w:rsid w:val="00130485"/>
    <w:rsid w:val="00130931"/>
    <w:rsid w:val="00131FB0"/>
    <w:rsid w:val="00133E34"/>
    <w:rsid w:val="001413BF"/>
    <w:rsid w:val="00142032"/>
    <w:rsid w:val="00147515"/>
    <w:rsid w:val="00147D8A"/>
    <w:rsid w:val="00150FAA"/>
    <w:rsid w:val="001536C2"/>
    <w:rsid w:val="00153766"/>
    <w:rsid w:val="00160083"/>
    <w:rsid w:val="00161BF5"/>
    <w:rsid w:val="00162426"/>
    <w:rsid w:val="00162A51"/>
    <w:rsid w:val="00162AD8"/>
    <w:rsid w:val="00164415"/>
    <w:rsid w:val="001647D7"/>
    <w:rsid w:val="0016596B"/>
    <w:rsid w:val="0017308B"/>
    <w:rsid w:val="00173DE6"/>
    <w:rsid w:val="0018104C"/>
    <w:rsid w:val="00184FE6"/>
    <w:rsid w:val="00186D5B"/>
    <w:rsid w:val="00187C8B"/>
    <w:rsid w:val="001A27F5"/>
    <w:rsid w:val="001A29F4"/>
    <w:rsid w:val="001A3221"/>
    <w:rsid w:val="001A556C"/>
    <w:rsid w:val="001B006D"/>
    <w:rsid w:val="001B07DD"/>
    <w:rsid w:val="001B3906"/>
    <w:rsid w:val="001B42CB"/>
    <w:rsid w:val="001B57EF"/>
    <w:rsid w:val="001C13A3"/>
    <w:rsid w:val="001C2DFC"/>
    <w:rsid w:val="001C366F"/>
    <w:rsid w:val="001C7534"/>
    <w:rsid w:val="001D111E"/>
    <w:rsid w:val="001D2453"/>
    <w:rsid w:val="001D2773"/>
    <w:rsid w:val="001D66B5"/>
    <w:rsid w:val="001D7C1A"/>
    <w:rsid w:val="001D7F0C"/>
    <w:rsid w:val="001D7FC0"/>
    <w:rsid w:val="001E270B"/>
    <w:rsid w:val="001E3543"/>
    <w:rsid w:val="001E7F3D"/>
    <w:rsid w:val="001F371E"/>
    <w:rsid w:val="001F412C"/>
    <w:rsid w:val="001F46B3"/>
    <w:rsid w:val="001F7159"/>
    <w:rsid w:val="001F7ECE"/>
    <w:rsid w:val="002006EB"/>
    <w:rsid w:val="00202D08"/>
    <w:rsid w:val="002043FC"/>
    <w:rsid w:val="00204FB8"/>
    <w:rsid w:val="0021023F"/>
    <w:rsid w:val="0021059E"/>
    <w:rsid w:val="00210E30"/>
    <w:rsid w:val="0021186D"/>
    <w:rsid w:val="00211E49"/>
    <w:rsid w:val="0021484C"/>
    <w:rsid w:val="0021568E"/>
    <w:rsid w:val="00217BC0"/>
    <w:rsid w:val="00217EE2"/>
    <w:rsid w:val="0022068B"/>
    <w:rsid w:val="00221C39"/>
    <w:rsid w:val="00226A1C"/>
    <w:rsid w:val="00227F3F"/>
    <w:rsid w:val="00231635"/>
    <w:rsid w:val="00233431"/>
    <w:rsid w:val="00233E2B"/>
    <w:rsid w:val="00234F17"/>
    <w:rsid w:val="00243988"/>
    <w:rsid w:val="00246698"/>
    <w:rsid w:val="002525C3"/>
    <w:rsid w:val="002531B7"/>
    <w:rsid w:val="00253C0E"/>
    <w:rsid w:val="002558C5"/>
    <w:rsid w:val="00256397"/>
    <w:rsid w:val="002570C8"/>
    <w:rsid w:val="002602B7"/>
    <w:rsid w:val="0026274C"/>
    <w:rsid w:val="00263250"/>
    <w:rsid w:val="002645D0"/>
    <w:rsid w:val="0026713C"/>
    <w:rsid w:val="00274323"/>
    <w:rsid w:val="00274F9F"/>
    <w:rsid w:val="00275A07"/>
    <w:rsid w:val="00277C1B"/>
    <w:rsid w:val="002826A6"/>
    <w:rsid w:val="002878BE"/>
    <w:rsid w:val="00287A96"/>
    <w:rsid w:val="00294388"/>
    <w:rsid w:val="002960F7"/>
    <w:rsid w:val="00296215"/>
    <w:rsid w:val="002963D7"/>
    <w:rsid w:val="002A07F8"/>
    <w:rsid w:val="002A0F6E"/>
    <w:rsid w:val="002A0FA3"/>
    <w:rsid w:val="002A1D38"/>
    <w:rsid w:val="002A21B3"/>
    <w:rsid w:val="002A30FF"/>
    <w:rsid w:val="002A587A"/>
    <w:rsid w:val="002A588E"/>
    <w:rsid w:val="002A5D37"/>
    <w:rsid w:val="002B0EAE"/>
    <w:rsid w:val="002B1920"/>
    <w:rsid w:val="002B2B7B"/>
    <w:rsid w:val="002B6005"/>
    <w:rsid w:val="002B7661"/>
    <w:rsid w:val="002C0693"/>
    <w:rsid w:val="002C45C3"/>
    <w:rsid w:val="002C7EB1"/>
    <w:rsid w:val="002D068E"/>
    <w:rsid w:val="002D097C"/>
    <w:rsid w:val="002D0DD8"/>
    <w:rsid w:val="002D17A9"/>
    <w:rsid w:val="002D1F80"/>
    <w:rsid w:val="002D35C7"/>
    <w:rsid w:val="002D6499"/>
    <w:rsid w:val="002D6540"/>
    <w:rsid w:val="002D6F7B"/>
    <w:rsid w:val="002E47A9"/>
    <w:rsid w:val="002E4C1F"/>
    <w:rsid w:val="002E5360"/>
    <w:rsid w:val="002E614B"/>
    <w:rsid w:val="002E6B35"/>
    <w:rsid w:val="002E6EA8"/>
    <w:rsid w:val="002F07A7"/>
    <w:rsid w:val="002F1277"/>
    <w:rsid w:val="002F3E16"/>
    <w:rsid w:val="002F4ABA"/>
    <w:rsid w:val="002F548D"/>
    <w:rsid w:val="002F5DC6"/>
    <w:rsid w:val="002F6FF4"/>
    <w:rsid w:val="002F7171"/>
    <w:rsid w:val="0030672B"/>
    <w:rsid w:val="00306C8B"/>
    <w:rsid w:val="003074BF"/>
    <w:rsid w:val="00312EA8"/>
    <w:rsid w:val="00315A1A"/>
    <w:rsid w:val="00326204"/>
    <w:rsid w:val="003302D5"/>
    <w:rsid w:val="00331020"/>
    <w:rsid w:val="00332247"/>
    <w:rsid w:val="00333562"/>
    <w:rsid w:val="00334752"/>
    <w:rsid w:val="00335236"/>
    <w:rsid w:val="0033590D"/>
    <w:rsid w:val="00337840"/>
    <w:rsid w:val="00337AB4"/>
    <w:rsid w:val="00340266"/>
    <w:rsid w:val="003405C9"/>
    <w:rsid w:val="0034097C"/>
    <w:rsid w:val="00344208"/>
    <w:rsid w:val="00350784"/>
    <w:rsid w:val="00350DE4"/>
    <w:rsid w:val="00351F93"/>
    <w:rsid w:val="00353A9E"/>
    <w:rsid w:val="003610A6"/>
    <w:rsid w:val="003645FA"/>
    <w:rsid w:val="003647E5"/>
    <w:rsid w:val="00371942"/>
    <w:rsid w:val="003734D2"/>
    <w:rsid w:val="003736F9"/>
    <w:rsid w:val="003747BC"/>
    <w:rsid w:val="00374BAD"/>
    <w:rsid w:val="003838D5"/>
    <w:rsid w:val="00383EBC"/>
    <w:rsid w:val="003843A9"/>
    <w:rsid w:val="00384B9A"/>
    <w:rsid w:val="00385A9F"/>
    <w:rsid w:val="00386BC5"/>
    <w:rsid w:val="003907FE"/>
    <w:rsid w:val="003939D1"/>
    <w:rsid w:val="00394136"/>
    <w:rsid w:val="00395B23"/>
    <w:rsid w:val="00395EB0"/>
    <w:rsid w:val="0039605B"/>
    <w:rsid w:val="003A0B00"/>
    <w:rsid w:val="003A689A"/>
    <w:rsid w:val="003B295D"/>
    <w:rsid w:val="003B3936"/>
    <w:rsid w:val="003B5B94"/>
    <w:rsid w:val="003C48F5"/>
    <w:rsid w:val="003C4C2B"/>
    <w:rsid w:val="003C5889"/>
    <w:rsid w:val="003D1CB4"/>
    <w:rsid w:val="003D24E0"/>
    <w:rsid w:val="003D34EA"/>
    <w:rsid w:val="003D4E0B"/>
    <w:rsid w:val="003E0A9F"/>
    <w:rsid w:val="003E0ECC"/>
    <w:rsid w:val="003E2172"/>
    <w:rsid w:val="003E4153"/>
    <w:rsid w:val="003E49E1"/>
    <w:rsid w:val="003F2468"/>
    <w:rsid w:val="003F6E87"/>
    <w:rsid w:val="00400DF1"/>
    <w:rsid w:val="004015B7"/>
    <w:rsid w:val="00403344"/>
    <w:rsid w:val="00403D7D"/>
    <w:rsid w:val="004070BD"/>
    <w:rsid w:val="00407DB3"/>
    <w:rsid w:val="00407F13"/>
    <w:rsid w:val="00410C7C"/>
    <w:rsid w:val="00415D37"/>
    <w:rsid w:val="00423050"/>
    <w:rsid w:val="004255A8"/>
    <w:rsid w:val="0043228A"/>
    <w:rsid w:val="00434227"/>
    <w:rsid w:val="004418A2"/>
    <w:rsid w:val="00441B23"/>
    <w:rsid w:val="00441F84"/>
    <w:rsid w:val="0044201E"/>
    <w:rsid w:val="00444785"/>
    <w:rsid w:val="00444C85"/>
    <w:rsid w:val="004454A0"/>
    <w:rsid w:val="00452522"/>
    <w:rsid w:val="004537D3"/>
    <w:rsid w:val="00453D18"/>
    <w:rsid w:val="0045555E"/>
    <w:rsid w:val="0045616D"/>
    <w:rsid w:val="00460501"/>
    <w:rsid w:val="00464C73"/>
    <w:rsid w:val="004760AD"/>
    <w:rsid w:val="00480425"/>
    <w:rsid w:val="004812DA"/>
    <w:rsid w:val="004823BD"/>
    <w:rsid w:val="004841E0"/>
    <w:rsid w:val="00484B8E"/>
    <w:rsid w:val="00485DBB"/>
    <w:rsid w:val="00486076"/>
    <w:rsid w:val="00486A00"/>
    <w:rsid w:val="00486DF3"/>
    <w:rsid w:val="00490458"/>
    <w:rsid w:val="00490567"/>
    <w:rsid w:val="00490E87"/>
    <w:rsid w:val="00492726"/>
    <w:rsid w:val="00493FE8"/>
    <w:rsid w:val="004978C5"/>
    <w:rsid w:val="004A1E91"/>
    <w:rsid w:val="004A4324"/>
    <w:rsid w:val="004A4979"/>
    <w:rsid w:val="004B22F9"/>
    <w:rsid w:val="004B3721"/>
    <w:rsid w:val="004B57E2"/>
    <w:rsid w:val="004B64A2"/>
    <w:rsid w:val="004B6B9D"/>
    <w:rsid w:val="004C270E"/>
    <w:rsid w:val="004D0DA8"/>
    <w:rsid w:val="004D1278"/>
    <w:rsid w:val="004D1C96"/>
    <w:rsid w:val="004D27B0"/>
    <w:rsid w:val="004D5690"/>
    <w:rsid w:val="004D73AF"/>
    <w:rsid w:val="004E25FF"/>
    <w:rsid w:val="004E5507"/>
    <w:rsid w:val="004F0993"/>
    <w:rsid w:val="004F161A"/>
    <w:rsid w:val="004F1758"/>
    <w:rsid w:val="004F40E5"/>
    <w:rsid w:val="004F6C6A"/>
    <w:rsid w:val="004F7E6A"/>
    <w:rsid w:val="005018D4"/>
    <w:rsid w:val="00504AB6"/>
    <w:rsid w:val="00512D10"/>
    <w:rsid w:val="00513590"/>
    <w:rsid w:val="005139EA"/>
    <w:rsid w:val="00513DC1"/>
    <w:rsid w:val="005159E4"/>
    <w:rsid w:val="005178F8"/>
    <w:rsid w:val="0052219C"/>
    <w:rsid w:val="0052224D"/>
    <w:rsid w:val="0052260E"/>
    <w:rsid w:val="00522D2A"/>
    <w:rsid w:val="0052446C"/>
    <w:rsid w:val="00524646"/>
    <w:rsid w:val="0052471E"/>
    <w:rsid w:val="00525796"/>
    <w:rsid w:val="00525A07"/>
    <w:rsid w:val="00525BAC"/>
    <w:rsid w:val="00526273"/>
    <w:rsid w:val="005320E6"/>
    <w:rsid w:val="005324F9"/>
    <w:rsid w:val="00536AAC"/>
    <w:rsid w:val="00544F47"/>
    <w:rsid w:val="00551AE2"/>
    <w:rsid w:val="0055331D"/>
    <w:rsid w:val="005552EF"/>
    <w:rsid w:val="00557C8D"/>
    <w:rsid w:val="00565870"/>
    <w:rsid w:val="005669C5"/>
    <w:rsid w:val="00575603"/>
    <w:rsid w:val="00575AA5"/>
    <w:rsid w:val="00575BA7"/>
    <w:rsid w:val="00576B45"/>
    <w:rsid w:val="00576CDE"/>
    <w:rsid w:val="00581B91"/>
    <w:rsid w:val="00581C87"/>
    <w:rsid w:val="00584B75"/>
    <w:rsid w:val="005856ED"/>
    <w:rsid w:val="00591310"/>
    <w:rsid w:val="00592D0C"/>
    <w:rsid w:val="00594A9B"/>
    <w:rsid w:val="005A08E7"/>
    <w:rsid w:val="005A312D"/>
    <w:rsid w:val="005A3969"/>
    <w:rsid w:val="005A55A9"/>
    <w:rsid w:val="005A7C51"/>
    <w:rsid w:val="005B0370"/>
    <w:rsid w:val="005B3266"/>
    <w:rsid w:val="005B5541"/>
    <w:rsid w:val="005B5852"/>
    <w:rsid w:val="005B5C59"/>
    <w:rsid w:val="005C040A"/>
    <w:rsid w:val="005C1882"/>
    <w:rsid w:val="005C468E"/>
    <w:rsid w:val="005C4A87"/>
    <w:rsid w:val="005C51DD"/>
    <w:rsid w:val="005D10D2"/>
    <w:rsid w:val="005D6076"/>
    <w:rsid w:val="005D621C"/>
    <w:rsid w:val="005D7156"/>
    <w:rsid w:val="005E1A88"/>
    <w:rsid w:val="005E4F97"/>
    <w:rsid w:val="005E6A0A"/>
    <w:rsid w:val="005E6F51"/>
    <w:rsid w:val="005F15CC"/>
    <w:rsid w:val="005F52EF"/>
    <w:rsid w:val="005F5760"/>
    <w:rsid w:val="005F61CA"/>
    <w:rsid w:val="005F66F2"/>
    <w:rsid w:val="005F6A5F"/>
    <w:rsid w:val="005F7113"/>
    <w:rsid w:val="00600422"/>
    <w:rsid w:val="0060074E"/>
    <w:rsid w:val="006031D0"/>
    <w:rsid w:val="00603619"/>
    <w:rsid w:val="00604E56"/>
    <w:rsid w:val="00606671"/>
    <w:rsid w:val="00607527"/>
    <w:rsid w:val="00610BCB"/>
    <w:rsid w:val="0061247E"/>
    <w:rsid w:val="006152A9"/>
    <w:rsid w:val="00621CB5"/>
    <w:rsid w:val="00631BAC"/>
    <w:rsid w:val="00632CCF"/>
    <w:rsid w:val="006348F9"/>
    <w:rsid w:val="00634E59"/>
    <w:rsid w:val="0063708D"/>
    <w:rsid w:val="006370CD"/>
    <w:rsid w:val="0064515C"/>
    <w:rsid w:val="0064780D"/>
    <w:rsid w:val="00650E67"/>
    <w:rsid w:val="0065392E"/>
    <w:rsid w:val="00653E7D"/>
    <w:rsid w:val="00653F83"/>
    <w:rsid w:val="006556EF"/>
    <w:rsid w:val="00660756"/>
    <w:rsid w:val="0066237D"/>
    <w:rsid w:val="0067300C"/>
    <w:rsid w:val="00674EAD"/>
    <w:rsid w:val="00674F1B"/>
    <w:rsid w:val="00676A6C"/>
    <w:rsid w:val="00677815"/>
    <w:rsid w:val="00684492"/>
    <w:rsid w:val="0068707A"/>
    <w:rsid w:val="00692F13"/>
    <w:rsid w:val="00694A2E"/>
    <w:rsid w:val="00694A3A"/>
    <w:rsid w:val="006A0596"/>
    <w:rsid w:val="006A2057"/>
    <w:rsid w:val="006B168E"/>
    <w:rsid w:val="006B2B17"/>
    <w:rsid w:val="006B7007"/>
    <w:rsid w:val="006B7EE8"/>
    <w:rsid w:val="006C10F4"/>
    <w:rsid w:val="006C1CE7"/>
    <w:rsid w:val="006C5D28"/>
    <w:rsid w:val="006D03F3"/>
    <w:rsid w:val="006D0931"/>
    <w:rsid w:val="006D17E5"/>
    <w:rsid w:val="006D274A"/>
    <w:rsid w:val="006D31EC"/>
    <w:rsid w:val="006D5420"/>
    <w:rsid w:val="006D57D2"/>
    <w:rsid w:val="006E3557"/>
    <w:rsid w:val="006E5207"/>
    <w:rsid w:val="006E531A"/>
    <w:rsid w:val="006F3981"/>
    <w:rsid w:val="006F49E2"/>
    <w:rsid w:val="006F5AE5"/>
    <w:rsid w:val="006F6551"/>
    <w:rsid w:val="006F7067"/>
    <w:rsid w:val="006F7A08"/>
    <w:rsid w:val="00700EE1"/>
    <w:rsid w:val="00702884"/>
    <w:rsid w:val="007055F0"/>
    <w:rsid w:val="007078D1"/>
    <w:rsid w:val="00710EA3"/>
    <w:rsid w:val="007115FF"/>
    <w:rsid w:val="00713727"/>
    <w:rsid w:val="00713887"/>
    <w:rsid w:val="00714C3F"/>
    <w:rsid w:val="00715CB9"/>
    <w:rsid w:val="00716ABE"/>
    <w:rsid w:val="00717BE5"/>
    <w:rsid w:val="00731E05"/>
    <w:rsid w:val="00732469"/>
    <w:rsid w:val="00732D05"/>
    <w:rsid w:val="007334DD"/>
    <w:rsid w:val="00745061"/>
    <w:rsid w:val="007461FF"/>
    <w:rsid w:val="0075437F"/>
    <w:rsid w:val="00754CA8"/>
    <w:rsid w:val="00755C95"/>
    <w:rsid w:val="00757214"/>
    <w:rsid w:val="00757613"/>
    <w:rsid w:val="00762DF1"/>
    <w:rsid w:val="007713CA"/>
    <w:rsid w:val="007734B3"/>
    <w:rsid w:val="00773D9A"/>
    <w:rsid w:val="00774CA4"/>
    <w:rsid w:val="007824B5"/>
    <w:rsid w:val="00783DE9"/>
    <w:rsid w:val="0079268A"/>
    <w:rsid w:val="0079425A"/>
    <w:rsid w:val="0079566C"/>
    <w:rsid w:val="00795743"/>
    <w:rsid w:val="00795AC6"/>
    <w:rsid w:val="00797997"/>
    <w:rsid w:val="007A0EC6"/>
    <w:rsid w:val="007A20D2"/>
    <w:rsid w:val="007A2457"/>
    <w:rsid w:val="007A38E0"/>
    <w:rsid w:val="007A4B42"/>
    <w:rsid w:val="007A57C1"/>
    <w:rsid w:val="007A6F6C"/>
    <w:rsid w:val="007A7D0F"/>
    <w:rsid w:val="007B09D0"/>
    <w:rsid w:val="007B24D3"/>
    <w:rsid w:val="007B2C95"/>
    <w:rsid w:val="007B3339"/>
    <w:rsid w:val="007B374E"/>
    <w:rsid w:val="007B750D"/>
    <w:rsid w:val="007C3955"/>
    <w:rsid w:val="007C4353"/>
    <w:rsid w:val="007C5191"/>
    <w:rsid w:val="007C5EFD"/>
    <w:rsid w:val="007C65B7"/>
    <w:rsid w:val="007D1F69"/>
    <w:rsid w:val="007D4F46"/>
    <w:rsid w:val="007D6D3B"/>
    <w:rsid w:val="007D7BF9"/>
    <w:rsid w:val="007E3C41"/>
    <w:rsid w:val="007E52A7"/>
    <w:rsid w:val="007E5937"/>
    <w:rsid w:val="007F00BA"/>
    <w:rsid w:val="007F5840"/>
    <w:rsid w:val="007F59CD"/>
    <w:rsid w:val="007F6A3A"/>
    <w:rsid w:val="007F7C98"/>
    <w:rsid w:val="00800716"/>
    <w:rsid w:val="008020CA"/>
    <w:rsid w:val="008054EA"/>
    <w:rsid w:val="00810A4C"/>
    <w:rsid w:val="00810B5D"/>
    <w:rsid w:val="0081439D"/>
    <w:rsid w:val="008144B0"/>
    <w:rsid w:val="00814F3A"/>
    <w:rsid w:val="00816238"/>
    <w:rsid w:val="00816538"/>
    <w:rsid w:val="00823A74"/>
    <w:rsid w:val="00825EC7"/>
    <w:rsid w:val="00831946"/>
    <w:rsid w:val="008330FB"/>
    <w:rsid w:val="008411BA"/>
    <w:rsid w:val="0084264D"/>
    <w:rsid w:val="00843991"/>
    <w:rsid w:val="00844B1E"/>
    <w:rsid w:val="00846AE5"/>
    <w:rsid w:val="008516C9"/>
    <w:rsid w:val="00852B0D"/>
    <w:rsid w:val="008547D9"/>
    <w:rsid w:val="00854E2D"/>
    <w:rsid w:val="0086340F"/>
    <w:rsid w:val="00863E35"/>
    <w:rsid w:val="00865996"/>
    <w:rsid w:val="00865F22"/>
    <w:rsid w:val="00866CC1"/>
    <w:rsid w:val="00873712"/>
    <w:rsid w:val="00873D60"/>
    <w:rsid w:val="00877E13"/>
    <w:rsid w:val="008814A6"/>
    <w:rsid w:val="00881D64"/>
    <w:rsid w:val="00883DD6"/>
    <w:rsid w:val="00886BCF"/>
    <w:rsid w:val="00892E59"/>
    <w:rsid w:val="0089761D"/>
    <w:rsid w:val="008A051E"/>
    <w:rsid w:val="008A0C28"/>
    <w:rsid w:val="008A27C0"/>
    <w:rsid w:val="008A2877"/>
    <w:rsid w:val="008A3015"/>
    <w:rsid w:val="008A68C0"/>
    <w:rsid w:val="008A6C71"/>
    <w:rsid w:val="008A7116"/>
    <w:rsid w:val="008B096A"/>
    <w:rsid w:val="008B437E"/>
    <w:rsid w:val="008B6600"/>
    <w:rsid w:val="008B7B99"/>
    <w:rsid w:val="008C4588"/>
    <w:rsid w:val="008C4DCD"/>
    <w:rsid w:val="008D14B1"/>
    <w:rsid w:val="008D42FF"/>
    <w:rsid w:val="008D5B0C"/>
    <w:rsid w:val="008E4B17"/>
    <w:rsid w:val="008F3196"/>
    <w:rsid w:val="008F5F8B"/>
    <w:rsid w:val="008F6B5B"/>
    <w:rsid w:val="00902418"/>
    <w:rsid w:val="00910B63"/>
    <w:rsid w:val="00913C26"/>
    <w:rsid w:val="0091436C"/>
    <w:rsid w:val="00921AF0"/>
    <w:rsid w:val="00921E78"/>
    <w:rsid w:val="0092243C"/>
    <w:rsid w:val="00922AE1"/>
    <w:rsid w:val="00922B5E"/>
    <w:rsid w:val="0093056E"/>
    <w:rsid w:val="00931E57"/>
    <w:rsid w:val="00934DA7"/>
    <w:rsid w:val="009368A7"/>
    <w:rsid w:val="009404AB"/>
    <w:rsid w:val="009405F2"/>
    <w:rsid w:val="00940871"/>
    <w:rsid w:val="0094196A"/>
    <w:rsid w:val="00943415"/>
    <w:rsid w:val="00944533"/>
    <w:rsid w:val="00946EA9"/>
    <w:rsid w:val="00951506"/>
    <w:rsid w:val="00955188"/>
    <w:rsid w:val="009568A4"/>
    <w:rsid w:val="00961043"/>
    <w:rsid w:val="00976135"/>
    <w:rsid w:val="00977083"/>
    <w:rsid w:val="0097750D"/>
    <w:rsid w:val="009806E7"/>
    <w:rsid w:val="009854EB"/>
    <w:rsid w:val="00990447"/>
    <w:rsid w:val="00990D9F"/>
    <w:rsid w:val="009914DD"/>
    <w:rsid w:val="00991AA7"/>
    <w:rsid w:val="009926E1"/>
    <w:rsid w:val="00993C39"/>
    <w:rsid w:val="00995AD0"/>
    <w:rsid w:val="00995FFF"/>
    <w:rsid w:val="009971BD"/>
    <w:rsid w:val="009A0296"/>
    <w:rsid w:val="009A44A4"/>
    <w:rsid w:val="009A570A"/>
    <w:rsid w:val="009A7D27"/>
    <w:rsid w:val="009B0145"/>
    <w:rsid w:val="009B1A3F"/>
    <w:rsid w:val="009B207A"/>
    <w:rsid w:val="009B311C"/>
    <w:rsid w:val="009B67C5"/>
    <w:rsid w:val="009B73A5"/>
    <w:rsid w:val="009B73C7"/>
    <w:rsid w:val="009C19BB"/>
    <w:rsid w:val="009C3DE1"/>
    <w:rsid w:val="009C65C8"/>
    <w:rsid w:val="009C6F97"/>
    <w:rsid w:val="009C79BD"/>
    <w:rsid w:val="009D00ED"/>
    <w:rsid w:val="009D0841"/>
    <w:rsid w:val="009D2435"/>
    <w:rsid w:val="009D2C0A"/>
    <w:rsid w:val="009D3B21"/>
    <w:rsid w:val="009D46D8"/>
    <w:rsid w:val="009D7616"/>
    <w:rsid w:val="009D7B4F"/>
    <w:rsid w:val="009E096B"/>
    <w:rsid w:val="009E1C52"/>
    <w:rsid w:val="009E79FA"/>
    <w:rsid w:val="009F084F"/>
    <w:rsid w:val="009F0CA4"/>
    <w:rsid w:val="009F5EA4"/>
    <w:rsid w:val="00A00A05"/>
    <w:rsid w:val="00A04B3F"/>
    <w:rsid w:val="00A05BFC"/>
    <w:rsid w:val="00A05D9F"/>
    <w:rsid w:val="00A13D7E"/>
    <w:rsid w:val="00A15E85"/>
    <w:rsid w:val="00A206D2"/>
    <w:rsid w:val="00A20FA5"/>
    <w:rsid w:val="00A21F6C"/>
    <w:rsid w:val="00A2408D"/>
    <w:rsid w:val="00A2581F"/>
    <w:rsid w:val="00A267B5"/>
    <w:rsid w:val="00A27B70"/>
    <w:rsid w:val="00A31872"/>
    <w:rsid w:val="00A338DB"/>
    <w:rsid w:val="00A33E0D"/>
    <w:rsid w:val="00A3516D"/>
    <w:rsid w:val="00A366E3"/>
    <w:rsid w:val="00A4156A"/>
    <w:rsid w:val="00A42CD4"/>
    <w:rsid w:val="00A44488"/>
    <w:rsid w:val="00A458AF"/>
    <w:rsid w:val="00A47E2F"/>
    <w:rsid w:val="00A500BF"/>
    <w:rsid w:val="00A502A4"/>
    <w:rsid w:val="00A55E98"/>
    <w:rsid w:val="00A5695A"/>
    <w:rsid w:val="00A610D7"/>
    <w:rsid w:val="00A63C44"/>
    <w:rsid w:val="00A6460A"/>
    <w:rsid w:val="00A71E2D"/>
    <w:rsid w:val="00A73012"/>
    <w:rsid w:val="00A746D5"/>
    <w:rsid w:val="00A773D0"/>
    <w:rsid w:val="00A819CB"/>
    <w:rsid w:val="00A8302D"/>
    <w:rsid w:val="00A83108"/>
    <w:rsid w:val="00A84C79"/>
    <w:rsid w:val="00A865CD"/>
    <w:rsid w:val="00A86E1E"/>
    <w:rsid w:val="00A87786"/>
    <w:rsid w:val="00A87A64"/>
    <w:rsid w:val="00A91122"/>
    <w:rsid w:val="00A9141B"/>
    <w:rsid w:val="00A92B3D"/>
    <w:rsid w:val="00A92DC1"/>
    <w:rsid w:val="00A94720"/>
    <w:rsid w:val="00A952A8"/>
    <w:rsid w:val="00AA1EFA"/>
    <w:rsid w:val="00AA4111"/>
    <w:rsid w:val="00AA5C4D"/>
    <w:rsid w:val="00AA5D85"/>
    <w:rsid w:val="00AB1016"/>
    <w:rsid w:val="00AB329A"/>
    <w:rsid w:val="00AB5233"/>
    <w:rsid w:val="00AB5EAE"/>
    <w:rsid w:val="00AC0E9B"/>
    <w:rsid w:val="00AC3219"/>
    <w:rsid w:val="00AC3288"/>
    <w:rsid w:val="00AC5C90"/>
    <w:rsid w:val="00AC6CA5"/>
    <w:rsid w:val="00AD2FFE"/>
    <w:rsid w:val="00AD461D"/>
    <w:rsid w:val="00AD6722"/>
    <w:rsid w:val="00AD7CC4"/>
    <w:rsid w:val="00AF0DD4"/>
    <w:rsid w:val="00AF11BE"/>
    <w:rsid w:val="00AF18E0"/>
    <w:rsid w:val="00AF1EF7"/>
    <w:rsid w:val="00AF310E"/>
    <w:rsid w:val="00AF343E"/>
    <w:rsid w:val="00B010AB"/>
    <w:rsid w:val="00B07CA8"/>
    <w:rsid w:val="00B16A55"/>
    <w:rsid w:val="00B16B55"/>
    <w:rsid w:val="00B16EA5"/>
    <w:rsid w:val="00B214FA"/>
    <w:rsid w:val="00B21A5D"/>
    <w:rsid w:val="00B23FCA"/>
    <w:rsid w:val="00B26204"/>
    <w:rsid w:val="00B2779D"/>
    <w:rsid w:val="00B41D83"/>
    <w:rsid w:val="00B42AF2"/>
    <w:rsid w:val="00B43B5F"/>
    <w:rsid w:val="00B462D5"/>
    <w:rsid w:val="00B54F68"/>
    <w:rsid w:val="00B55224"/>
    <w:rsid w:val="00B55F12"/>
    <w:rsid w:val="00B5639D"/>
    <w:rsid w:val="00B61683"/>
    <w:rsid w:val="00B621AE"/>
    <w:rsid w:val="00B63549"/>
    <w:rsid w:val="00B644A1"/>
    <w:rsid w:val="00B6563D"/>
    <w:rsid w:val="00B67935"/>
    <w:rsid w:val="00B701D0"/>
    <w:rsid w:val="00B7053E"/>
    <w:rsid w:val="00B72BB3"/>
    <w:rsid w:val="00B75653"/>
    <w:rsid w:val="00B756E2"/>
    <w:rsid w:val="00B76450"/>
    <w:rsid w:val="00B77814"/>
    <w:rsid w:val="00B77C5C"/>
    <w:rsid w:val="00B80D48"/>
    <w:rsid w:val="00B80D93"/>
    <w:rsid w:val="00B8244D"/>
    <w:rsid w:val="00B82963"/>
    <w:rsid w:val="00B868B2"/>
    <w:rsid w:val="00B868F7"/>
    <w:rsid w:val="00B87C71"/>
    <w:rsid w:val="00B87FC1"/>
    <w:rsid w:val="00B90C08"/>
    <w:rsid w:val="00B90C56"/>
    <w:rsid w:val="00B930ED"/>
    <w:rsid w:val="00B97F17"/>
    <w:rsid w:val="00BA19AF"/>
    <w:rsid w:val="00BA3FCA"/>
    <w:rsid w:val="00BA4448"/>
    <w:rsid w:val="00BA4C0D"/>
    <w:rsid w:val="00BA6AF0"/>
    <w:rsid w:val="00BA6BEF"/>
    <w:rsid w:val="00BB58A2"/>
    <w:rsid w:val="00BC0183"/>
    <w:rsid w:val="00BC5103"/>
    <w:rsid w:val="00BC5F43"/>
    <w:rsid w:val="00BC604F"/>
    <w:rsid w:val="00BC613A"/>
    <w:rsid w:val="00BC62FF"/>
    <w:rsid w:val="00BC7FF6"/>
    <w:rsid w:val="00BD7E8A"/>
    <w:rsid w:val="00BE0B47"/>
    <w:rsid w:val="00BE21C2"/>
    <w:rsid w:val="00BF1357"/>
    <w:rsid w:val="00BF32AF"/>
    <w:rsid w:val="00BF4D17"/>
    <w:rsid w:val="00C01C4A"/>
    <w:rsid w:val="00C01F0A"/>
    <w:rsid w:val="00C0430D"/>
    <w:rsid w:val="00C0558F"/>
    <w:rsid w:val="00C068F2"/>
    <w:rsid w:val="00C114DC"/>
    <w:rsid w:val="00C130E2"/>
    <w:rsid w:val="00C15B1F"/>
    <w:rsid w:val="00C16325"/>
    <w:rsid w:val="00C17561"/>
    <w:rsid w:val="00C1787D"/>
    <w:rsid w:val="00C20496"/>
    <w:rsid w:val="00C22112"/>
    <w:rsid w:val="00C24E5C"/>
    <w:rsid w:val="00C264BB"/>
    <w:rsid w:val="00C302E4"/>
    <w:rsid w:val="00C32395"/>
    <w:rsid w:val="00C33DC2"/>
    <w:rsid w:val="00C33F09"/>
    <w:rsid w:val="00C3571B"/>
    <w:rsid w:val="00C35956"/>
    <w:rsid w:val="00C418BA"/>
    <w:rsid w:val="00C43881"/>
    <w:rsid w:val="00C43BF4"/>
    <w:rsid w:val="00C47E64"/>
    <w:rsid w:val="00C50031"/>
    <w:rsid w:val="00C50CEA"/>
    <w:rsid w:val="00C528F6"/>
    <w:rsid w:val="00C5423C"/>
    <w:rsid w:val="00C55582"/>
    <w:rsid w:val="00C57C17"/>
    <w:rsid w:val="00C65E65"/>
    <w:rsid w:val="00C668D6"/>
    <w:rsid w:val="00C66B75"/>
    <w:rsid w:val="00C6718B"/>
    <w:rsid w:val="00C71078"/>
    <w:rsid w:val="00C7230C"/>
    <w:rsid w:val="00C75899"/>
    <w:rsid w:val="00C80381"/>
    <w:rsid w:val="00C812C8"/>
    <w:rsid w:val="00C8178A"/>
    <w:rsid w:val="00C81978"/>
    <w:rsid w:val="00C81AD8"/>
    <w:rsid w:val="00C83E3A"/>
    <w:rsid w:val="00C8799A"/>
    <w:rsid w:val="00C87FF3"/>
    <w:rsid w:val="00C91E49"/>
    <w:rsid w:val="00C93D60"/>
    <w:rsid w:val="00C943ED"/>
    <w:rsid w:val="00CA121B"/>
    <w:rsid w:val="00CA1990"/>
    <w:rsid w:val="00CA37B6"/>
    <w:rsid w:val="00CA5F85"/>
    <w:rsid w:val="00CB092F"/>
    <w:rsid w:val="00CB0BE2"/>
    <w:rsid w:val="00CB5167"/>
    <w:rsid w:val="00CB7440"/>
    <w:rsid w:val="00CB7AB2"/>
    <w:rsid w:val="00CC16E8"/>
    <w:rsid w:val="00CC451C"/>
    <w:rsid w:val="00CE358D"/>
    <w:rsid w:val="00CE7EAA"/>
    <w:rsid w:val="00CF129D"/>
    <w:rsid w:val="00CF19A4"/>
    <w:rsid w:val="00CF2DEF"/>
    <w:rsid w:val="00CF423C"/>
    <w:rsid w:val="00D027F6"/>
    <w:rsid w:val="00D03D25"/>
    <w:rsid w:val="00D04D65"/>
    <w:rsid w:val="00D10F68"/>
    <w:rsid w:val="00D11ED2"/>
    <w:rsid w:val="00D123C1"/>
    <w:rsid w:val="00D12508"/>
    <w:rsid w:val="00D1585E"/>
    <w:rsid w:val="00D16ED0"/>
    <w:rsid w:val="00D2168C"/>
    <w:rsid w:val="00D22102"/>
    <w:rsid w:val="00D24ABD"/>
    <w:rsid w:val="00D26B26"/>
    <w:rsid w:val="00D26B68"/>
    <w:rsid w:val="00D27456"/>
    <w:rsid w:val="00D31CFA"/>
    <w:rsid w:val="00D33DCE"/>
    <w:rsid w:val="00D41EB2"/>
    <w:rsid w:val="00D43D5F"/>
    <w:rsid w:val="00D464F7"/>
    <w:rsid w:val="00D466C3"/>
    <w:rsid w:val="00D46FF2"/>
    <w:rsid w:val="00D63243"/>
    <w:rsid w:val="00D72406"/>
    <w:rsid w:val="00D7273B"/>
    <w:rsid w:val="00D7456F"/>
    <w:rsid w:val="00D74B30"/>
    <w:rsid w:val="00D75734"/>
    <w:rsid w:val="00D764E7"/>
    <w:rsid w:val="00D767E3"/>
    <w:rsid w:val="00D76D2E"/>
    <w:rsid w:val="00D7734A"/>
    <w:rsid w:val="00D77BA1"/>
    <w:rsid w:val="00D810E1"/>
    <w:rsid w:val="00D83516"/>
    <w:rsid w:val="00D837A3"/>
    <w:rsid w:val="00D84A12"/>
    <w:rsid w:val="00D85EE7"/>
    <w:rsid w:val="00D866A2"/>
    <w:rsid w:val="00D90A67"/>
    <w:rsid w:val="00D9365A"/>
    <w:rsid w:val="00D93BBF"/>
    <w:rsid w:val="00D93D67"/>
    <w:rsid w:val="00D94552"/>
    <w:rsid w:val="00D94CFE"/>
    <w:rsid w:val="00D9563B"/>
    <w:rsid w:val="00DA1327"/>
    <w:rsid w:val="00DA4D93"/>
    <w:rsid w:val="00DA4E3A"/>
    <w:rsid w:val="00DA503D"/>
    <w:rsid w:val="00DA78A9"/>
    <w:rsid w:val="00DB13BA"/>
    <w:rsid w:val="00DB2E7C"/>
    <w:rsid w:val="00DB3D60"/>
    <w:rsid w:val="00DB4E8E"/>
    <w:rsid w:val="00DC1026"/>
    <w:rsid w:val="00DC2CAB"/>
    <w:rsid w:val="00DC2E8D"/>
    <w:rsid w:val="00DC3104"/>
    <w:rsid w:val="00DC3D58"/>
    <w:rsid w:val="00DC428E"/>
    <w:rsid w:val="00DD2CB1"/>
    <w:rsid w:val="00DD375A"/>
    <w:rsid w:val="00DD3AEF"/>
    <w:rsid w:val="00DD7D4C"/>
    <w:rsid w:val="00DE137B"/>
    <w:rsid w:val="00DE3098"/>
    <w:rsid w:val="00DF246B"/>
    <w:rsid w:val="00DF3322"/>
    <w:rsid w:val="00DF3357"/>
    <w:rsid w:val="00DF4222"/>
    <w:rsid w:val="00DF4F0F"/>
    <w:rsid w:val="00DF56DD"/>
    <w:rsid w:val="00DF6241"/>
    <w:rsid w:val="00E02352"/>
    <w:rsid w:val="00E02B9F"/>
    <w:rsid w:val="00E04062"/>
    <w:rsid w:val="00E06534"/>
    <w:rsid w:val="00E12345"/>
    <w:rsid w:val="00E12759"/>
    <w:rsid w:val="00E1638E"/>
    <w:rsid w:val="00E20659"/>
    <w:rsid w:val="00E223BD"/>
    <w:rsid w:val="00E22D05"/>
    <w:rsid w:val="00E22ED3"/>
    <w:rsid w:val="00E23E55"/>
    <w:rsid w:val="00E24379"/>
    <w:rsid w:val="00E2491E"/>
    <w:rsid w:val="00E257A3"/>
    <w:rsid w:val="00E30ED6"/>
    <w:rsid w:val="00E37524"/>
    <w:rsid w:val="00E44798"/>
    <w:rsid w:val="00E44B4A"/>
    <w:rsid w:val="00E450F1"/>
    <w:rsid w:val="00E46A2D"/>
    <w:rsid w:val="00E56E0C"/>
    <w:rsid w:val="00E57B01"/>
    <w:rsid w:val="00E611E5"/>
    <w:rsid w:val="00E6121B"/>
    <w:rsid w:val="00E61997"/>
    <w:rsid w:val="00E64698"/>
    <w:rsid w:val="00E6533F"/>
    <w:rsid w:val="00E65C70"/>
    <w:rsid w:val="00E66CB1"/>
    <w:rsid w:val="00E67076"/>
    <w:rsid w:val="00E67459"/>
    <w:rsid w:val="00E73F3C"/>
    <w:rsid w:val="00E74918"/>
    <w:rsid w:val="00E74B1A"/>
    <w:rsid w:val="00E82CB0"/>
    <w:rsid w:val="00E82EA1"/>
    <w:rsid w:val="00E83A75"/>
    <w:rsid w:val="00E85289"/>
    <w:rsid w:val="00E86E9E"/>
    <w:rsid w:val="00E91703"/>
    <w:rsid w:val="00E93673"/>
    <w:rsid w:val="00EA179F"/>
    <w:rsid w:val="00EA17C7"/>
    <w:rsid w:val="00EA2709"/>
    <w:rsid w:val="00EA2EDD"/>
    <w:rsid w:val="00EA5799"/>
    <w:rsid w:val="00EA5EC1"/>
    <w:rsid w:val="00EA616F"/>
    <w:rsid w:val="00EB189D"/>
    <w:rsid w:val="00EB2AFC"/>
    <w:rsid w:val="00EB478D"/>
    <w:rsid w:val="00EC18AA"/>
    <w:rsid w:val="00EC3B88"/>
    <w:rsid w:val="00EC3D21"/>
    <w:rsid w:val="00EC4D2A"/>
    <w:rsid w:val="00EC7358"/>
    <w:rsid w:val="00EC74C5"/>
    <w:rsid w:val="00EC7926"/>
    <w:rsid w:val="00ED183B"/>
    <w:rsid w:val="00ED4231"/>
    <w:rsid w:val="00ED5965"/>
    <w:rsid w:val="00ED5CEB"/>
    <w:rsid w:val="00EE788C"/>
    <w:rsid w:val="00EF000A"/>
    <w:rsid w:val="00EF14AE"/>
    <w:rsid w:val="00EF5017"/>
    <w:rsid w:val="00EF5562"/>
    <w:rsid w:val="00EF5750"/>
    <w:rsid w:val="00EF5BE6"/>
    <w:rsid w:val="00F005D3"/>
    <w:rsid w:val="00F01DF1"/>
    <w:rsid w:val="00F06173"/>
    <w:rsid w:val="00F13BD1"/>
    <w:rsid w:val="00F14E68"/>
    <w:rsid w:val="00F156D4"/>
    <w:rsid w:val="00F1584A"/>
    <w:rsid w:val="00F15D59"/>
    <w:rsid w:val="00F22708"/>
    <w:rsid w:val="00F2480B"/>
    <w:rsid w:val="00F26EF5"/>
    <w:rsid w:val="00F2717E"/>
    <w:rsid w:val="00F30A97"/>
    <w:rsid w:val="00F32004"/>
    <w:rsid w:val="00F335DC"/>
    <w:rsid w:val="00F336FB"/>
    <w:rsid w:val="00F337AC"/>
    <w:rsid w:val="00F4119E"/>
    <w:rsid w:val="00F4125D"/>
    <w:rsid w:val="00F41C9C"/>
    <w:rsid w:val="00F435BB"/>
    <w:rsid w:val="00F436A1"/>
    <w:rsid w:val="00F43B1F"/>
    <w:rsid w:val="00F44BEC"/>
    <w:rsid w:val="00F4678E"/>
    <w:rsid w:val="00F46B89"/>
    <w:rsid w:val="00F46F65"/>
    <w:rsid w:val="00F509FA"/>
    <w:rsid w:val="00F51871"/>
    <w:rsid w:val="00F550AA"/>
    <w:rsid w:val="00F56230"/>
    <w:rsid w:val="00F57D0D"/>
    <w:rsid w:val="00F60B78"/>
    <w:rsid w:val="00F62ACB"/>
    <w:rsid w:val="00F634A0"/>
    <w:rsid w:val="00F712C2"/>
    <w:rsid w:val="00F7130D"/>
    <w:rsid w:val="00F76FC2"/>
    <w:rsid w:val="00F81203"/>
    <w:rsid w:val="00F82D8A"/>
    <w:rsid w:val="00F86361"/>
    <w:rsid w:val="00F939E7"/>
    <w:rsid w:val="00F93EC7"/>
    <w:rsid w:val="00FA4FFE"/>
    <w:rsid w:val="00FA5A19"/>
    <w:rsid w:val="00FA7572"/>
    <w:rsid w:val="00FB2242"/>
    <w:rsid w:val="00FB3FA6"/>
    <w:rsid w:val="00FB6A1C"/>
    <w:rsid w:val="00FB6FA2"/>
    <w:rsid w:val="00FC0647"/>
    <w:rsid w:val="00FD0A3C"/>
    <w:rsid w:val="00FD2B94"/>
    <w:rsid w:val="00FD2F89"/>
    <w:rsid w:val="00FD3010"/>
    <w:rsid w:val="00FD6AC7"/>
    <w:rsid w:val="00FD751E"/>
    <w:rsid w:val="00FE1D2A"/>
    <w:rsid w:val="00FE3D80"/>
    <w:rsid w:val="00FE5DD0"/>
    <w:rsid w:val="00FE5EA7"/>
    <w:rsid w:val="00FF09CD"/>
    <w:rsid w:val="00FF1E44"/>
    <w:rsid w:val="00FF349F"/>
    <w:rsid w:val="00FF3E79"/>
    <w:rsid w:val="00FF514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2EA5AE"/>
  <w14:defaultImageDpi w14:val="330"/>
  <w15:chartTrackingRefBased/>
  <w15:docId w15:val="{2E5FB62F-6AF5-40C9-B995-9DEBD723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171"/>
    <w:rPr>
      <w:rFonts w:ascii="Arial" w:hAnsi="Arial"/>
    </w:rPr>
  </w:style>
  <w:style w:type="paragraph" w:styleId="Heading1">
    <w:name w:val="heading 1"/>
    <w:basedOn w:val="Normal"/>
    <w:next w:val="Normal"/>
    <w:link w:val="Heading1Char"/>
    <w:uiPriority w:val="9"/>
    <w:qFormat/>
    <w:rsid w:val="009D7B4F"/>
    <w:pPr>
      <w:outlineLvl w:val="0"/>
    </w:pPr>
    <w:rPr>
      <w:rFonts w:cs="Arial"/>
      <w:bCs/>
      <w:color w:val="004A82"/>
      <w:sz w:val="52"/>
      <w:szCs w:val="44"/>
      <w:lang w:eastAsia="en-AU"/>
    </w:rPr>
  </w:style>
  <w:style w:type="paragraph" w:styleId="Heading2">
    <w:name w:val="heading 2"/>
    <w:basedOn w:val="Normal"/>
    <w:next w:val="Normal"/>
    <w:link w:val="Heading2Char"/>
    <w:uiPriority w:val="9"/>
    <w:unhideWhenUsed/>
    <w:qFormat/>
    <w:rsid w:val="00B462D5"/>
    <w:pPr>
      <w:spacing w:before="360" w:after="120"/>
      <w:outlineLvl w:val="1"/>
    </w:pPr>
    <w:rPr>
      <w:rFonts w:cs="Arial"/>
      <w:b/>
      <w:color w:val="0070C4"/>
      <w:sz w:val="36"/>
      <w:szCs w:val="40"/>
    </w:rPr>
  </w:style>
  <w:style w:type="paragraph" w:styleId="Heading3">
    <w:name w:val="heading 3"/>
    <w:basedOn w:val="Normal"/>
    <w:next w:val="Normal"/>
    <w:link w:val="Heading3Char"/>
    <w:uiPriority w:val="9"/>
    <w:unhideWhenUsed/>
    <w:qFormat/>
    <w:rsid w:val="00B462D5"/>
    <w:pPr>
      <w:spacing w:before="240"/>
      <w:outlineLvl w:val="2"/>
    </w:pPr>
    <w:rPr>
      <w:rFonts w:cs="Arial"/>
      <w:b/>
      <w:bCs/>
      <w:sz w:val="28"/>
      <w:szCs w:val="28"/>
    </w:rPr>
  </w:style>
  <w:style w:type="paragraph" w:styleId="Heading4">
    <w:name w:val="heading 4"/>
    <w:basedOn w:val="Heading3"/>
    <w:next w:val="Normal"/>
    <w:link w:val="Heading4Char"/>
    <w:uiPriority w:val="9"/>
    <w:unhideWhenUsed/>
    <w:qFormat/>
    <w:rsid w:val="00153766"/>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B5D"/>
    <w:pPr>
      <w:ind w:left="720"/>
      <w:contextualSpacing/>
    </w:pPr>
  </w:style>
  <w:style w:type="paragraph" w:styleId="Revision">
    <w:name w:val="Revision"/>
    <w:hidden/>
    <w:uiPriority w:val="99"/>
    <w:semiHidden/>
    <w:rsid w:val="00DA503D"/>
    <w:pPr>
      <w:spacing w:after="0" w:line="240" w:lineRule="auto"/>
    </w:pPr>
  </w:style>
  <w:style w:type="character" w:customStyle="1" w:styleId="Heading1Char">
    <w:name w:val="Heading 1 Char"/>
    <w:basedOn w:val="DefaultParagraphFont"/>
    <w:link w:val="Heading1"/>
    <w:uiPriority w:val="9"/>
    <w:rsid w:val="009D7B4F"/>
    <w:rPr>
      <w:rFonts w:ascii="Arial" w:hAnsi="Arial" w:cs="Arial"/>
      <w:bCs/>
      <w:color w:val="004A82"/>
      <w:sz w:val="52"/>
      <w:szCs w:val="44"/>
      <w:lang w:eastAsia="en-AU"/>
    </w:rPr>
  </w:style>
  <w:style w:type="character" w:customStyle="1" w:styleId="Heading2Char">
    <w:name w:val="Heading 2 Char"/>
    <w:basedOn w:val="DefaultParagraphFont"/>
    <w:link w:val="Heading2"/>
    <w:uiPriority w:val="9"/>
    <w:rsid w:val="00B462D5"/>
    <w:rPr>
      <w:rFonts w:ascii="Arial" w:hAnsi="Arial" w:cs="Arial"/>
      <w:b/>
      <w:color w:val="0070C4"/>
      <w:sz w:val="36"/>
      <w:szCs w:val="40"/>
    </w:rPr>
  </w:style>
  <w:style w:type="character" w:customStyle="1" w:styleId="Heading3Char">
    <w:name w:val="Heading 3 Char"/>
    <w:basedOn w:val="DefaultParagraphFont"/>
    <w:link w:val="Heading3"/>
    <w:uiPriority w:val="9"/>
    <w:rsid w:val="00B462D5"/>
    <w:rPr>
      <w:rFonts w:ascii="Arial" w:hAnsi="Arial" w:cs="Arial"/>
      <w:b/>
      <w:bCs/>
      <w:sz w:val="28"/>
      <w:szCs w:val="28"/>
    </w:rPr>
  </w:style>
  <w:style w:type="character" w:customStyle="1" w:styleId="Heading4Char">
    <w:name w:val="Heading 4 Char"/>
    <w:basedOn w:val="DefaultParagraphFont"/>
    <w:link w:val="Heading4"/>
    <w:uiPriority w:val="9"/>
    <w:rsid w:val="00153766"/>
    <w:rPr>
      <w:rFonts w:ascii="Arial" w:hAnsi="Arial" w:cs="Arial"/>
      <w:b/>
      <w:bCs/>
      <w:sz w:val="24"/>
      <w:szCs w:val="24"/>
    </w:rPr>
  </w:style>
  <w:style w:type="paragraph" w:styleId="Header">
    <w:name w:val="header"/>
    <w:basedOn w:val="Normal"/>
    <w:link w:val="HeaderChar"/>
    <w:uiPriority w:val="99"/>
    <w:unhideWhenUsed/>
    <w:rsid w:val="00153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766"/>
  </w:style>
  <w:style w:type="paragraph" w:styleId="Footer">
    <w:name w:val="footer"/>
    <w:basedOn w:val="Normal"/>
    <w:link w:val="FooterChar"/>
    <w:uiPriority w:val="99"/>
    <w:unhideWhenUsed/>
    <w:rsid w:val="00153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766"/>
  </w:style>
  <w:style w:type="character" w:styleId="CommentReference">
    <w:name w:val="annotation reference"/>
    <w:basedOn w:val="DefaultParagraphFont"/>
    <w:uiPriority w:val="99"/>
    <w:semiHidden/>
    <w:unhideWhenUsed/>
    <w:rsid w:val="00575BA7"/>
    <w:rPr>
      <w:sz w:val="16"/>
      <w:szCs w:val="16"/>
    </w:rPr>
  </w:style>
  <w:style w:type="paragraph" w:styleId="CommentText">
    <w:name w:val="annotation text"/>
    <w:basedOn w:val="Normal"/>
    <w:link w:val="CommentTextChar"/>
    <w:uiPriority w:val="99"/>
    <w:unhideWhenUsed/>
    <w:rsid w:val="00575BA7"/>
    <w:pPr>
      <w:spacing w:line="240" w:lineRule="auto"/>
    </w:pPr>
    <w:rPr>
      <w:sz w:val="20"/>
      <w:szCs w:val="20"/>
    </w:rPr>
  </w:style>
  <w:style w:type="character" w:customStyle="1" w:styleId="CommentTextChar">
    <w:name w:val="Comment Text Char"/>
    <w:basedOn w:val="DefaultParagraphFont"/>
    <w:link w:val="CommentText"/>
    <w:uiPriority w:val="99"/>
    <w:rsid w:val="00575BA7"/>
    <w:rPr>
      <w:sz w:val="20"/>
      <w:szCs w:val="20"/>
    </w:rPr>
  </w:style>
  <w:style w:type="paragraph" w:styleId="CommentSubject">
    <w:name w:val="annotation subject"/>
    <w:basedOn w:val="CommentText"/>
    <w:next w:val="CommentText"/>
    <w:link w:val="CommentSubjectChar"/>
    <w:uiPriority w:val="99"/>
    <w:semiHidden/>
    <w:unhideWhenUsed/>
    <w:rsid w:val="00575BA7"/>
    <w:rPr>
      <w:b/>
      <w:bCs/>
    </w:rPr>
  </w:style>
  <w:style w:type="character" w:customStyle="1" w:styleId="CommentSubjectChar">
    <w:name w:val="Comment Subject Char"/>
    <w:basedOn w:val="CommentTextChar"/>
    <w:link w:val="CommentSubject"/>
    <w:uiPriority w:val="99"/>
    <w:semiHidden/>
    <w:rsid w:val="00575BA7"/>
    <w:rPr>
      <w:b/>
      <w:bCs/>
      <w:sz w:val="20"/>
      <w:szCs w:val="20"/>
    </w:rPr>
  </w:style>
  <w:style w:type="character" w:styleId="Hyperlink">
    <w:name w:val="Hyperlink"/>
    <w:basedOn w:val="DefaultParagraphFont"/>
    <w:uiPriority w:val="99"/>
    <w:unhideWhenUsed/>
    <w:rsid w:val="00575BA7"/>
    <w:rPr>
      <w:color w:val="0563C1" w:themeColor="hyperlink"/>
      <w:u w:val="single"/>
    </w:rPr>
  </w:style>
  <w:style w:type="character" w:customStyle="1" w:styleId="UnresolvedMention1">
    <w:name w:val="Unresolved Mention1"/>
    <w:basedOn w:val="DefaultParagraphFont"/>
    <w:uiPriority w:val="99"/>
    <w:semiHidden/>
    <w:unhideWhenUsed/>
    <w:rsid w:val="00575BA7"/>
    <w:rPr>
      <w:color w:val="605E5C"/>
      <w:shd w:val="clear" w:color="auto" w:fill="E1DFDD"/>
    </w:rPr>
  </w:style>
  <w:style w:type="paragraph" w:styleId="FootnoteText">
    <w:name w:val="footnote text"/>
    <w:basedOn w:val="Normal"/>
    <w:link w:val="FootnoteTextChar"/>
    <w:uiPriority w:val="99"/>
    <w:semiHidden/>
    <w:unhideWhenUsed/>
    <w:rsid w:val="00E57B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7B01"/>
    <w:rPr>
      <w:sz w:val="20"/>
      <w:szCs w:val="20"/>
    </w:rPr>
  </w:style>
  <w:style w:type="character" w:styleId="FootnoteReference">
    <w:name w:val="footnote reference"/>
    <w:basedOn w:val="DefaultParagraphFont"/>
    <w:uiPriority w:val="99"/>
    <w:semiHidden/>
    <w:unhideWhenUsed/>
    <w:rsid w:val="00E57B01"/>
    <w:rPr>
      <w:vertAlign w:val="superscript"/>
    </w:rPr>
  </w:style>
  <w:style w:type="paragraph" w:styleId="BalloonText">
    <w:name w:val="Balloon Text"/>
    <w:basedOn w:val="Normal"/>
    <w:link w:val="BalloonTextChar"/>
    <w:uiPriority w:val="99"/>
    <w:semiHidden/>
    <w:unhideWhenUsed/>
    <w:rsid w:val="001E2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70B"/>
    <w:rPr>
      <w:rFonts w:ascii="Segoe UI" w:hAnsi="Segoe UI" w:cs="Segoe UI"/>
      <w:sz w:val="18"/>
      <w:szCs w:val="18"/>
    </w:rPr>
  </w:style>
  <w:style w:type="character" w:customStyle="1" w:styleId="ui-provider">
    <w:name w:val="ui-provider"/>
    <w:basedOn w:val="DefaultParagraphFont"/>
  </w:style>
  <w:style w:type="paragraph" w:styleId="Bibliography">
    <w:name w:val="Bibliography"/>
    <w:basedOn w:val="Normal"/>
    <w:next w:val="Normal"/>
    <w:uiPriority w:val="37"/>
    <w:unhideWhenUsed/>
    <w:rsid w:val="00C7230C"/>
  </w:style>
  <w:style w:type="character" w:styleId="FollowedHyperlink">
    <w:name w:val="FollowedHyperlink"/>
    <w:basedOn w:val="DefaultParagraphFont"/>
    <w:uiPriority w:val="99"/>
    <w:semiHidden/>
    <w:unhideWhenUsed/>
    <w:rsid w:val="008814A6"/>
    <w:rPr>
      <w:color w:val="954F72" w:themeColor="followedHyperlink"/>
      <w:u w:val="single"/>
    </w:rPr>
  </w:style>
  <w:style w:type="paragraph" w:styleId="Title">
    <w:name w:val="Title"/>
    <w:basedOn w:val="Normal"/>
    <w:next w:val="Normal"/>
    <w:link w:val="TitleChar"/>
    <w:uiPriority w:val="10"/>
    <w:qFormat/>
    <w:rsid w:val="00BA3FCA"/>
    <w:pPr>
      <w:spacing w:after="240"/>
      <w:contextualSpacing/>
    </w:pPr>
    <w:rPr>
      <w:rFonts w:eastAsiaTheme="majorEastAsia" w:cstheme="majorBidi"/>
      <w:color w:val="000000" w:themeColor="text1"/>
      <w:spacing w:val="-10"/>
      <w:kern w:val="28"/>
      <w:sz w:val="48"/>
      <w:szCs w:val="56"/>
    </w:rPr>
  </w:style>
  <w:style w:type="character" w:customStyle="1" w:styleId="TitleChar">
    <w:name w:val="Title Char"/>
    <w:basedOn w:val="DefaultParagraphFont"/>
    <w:link w:val="Title"/>
    <w:uiPriority w:val="10"/>
    <w:rsid w:val="00BA3FCA"/>
    <w:rPr>
      <w:rFonts w:ascii="Arial" w:eastAsiaTheme="majorEastAsia" w:hAnsi="Arial" w:cstheme="majorBidi"/>
      <w:color w:val="000000" w:themeColor="text1"/>
      <w:spacing w:val="-10"/>
      <w:kern w:val="28"/>
      <w:sz w:val="48"/>
      <w:szCs w:val="56"/>
    </w:rPr>
  </w:style>
  <w:style w:type="paragraph" w:customStyle="1" w:styleId="Bulletlevel1">
    <w:name w:val="Bullet level 1"/>
    <w:basedOn w:val="Normal"/>
    <w:link w:val="Bulletlevel1Char"/>
    <w:qFormat/>
    <w:rsid w:val="00162AD8"/>
    <w:pPr>
      <w:numPr>
        <w:numId w:val="22"/>
      </w:numPr>
      <w:spacing w:after="120"/>
      <w:ind w:left="568" w:hanging="284"/>
    </w:pPr>
    <w:rPr>
      <w:rFonts w:eastAsiaTheme="minorEastAsia"/>
    </w:rPr>
  </w:style>
  <w:style w:type="paragraph" w:customStyle="1" w:styleId="BulletLevel2">
    <w:name w:val="Bullet Level 2"/>
    <w:basedOn w:val="Bulletlevel1"/>
    <w:qFormat/>
    <w:rsid w:val="008E4B17"/>
    <w:pPr>
      <w:numPr>
        <w:ilvl w:val="1"/>
      </w:numPr>
      <w:ind w:left="1021" w:hanging="284"/>
    </w:pPr>
  </w:style>
  <w:style w:type="character" w:customStyle="1" w:styleId="Bulletlevel1Char">
    <w:name w:val="Bullet level 1 Char"/>
    <w:basedOn w:val="DefaultParagraphFont"/>
    <w:link w:val="Bulletlevel1"/>
    <w:rsid w:val="00162AD8"/>
    <w:rPr>
      <w:rFonts w:ascii="Arial" w:eastAsiaTheme="minorEastAsia" w:hAnsi="Arial"/>
    </w:rPr>
  </w:style>
  <w:style w:type="paragraph" w:customStyle="1" w:styleId="OrderedList">
    <w:name w:val="Ordered List"/>
    <w:basedOn w:val="Bulletlevel1"/>
    <w:qFormat/>
    <w:rsid w:val="008E4B17"/>
    <w:pPr>
      <w:numPr>
        <w:numId w:val="24"/>
      </w:numPr>
      <w:ind w:left="641" w:hanging="357"/>
    </w:pPr>
  </w:style>
  <w:style w:type="table" w:styleId="TableGrid">
    <w:name w:val="Table Grid"/>
    <w:basedOn w:val="TableNormal"/>
    <w:uiPriority w:val="39"/>
    <w:rsid w:val="00A502A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lusionheadingH2">
    <w:name w:val="Conclusion heading H2"/>
    <w:basedOn w:val="Heading2"/>
    <w:link w:val="ConclusionheadingH2Char"/>
    <w:rsid w:val="00A502A4"/>
    <w:pPr>
      <w:keepNext/>
      <w:keepLines/>
      <w:spacing w:before="40" w:after="40" w:line="240" w:lineRule="auto"/>
      <w:ind w:left="568" w:hanging="284"/>
    </w:pPr>
    <w:rPr>
      <w:rFonts w:asciiTheme="majorHAnsi" w:eastAsiaTheme="majorEastAsia" w:hAnsiTheme="majorHAnsi" w:cstheme="majorBidi"/>
      <w:sz w:val="24"/>
      <w:szCs w:val="32"/>
    </w:rPr>
  </w:style>
  <w:style w:type="character" w:customStyle="1" w:styleId="ConclusionheadingH2Char">
    <w:name w:val="Conclusion heading H2 Char"/>
    <w:basedOn w:val="Heading2Char"/>
    <w:link w:val="ConclusionheadingH2"/>
    <w:rsid w:val="00A502A4"/>
    <w:rPr>
      <w:rFonts w:asciiTheme="majorHAnsi" w:eastAsiaTheme="majorEastAsia" w:hAnsiTheme="majorHAnsi" w:cstheme="majorBidi"/>
      <w:b/>
      <w:color w:val="0070C4"/>
      <w:sz w:val="24"/>
      <w:szCs w:val="32"/>
    </w:rPr>
  </w:style>
  <w:style w:type="paragraph" w:customStyle="1" w:styleId="Definitiontableparagraph">
    <w:name w:val="Definition table paragraph"/>
    <w:basedOn w:val="Normal"/>
    <w:qFormat/>
    <w:rsid w:val="00A63C44"/>
    <w:pPr>
      <w:spacing w:after="120" w:line="276" w:lineRule="auto"/>
    </w:pPr>
    <w:rPr>
      <w:rFonts w:eastAsiaTheme="minorEastAsia"/>
    </w:rPr>
  </w:style>
  <w:style w:type="paragraph" w:customStyle="1" w:styleId="Definitiontableheading">
    <w:name w:val="Definition table heading"/>
    <w:basedOn w:val="Heading4"/>
    <w:qFormat/>
    <w:rsid w:val="00E30ED6"/>
    <w:pPr>
      <w:spacing w:after="60" w:line="240" w:lineRule="auto"/>
    </w:pPr>
    <w:rPr>
      <w:rFonts w:eastAsiaTheme="minorEastAsia"/>
      <w:sz w:val="28"/>
    </w:rPr>
  </w:style>
  <w:style w:type="paragraph" w:customStyle="1" w:styleId="Recommendationheading">
    <w:name w:val="Recommendation heading"/>
    <w:basedOn w:val="Heading3"/>
    <w:qFormat/>
    <w:rsid w:val="007824B5"/>
    <w:pPr>
      <w:spacing w:after="60"/>
    </w:pPr>
    <w:rPr>
      <w:rFonts w:ascii="Arial Bold" w:hAnsi="Arial Bold"/>
      <w:color w:val="004A82"/>
    </w:rPr>
  </w:style>
  <w:style w:type="paragraph" w:customStyle="1" w:styleId="Recommendationindexheading">
    <w:name w:val="Recommendation index heading"/>
    <w:basedOn w:val="Heading2"/>
    <w:qFormat/>
    <w:rsid w:val="00A6460A"/>
    <w:pPr>
      <w:spacing w:before="240" w:after="60"/>
    </w:pPr>
    <w:rPr>
      <w:color w:val="auto"/>
      <w:sz w:val="24"/>
    </w:rPr>
  </w:style>
  <w:style w:type="paragraph" w:styleId="Subtitle">
    <w:name w:val="Subtitle"/>
    <w:basedOn w:val="Normal"/>
    <w:next w:val="Normal"/>
    <w:link w:val="SubtitleChar"/>
    <w:uiPriority w:val="11"/>
    <w:qFormat/>
    <w:rsid w:val="00FD0A3C"/>
    <w:pPr>
      <w:numPr>
        <w:ilvl w:val="1"/>
      </w:numPr>
      <w:spacing w:before="40"/>
    </w:pPr>
    <w:rPr>
      <w:rFonts w:eastAsiaTheme="minorEastAsia"/>
      <w:color w:val="000000" w:themeColor="text1"/>
      <w:sz w:val="40"/>
    </w:rPr>
  </w:style>
  <w:style w:type="character" w:customStyle="1" w:styleId="SubtitleChar">
    <w:name w:val="Subtitle Char"/>
    <w:basedOn w:val="DefaultParagraphFont"/>
    <w:link w:val="Subtitle"/>
    <w:uiPriority w:val="11"/>
    <w:rsid w:val="00FD0A3C"/>
    <w:rPr>
      <w:rFonts w:ascii="Arial" w:eastAsiaTheme="minorEastAsia" w:hAnsi="Arial"/>
      <w:color w:val="000000" w:themeColor="text1"/>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2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ao.gov.au/work/performance-audit/procurement-delivery-partners-the-entrepreneurs-programme" TargetMode="External"/><Relationship Id="rId18" Type="http://schemas.openxmlformats.org/officeDocument/2006/relationships/hyperlink" Target="https://www.smh.com.au/politics/federal/bill-shorten-orders-review-into-deals-linked-to-stuart-robert-20221124-p5c11w.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heguardian.com/australia-news/2022/dec/01/bill-shorten-orders-review-into-stuart-robert-lobbying-scandal-claims" TargetMode="External"/><Relationship Id="rId7" Type="http://schemas.openxmlformats.org/officeDocument/2006/relationships/endnotes" Target="endnotes.xml"/><Relationship Id="rId12" Type="http://schemas.openxmlformats.org/officeDocument/2006/relationships/hyperlink" Target="https://www.anao.gov.au/work/performance-audit/procurement-the-national-capital-authority" TargetMode="External"/><Relationship Id="rId17" Type="http://schemas.openxmlformats.org/officeDocument/2006/relationships/hyperlink" Target="https://www.smh.com.au/national/senior-coalition-mp-stuart-robert-gave-secret-advice-to-lobbyists-20221123-p5c0kg.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mc.gov.au/publications/independent-review-australian-public-service" TargetMode="External"/><Relationship Id="rId20" Type="http://schemas.openxmlformats.org/officeDocument/2006/relationships/hyperlink" Target="https://www.smh.com.au/politics/federal/stuart-robert-denies-pressuring-officials-over-leaked-emails-20221201-p5c2p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ministers.treasury.gov.au/ministers/julie-collins-2022/media-releases/better-deal-australian-businesses-under-commonwealth" TargetMode="External"/><Relationship Id="rId5" Type="http://schemas.openxmlformats.org/officeDocument/2006/relationships/webSettings" Target="webSettings.xml"/><Relationship Id="rId15" Type="http://schemas.openxmlformats.org/officeDocument/2006/relationships/hyperlink" Target="https://www.canberratimes.com.au/story/7993942/mp-roberts-lobbying-contract-links-probed/)." TargetMode="External"/><Relationship Id="rId23" Type="http://schemas.openxmlformats.org/officeDocument/2006/relationships/hyperlink" Target="https://thenewdaily.com.au/news/politics/2022/11/24/stuart-robert-connection-revealed/" TargetMode="External"/><Relationship Id="rId10" Type="http://schemas.openxmlformats.org/officeDocument/2006/relationships/image" Target="media/image3.png"/><Relationship Id="rId19" Type="http://schemas.openxmlformats.org/officeDocument/2006/relationships/hyperlink" Target="https://www.smh.com.au/politics/federal/leaked-files-reveal-meetings-with-minister-over-contracts-20221130-p5c2g9.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psc.gov.au/initiatives-and-programs/aps-professional-streams" TargetMode="External"/><Relationship Id="rId22" Type="http://schemas.openxmlformats.org/officeDocument/2006/relationships/hyperlink" Target="https://www.theguardian.com/australia-news/2022/nov/24/labor-orders-investigation-into-government-contracts-linked-to-stuart-robert"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heguardian.com/australia-news/2022/dec/01/bill-shorten-orders-review-into-stuart-robert-lobbying-scandal-claims)" TargetMode="External"/><Relationship Id="rId13" Type="http://schemas.openxmlformats.org/officeDocument/2006/relationships/hyperlink" Target="https://ministers.treasury.gov.au/ministers/julie-collins-2022/media-releases/better-deal-australian-businesses-under-commonwealth" TargetMode="External"/><Relationship Id="rId3" Type="http://schemas.openxmlformats.org/officeDocument/2006/relationships/hyperlink" Target="https://www.smh.com.au/politics/federal/bill-shorten-orders-review-into-deals-linked-to-stuart-robert-20221124-p5c11w.html" TargetMode="External"/><Relationship Id="rId7" Type="http://schemas.openxmlformats.org/officeDocument/2006/relationships/hyperlink" Target="https://www.theguardian.com/australia-news/2022/nov/24/labor-orders-investigation-into-government-contracts-linked-to-stuart-robert" TargetMode="External"/><Relationship Id="rId12" Type="http://schemas.openxmlformats.org/officeDocument/2006/relationships/hyperlink" Target="https://www.apsc.gov.au/initiatives-and-programs/aps-professional-streams" TargetMode="External"/><Relationship Id="rId2" Type="http://schemas.openxmlformats.org/officeDocument/2006/relationships/hyperlink" Target="https://www.smh.com.au/national/senior-coalition-mp-stuart-robert-gave-secret-advice-to-lobbyists-20221123-p5c0kg.html)" TargetMode="External"/><Relationship Id="rId1" Type="http://schemas.openxmlformats.org/officeDocument/2006/relationships/hyperlink" Target="https://www.canberratimes.com.au/story/7993942/mp-roberts-lobbying-contract-links-probed/)." TargetMode="External"/><Relationship Id="rId6" Type="http://schemas.openxmlformats.org/officeDocument/2006/relationships/hyperlink" Target="https://thenewdaily.com.au/news/politics/2022/11/24/stuart-robert-connection-revealed/" TargetMode="External"/><Relationship Id="rId11" Type="http://schemas.openxmlformats.org/officeDocument/2006/relationships/hyperlink" Target="https://www.pmc.gov.au/publications/independent-review-australian-public-service" TargetMode="External"/><Relationship Id="rId5" Type="http://schemas.openxmlformats.org/officeDocument/2006/relationships/hyperlink" Target="https://www.smh.com.au/politics/federal/stuart-robert-denies-pressuring-officials-over-leaked-emails-20221201-p5c2py.html)" TargetMode="External"/><Relationship Id="rId10" Type="http://schemas.openxmlformats.org/officeDocument/2006/relationships/hyperlink" Target="https://www.anao.gov.au/work/performance-audit/procurement-the-national-capital-authority" TargetMode="External"/><Relationship Id="rId4" Type="http://schemas.openxmlformats.org/officeDocument/2006/relationships/hyperlink" Target="https://www.smh.com.au/politics/federal/leaked-files-reveal-meetings-with-minister-over-contracts-20221130-p5c2g9.html" TargetMode="External"/><Relationship Id="rId9" Type="http://schemas.openxmlformats.org/officeDocument/2006/relationships/hyperlink" Target="https://www.anao.gov.au/work/performance-audit/procurement-delivery-partners-the-entrepreneurs-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92068-536B-4441-9817-FC2BBD60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25</Pages>
  <Words>8392</Words>
  <Characters>47835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Independent Review of Services Australia and NDIA Procurement and Contracting: Independent Reviewer’s Report</vt:lpstr>
    </vt:vector>
  </TitlesOfParts>
  <Company>Australian Government</Company>
  <LinksUpToDate>false</LinksUpToDate>
  <CharactersWithSpaces>56115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Services Australia and NDIA Procurement and Contracting: Independent Reviewer’s Report</dc:title>
  <dc:subject/>
  <dc:creator>Dr I. J. Watt AC</dc:creator>
  <cp:keywords/>
  <dc:description/>
  <cp:lastModifiedBy>Daniels, Karen</cp:lastModifiedBy>
  <cp:revision>4</cp:revision>
  <cp:lastPrinted>2023-03-06T01:12:00Z</cp:lastPrinted>
  <dcterms:created xsi:type="dcterms:W3CDTF">2024-03-21T23:14:00Z</dcterms:created>
  <dcterms:modified xsi:type="dcterms:W3CDTF">2024-03-22T03:04:00Z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2023-02-10T02:18:06Z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a70c9eb1-25ac-421c-bf83-28f72e5d5b60</vt:lpwstr>
  </property>
  <property fmtid="{D5CDD505-2E9C-101B-9397-08002B2CF9AE}" pid="8" name="MSIP_Label_2b83f8d7-e91f-4eee-a336-52a8061c0503_ContentBits">
    <vt:lpwstr>0</vt:lpwstr>
  </property>
</Properties>
</file>