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49CFF" w14:textId="77777777" w:rsidR="00D4415B" w:rsidRDefault="00D4415B" w:rsidP="00C876E0">
      <w:pPr>
        <w:pStyle w:val="Heading2"/>
      </w:pPr>
      <w:r w:rsidRPr="00D4415B">
        <w:t>Australian Pension News</w:t>
      </w:r>
    </w:p>
    <w:p w14:paraId="6453BF21" w14:textId="30F5482B" w:rsidR="00D4415B" w:rsidRPr="005E3821" w:rsidRDefault="00D4415B" w:rsidP="00D4415B">
      <w:pPr>
        <w:pStyle w:val="BodyText"/>
        <w:rPr>
          <w:b/>
          <w:bCs/>
        </w:rPr>
      </w:pPr>
      <w:r w:rsidRPr="005E3821">
        <w:rPr>
          <w:b/>
          <w:bCs/>
        </w:rPr>
        <w:t>Issue 48</w:t>
      </w:r>
    </w:p>
    <w:p w14:paraId="2860055B" w14:textId="7C3ED6D5" w:rsidR="00104911" w:rsidRDefault="00104911" w:rsidP="00C876E0">
      <w:pPr>
        <w:pStyle w:val="Heading2"/>
      </w:pPr>
      <w:r>
        <w:t>Is having a Centrelink nominee still working well for you?</w:t>
      </w:r>
    </w:p>
    <w:p w14:paraId="06BA36F9" w14:textId="77777777" w:rsidR="00104911" w:rsidRDefault="00104911" w:rsidP="00D4415B">
      <w:pPr>
        <w:pStyle w:val="BodyText"/>
      </w:pPr>
      <w:r>
        <w:t>You may have a person or organisation who deals with Centrelink on your behalf. This may be something you set up a long time ago. You can view your nominee arrangement online. You can also end your nominee arrangement at any time online or by calling us.</w:t>
      </w:r>
    </w:p>
    <w:p w14:paraId="30DBA9CD" w14:textId="662DD131" w:rsidR="00104911" w:rsidRDefault="00104911" w:rsidP="00D4415B">
      <w:pPr>
        <w:pStyle w:val="BodyText"/>
      </w:pPr>
      <w:r>
        <w:t xml:space="preserve">There are </w:t>
      </w:r>
      <w:r w:rsidR="00C87FCE">
        <w:t>2</w:t>
      </w:r>
      <w:r>
        <w:t xml:space="preserve"> types of nominee arrangements you may have:</w:t>
      </w:r>
    </w:p>
    <w:p w14:paraId="760DF1EA" w14:textId="77777777" w:rsidR="00104911" w:rsidRPr="0075432E" w:rsidRDefault="00104911" w:rsidP="0075432E">
      <w:pPr>
        <w:pStyle w:val="ListBullet"/>
      </w:pPr>
      <w:r w:rsidRPr="0075432E">
        <w:t xml:space="preserve">a </w:t>
      </w:r>
      <w:r w:rsidRPr="0075432E">
        <w:rPr>
          <w:b/>
          <w:bCs/>
        </w:rPr>
        <w:t>payment nominee</w:t>
      </w:r>
      <w:r w:rsidRPr="0075432E">
        <w:t xml:space="preserve"> who gets your Centrelink payments for you</w:t>
      </w:r>
    </w:p>
    <w:p w14:paraId="1006930D" w14:textId="77777777" w:rsidR="00104911" w:rsidRPr="0075432E" w:rsidRDefault="00104911" w:rsidP="0075432E">
      <w:pPr>
        <w:pStyle w:val="ListBullet"/>
      </w:pPr>
      <w:r w:rsidRPr="0075432E">
        <w:t xml:space="preserve">a </w:t>
      </w:r>
      <w:r w:rsidRPr="0075432E">
        <w:rPr>
          <w:b/>
          <w:bCs/>
        </w:rPr>
        <w:t>correspondence nominee</w:t>
      </w:r>
      <w:r w:rsidRPr="0075432E">
        <w:t xml:space="preserve"> who can act for you.</w:t>
      </w:r>
    </w:p>
    <w:p w14:paraId="674402B5" w14:textId="77777777" w:rsidR="00104911" w:rsidRDefault="00104911" w:rsidP="00D4415B">
      <w:pPr>
        <w:pStyle w:val="BodyText"/>
      </w:pPr>
      <w:r>
        <w:t xml:space="preserve">You may even have both types of nominee arrangements. </w:t>
      </w:r>
    </w:p>
    <w:p w14:paraId="3728C14E" w14:textId="77777777" w:rsidR="00104911" w:rsidRDefault="00104911" w:rsidP="00D4415B">
      <w:pPr>
        <w:pStyle w:val="BodyText"/>
      </w:pPr>
      <w:r>
        <w:t>Your payment nominee needs to:</w:t>
      </w:r>
    </w:p>
    <w:p w14:paraId="318CA83A" w14:textId="77777777" w:rsidR="00104911" w:rsidRDefault="00104911" w:rsidP="00D4415B">
      <w:pPr>
        <w:pStyle w:val="ListBullet"/>
      </w:pPr>
      <w:r>
        <w:t>use your Centrelink payments only for your benefit</w:t>
      </w:r>
    </w:p>
    <w:p w14:paraId="7C1E7935" w14:textId="77777777" w:rsidR="00104911" w:rsidRDefault="00104911" w:rsidP="00D4415B">
      <w:pPr>
        <w:pStyle w:val="ListBullet"/>
      </w:pPr>
      <w:r>
        <w:t>keep records on how they spend the money.</w:t>
      </w:r>
    </w:p>
    <w:p w14:paraId="381CD2AD" w14:textId="77777777" w:rsidR="00104911" w:rsidRDefault="00104911" w:rsidP="00D4415B">
      <w:pPr>
        <w:pStyle w:val="BodyText"/>
      </w:pPr>
      <w:r>
        <w:t>Your correspondence nominee can:</w:t>
      </w:r>
    </w:p>
    <w:p w14:paraId="44CB0A65" w14:textId="77777777" w:rsidR="00104911" w:rsidRDefault="00104911" w:rsidP="00D4415B">
      <w:pPr>
        <w:pStyle w:val="ListBullet"/>
      </w:pPr>
      <w:r>
        <w:t>ask us questions about your payments or services</w:t>
      </w:r>
    </w:p>
    <w:p w14:paraId="3C5A8C79" w14:textId="77777777" w:rsidR="00104911" w:rsidRDefault="00104911" w:rsidP="00D4415B">
      <w:pPr>
        <w:pStyle w:val="ListBullet"/>
      </w:pPr>
      <w:r>
        <w:t xml:space="preserve">tell us about changes to your circumstances </w:t>
      </w:r>
    </w:p>
    <w:p w14:paraId="78CBD83E" w14:textId="77777777" w:rsidR="00104911" w:rsidRDefault="00104911" w:rsidP="00D4415B">
      <w:pPr>
        <w:pStyle w:val="ListBullet"/>
      </w:pPr>
      <w:r>
        <w:t xml:space="preserve">respond to requests for information </w:t>
      </w:r>
    </w:p>
    <w:p w14:paraId="3F33BE01" w14:textId="77777777" w:rsidR="00104911" w:rsidRDefault="00104911" w:rsidP="00D4415B">
      <w:pPr>
        <w:pStyle w:val="ListBullet"/>
      </w:pPr>
      <w:r>
        <w:t>attend appointments on your behalf, if appropriate</w:t>
      </w:r>
    </w:p>
    <w:p w14:paraId="3F0D1364" w14:textId="77777777" w:rsidR="00104911" w:rsidRDefault="00104911" w:rsidP="00D4415B">
      <w:pPr>
        <w:pStyle w:val="ListBullet"/>
      </w:pPr>
      <w:r>
        <w:t>complete and sign forms and statements</w:t>
      </w:r>
    </w:p>
    <w:p w14:paraId="73ADB3CC" w14:textId="77777777" w:rsidR="00104911" w:rsidRDefault="00104911" w:rsidP="00D4415B">
      <w:pPr>
        <w:pStyle w:val="ListBullet"/>
      </w:pPr>
      <w:r>
        <w:t>get copies of your letters</w:t>
      </w:r>
    </w:p>
    <w:p w14:paraId="69D79C75" w14:textId="77777777" w:rsidR="00104911" w:rsidRDefault="00104911" w:rsidP="00D4415B">
      <w:pPr>
        <w:pStyle w:val="ListBullet"/>
      </w:pPr>
      <w:r>
        <w:t>view and update your information online</w:t>
      </w:r>
    </w:p>
    <w:p w14:paraId="0F9A1E62" w14:textId="77777777" w:rsidR="00104911" w:rsidRDefault="00104911" w:rsidP="00D4415B">
      <w:pPr>
        <w:pStyle w:val="ListBullet"/>
      </w:pPr>
      <w:r>
        <w:t>claim payments and services for you.</w:t>
      </w:r>
    </w:p>
    <w:p w14:paraId="268C3BF7" w14:textId="77777777" w:rsidR="00104911" w:rsidRDefault="00104911" w:rsidP="00D4415B">
      <w:pPr>
        <w:pStyle w:val="BodyText"/>
      </w:pPr>
      <w:r>
        <w:t xml:space="preserve">When you have had a change in circumstances, you should consider if you still have the right level of support. We offer different types of arrangements that may suit you better. </w:t>
      </w:r>
    </w:p>
    <w:p w14:paraId="6CE54C91" w14:textId="77777777" w:rsidR="00104911" w:rsidRDefault="00104911" w:rsidP="00D4415B">
      <w:pPr>
        <w:pStyle w:val="BodyText"/>
      </w:pPr>
      <w:r>
        <w:t xml:space="preserve">You can talk to us if you feel your nominee is not acting in your best interests. </w:t>
      </w:r>
    </w:p>
    <w:p w14:paraId="312363AD" w14:textId="6D5942AE" w:rsidR="00104911" w:rsidRPr="0075432E" w:rsidRDefault="00D4415B" w:rsidP="00D4415B">
      <w:pPr>
        <w:pStyle w:val="BodyText"/>
        <w:rPr>
          <w:rFonts w:cs="Arial"/>
        </w:rPr>
      </w:pPr>
      <w:r>
        <w:t>If you want to cancel your Centrelink nominee arrangement, you can do that any time online or by calling us. Go t</w:t>
      </w:r>
      <w:r w:rsidRPr="0075432E">
        <w:t xml:space="preserve">o </w:t>
      </w:r>
      <w:hyperlink r:id="rId8" w:history="1">
        <w:r w:rsidRPr="0075432E">
          <w:rPr>
            <w:b/>
            <w:bCs/>
          </w:rPr>
          <w:t>servicesaustralia.gov.au/nominee</w:t>
        </w:r>
      </w:hyperlink>
    </w:p>
    <w:p w14:paraId="35B3B093" w14:textId="77777777" w:rsidR="00104911" w:rsidRDefault="00104911" w:rsidP="00C876E0">
      <w:pPr>
        <w:pStyle w:val="Heading2"/>
      </w:pPr>
      <w:r>
        <w:t>Proof of Life Certificate</w:t>
      </w:r>
    </w:p>
    <w:p w14:paraId="4989D13E" w14:textId="77777777" w:rsidR="00104911" w:rsidRDefault="00104911" w:rsidP="00D4415B">
      <w:pPr>
        <w:pStyle w:val="BodyText"/>
      </w:pPr>
      <w:r>
        <w:t xml:space="preserve">If you are older than 80 and live outside Australia, you may need to complete a Proof of Life Certificate to continue getting your Australian payment.  </w:t>
      </w:r>
    </w:p>
    <w:p w14:paraId="472D0932" w14:textId="77777777" w:rsidR="00104911" w:rsidRDefault="00104911" w:rsidP="00D4415B">
      <w:pPr>
        <w:pStyle w:val="BodyText"/>
      </w:pPr>
      <w:r>
        <w:t>When you get the certificate, you will need to:</w:t>
      </w:r>
    </w:p>
    <w:p w14:paraId="25C69C8E" w14:textId="77777777" w:rsidR="00104911" w:rsidRDefault="00104911" w:rsidP="00D4415B">
      <w:pPr>
        <w:pStyle w:val="ListBullet"/>
      </w:pPr>
      <w:r>
        <w:t>complete it</w:t>
      </w:r>
    </w:p>
    <w:p w14:paraId="4F70C1CF" w14:textId="77777777" w:rsidR="00104911" w:rsidRDefault="00104911" w:rsidP="00D4415B">
      <w:pPr>
        <w:pStyle w:val="ListBullet"/>
      </w:pPr>
      <w:r>
        <w:t>visit an authorised person and get it signed</w:t>
      </w:r>
    </w:p>
    <w:p w14:paraId="33C81451" w14:textId="77777777" w:rsidR="00104911" w:rsidRDefault="00104911" w:rsidP="00D4415B">
      <w:pPr>
        <w:pStyle w:val="ListBullet"/>
      </w:pPr>
      <w:r>
        <w:lastRenderedPageBreak/>
        <w:t xml:space="preserve">return the certificate to us by post by the due date. </w:t>
      </w:r>
    </w:p>
    <w:p w14:paraId="1DC03368" w14:textId="77777777" w:rsidR="00104911" w:rsidRDefault="00104911" w:rsidP="00D4415B">
      <w:pPr>
        <w:pStyle w:val="BodyText"/>
      </w:pPr>
      <w:r>
        <w:t xml:space="preserve">If you do not do this, your Australian payment may stop. </w:t>
      </w:r>
    </w:p>
    <w:p w14:paraId="7180D74C" w14:textId="77777777" w:rsidR="00104911" w:rsidRDefault="00104911" w:rsidP="00D4415B">
      <w:pPr>
        <w:pStyle w:val="BodyText"/>
      </w:pPr>
      <w:r>
        <w:t xml:space="preserve">Tell us if you cannot return your certificate by the due date so your payment can continue. We will then send you a letter with a new due date to give you more time to complete it. </w:t>
      </w:r>
    </w:p>
    <w:p w14:paraId="76D0797D" w14:textId="77777777" w:rsidR="00104911" w:rsidRDefault="00104911" w:rsidP="00D4415B">
      <w:pPr>
        <w:pStyle w:val="BodyText"/>
      </w:pPr>
      <w:r>
        <w:t>An authorised person can be one of the following:</w:t>
      </w:r>
    </w:p>
    <w:p w14:paraId="36D1AC6B" w14:textId="77777777" w:rsidR="00104911" w:rsidRDefault="00104911" w:rsidP="00D4415B">
      <w:pPr>
        <w:pStyle w:val="ListBullet"/>
      </w:pPr>
      <w:r>
        <w:t xml:space="preserve">lawyer, solicitor, barrister of a law court </w:t>
      </w:r>
    </w:p>
    <w:p w14:paraId="24D05007" w14:textId="77777777" w:rsidR="00104911" w:rsidRDefault="00104911" w:rsidP="00D4415B">
      <w:pPr>
        <w:pStyle w:val="ListBullet"/>
      </w:pPr>
      <w:r>
        <w:t>notary public</w:t>
      </w:r>
    </w:p>
    <w:p w14:paraId="669AD723" w14:textId="77777777" w:rsidR="00104911" w:rsidRDefault="00104911" w:rsidP="00D4415B">
      <w:pPr>
        <w:pStyle w:val="ListBullet"/>
      </w:pPr>
      <w:r>
        <w:t>Australian embassy, consular official, high commission</w:t>
      </w:r>
    </w:p>
    <w:p w14:paraId="5D3C3533" w14:textId="77777777" w:rsidR="00104911" w:rsidRDefault="00104911" w:rsidP="00D4415B">
      <w:pPr>
        <w:pStyle w:val="ListBullet"/>
      </w:pPr>
      <w:r>
        <w:t xml:space="preserve">medical practitioner or doctor </w:t>
      </w:r>
    </w:p>
    <w:p w14:paraId="69D1DD69" w14:textId="77777777" w:rsidR="00104911" w:rsidRDefault="00104911" w:rsidP="00D4415B">
      <w:pPr>
        <w:pStyle w:val="ListBullet"/>
      </w:pPr>
      <w:r>
        <w:t xml:space="preserve">police officer </w:t>
      </w:r>
    </w:p>
    <w:p w14:paraId="3327F6F6" w14:textId="77777777" w:rsidR="00104911" w:rsidRDefault="00104911" w:rsidP="00D4415B">
      <w:pPr>
        <w:pStyle w:val="ListBullet"/>
      </w:pPr>
      <w:r>
        <w:t>judge, magistrate of a law court</w:t>
      </w:r>
    </w:p>
    <w:p w14:paraId="1F3A11D6" w14:textId="77777777" w:rsidR="00104911" w:rsidRDefault="00104911" w:rsidP="00D4415B">
      <w:pPr>
        <w:pStyle w:val="ListBullet"/>
      </w:pPr>
      <w:r>
        <w:t>justice of the peace</w:t>
      </w:r>
    </w:p>
    <w:p w14:paraId="11CB09C0" w14:textId="77777777" w:rsidR="00104911" w:rsidRDefault="00104911" w:rsidP="00D4415B">
      <w:pPr>
        <w:pStyle w:val="ListBullet"/>
      </w:pPr>
      <w:r>
        <w:t xml:space="preserve">court registrar or court deputy registrar. </w:t>
      </w:r>
    </w:p>
    <w:p w14:paraId="3541B769" w14:textId="77777777" w:rsidR="00104911" w:rsidRDefault="00104911" w:rsidP="00D4415B">
      <w:pPr>
        <w:pStyle w:val="BodyText"/>
      </w:pPr>
      <w:r>
        <w:t xml:space="preserve">Please note the following people are </w:t>
      </w:r>
      <w:r w:rsidRPr="00D06212">
        <w:rPr>
          <w:b/>
          <w:bCs/>
        </w:rPr>
        <w:t>not</w:t>
      </w:r>
      <w:r>
        <w:t xml:space="preserve"> authorised to sign the form:</w:t>
      </w:r>
    </w:p>
    <w:p w14:paraId="3525F483" w14:textId="77777777" w:rsidR="00104911" w:rsidRDefault="00104911" w:rsidP="00D4415B">
      <w:pPr>
        <w:pStyle w:val="ListBullet"/>
      </w:pPr>
      <w:r>
        <w:t>a local municipality official</w:t>
      </w:r>
    </w:p>
    <w:p w14:paraId="0C22165E" w14:textId="77777777" w:rsidR="00104911" w:rsidRDefault="00104911" w:rsidP="00D4415B">
      <w:pPr>
        <w:pStyle w:val="ListBullet"/>
      </w:pPr>
      <w:r>
        <w:t>an employee of the local pension authority.</w:t>
      </w:r>
    </w:p>
    <w:p w14:paraId="12C0C049" w14:textId="77777777" w:rsidR="00104911" w:rsidRDefault="00104911" w:rsidP="00C876E0">
      <w:pPr>
        <w:pStyle w:val="Heading2"/>
      </w:pPr>
      <w:r>
        <w:t>Information about your payments</w:t>
      </w:r>
    </w:p>
    <w:p w14:paraId="079D6379" w14:textId="77777777" w:rsidR="00104911" w:rsidRDefault="00104911" w:rsidP="00D4415B">
      <w:pPr>
        <w:pStyle w:val="BodyText"/>
      </w:pPr>
      <w:r>
        <w:t>You will get 13 regular 4-weekly payments each year.</w:t>
      </w:r>
    </w:p>
    <w:tbl>
      <w:tblPr>
        <w:tblStyle w:val="TableGrid"/>
        <w:tblW w:w="0" w:type="auto"/>
        <w:tblLayout w:type="fixed"/>
        <w:tblLook w:val="0000" w:firstRow="0" w:lastRow="0" w:firstColumn="0" w:lastColumn="0" w:noHBand="0" w:noVBand="0"/>
        <w:tblCaption w:val="Information about your payments"/>
      </w:tblPr>
      <w:tblGrid>
        <w:gridCol w:w="2268"/>
        <w:gridCol w:w="2267"/>
        <w:gridCol w:w="2268"/>
        <w:gridCol w:w="3742"/>
      </w:tblGrid>
      <w:tr w:rsidR="00104911" w:rsidRPr="00D55C20" w14:paraId="158F6DDB" w14:textId="77777777" w:rsidTr="00C72EC8">
        <w:trPr>
          <w:trHeight w:val="566"/>
          <w:tblHeader/>
        </w:trPr>
        <w:tc>
          <w:tcPr>
            <w:tcW w:w="10545" w:type="dxa"/>
            <w:gridSpan w:val="4"/>
          </w:tcPr>
          <w:p w14:paraId="3BFDE037" w14:textId="77777777" w:rsidR="00104911" w:rsidRPr="006435E9" w:rsidRDefault="00104911" w:rsidP="006435E9">
            <w:pPr>
              <w:pStyle w:val="BodyText"/>
              <w:rPr>
                <w:b/>
                <w:bCs/>
              </w:rPr>
            </w:pPr>
            <w:r w:rsidRPr="006435E9">
              <w:rPr>
                <w:b/>
                <w:bCs/>
              </w:rPr>
              <w:t>4-weekly pension payment calendar – November 2023 to December 2024</w:t>
            </w:r>
          </w:p>
        </w:tc>
      </w:tr>
      <w:tr w:rsidR="00104911" w14:paraId="54C757DC" w14:textId="77777777" w:rsidTr="00C72EC8">
        <w:trPr>
          <w:trHeight w:val="636"/>
          <w:tblHeader/>
        </w:trPr>
        <w:tc>
          <w:tcPr>
            <w:tcW w:w="2268" w:type="dxa"/>
          </w:tcPr>
          <w:p w14:paraId="3A763629" w14:textId="77777777" w:rsidR="00104911" w:rsidRPr="006435E9" w:rsidRDefault="00104911" w:rsidP="006435E9">
            <w:pPr>
              <w:pStyle w:val="BodyText"/>
              <w:rPr>
                <w:b/>
                <w:bCs/>
              </w:rPr>
            </w:pPr>
            <w:r w:rsidRPr="006435E9">
              <w:rPr>
                <w:b/>
                <w:bCs/>
              </w:rPr>
              <w:t>Date we’ll issue your payment</w:t>
            </w:r>
          </w:p>
        </w:tc>
        <w:tc>
          <w:tcPr>
            <w:tcW w:w="2267" w:type="dxa"/>
          </w:tcPr>
          <w:p w14:paraId="6408A74C" w14:textId="77777777" w:rsidR="00104911" w:rsidRPr="006435E9" w:rsidRDefault="00104911" w:rsidP="006435E9">
            <w:pPr>
              <w:pStyle w:val="BodyText"/>
              <w:rPr>
                <w:b/>
                <w:bCs/>
              </w:rPr>
            </w:pPr>
            <w:r w:rsidRPr="006435E9">
              <w:rPr>
                <w:b/>
                <w:bCs/>
              </w:rPr>
              <w:t xml:space="preserve">Direct deposit customers should get payment by </w:t>
            </w:r>
          </w:p>
        </w:tc>
        <w:tc>
          <w:tcPr>
            <w:tcW w:w="2268" w:type="dxa"/>
          </w:tcPr>
          <w:p w14:paraId="3B06F7BC" w14:textId="77777777" w:rsidR="00104911" w:rsidRPr="006435E9" w:rsidRDefault="00104911" w:rsidP="006435E9">
            <w:pPr>
              <w:pStyle w:val="BodyText"/>
              <w:rPr>
                <w:b/>
                <w:bCs/>
              </w:rPr>
            </w:pPr>
            <w:r w:rsidRPr="006435E9">
              <w:rPr>
                <w:b/>
                <w:bCs/>
              </w:rPr>
              <w:t>Cheque customers should get payment by</w:t>
            </w:r>
          </w:p>
        </w:tc>
        <w:tc>
          <w:tcPr>
            <w:tcW w:w="3742" w:type="dxa"/>
          </w:tcPr>
          <w:p w14:paraId="155ABB12" w14:textId="77777777" w:rsidR="00104911" w:rsidRPr="006435E9" w:rsidRDefault="00104911" w:rsidP="006435E9">
            <w:pPr>
              <w:pStyle w:val="BodyText"/>
              <w:rPr>
                <w:b/>
                <w:bCs/>
              </w:rPr>
            </w:pPr>
            <w:r w:rsidRPr="006435E9">
              <w:rPr>
                <w:b/>
                <w:bCs/>
              </w:rPr>
              <w:t>Payment covers the period</w:t>
            </w:r>
          </w:p>
        </w:tc>
      </w:tr>
      <w:tr w:rsidR="00104911" w14:paraId="3683D1FD" w14:textId="77777777" w:rsidTr="00D4415B">
        <w:trPr>
          <w:trHeight w:val="439"/>
        </w:trPr>
        <w:tc>
          <w:tcPr>
            <w:tcW w:w="2268" w:type="dxa"/>
          </w:tcPr>
          <w:p w14:paraId="7E828735" w14:textId="77777777" w:rsidR="00104911" w:rsidRPr="00AE4F31" w:rsidRDefault="00104911" w:rsidP="00D55C20">
            <w:pPr>
              <w:pStyle w:val="BodyText"/>
              <w:rPr>
                <w:rFonts w:cs="Arial"/>
              </w:rPr>
            </w:pPr>
            <w:r w:rsidRPr="00AE4F31">
              <w:rPr>
                <w:rFonts w:cs="Arial"/>
              </w:rPr>
              <w:t>16 November 2023</w:t>
            </w:r>
          </w:p>
        </w:tc>
        <w:tc>
          <w:tcPr>
            <w:tcW w:w="2267" w:type="dxa"/>
          </w:tcPr>
          <w:p w14:paraId="7089F8DB" w14:textId="77777777" w:rsidR="00104911" w:rsidRPr="00AE4F31" w:rsidRDefault="00104911" w:rsidP="00D55C20">
            <w:pPr>
              <w:pStyle w:val="BodyText"/>
              <w:rPr>
                <w:rFonts w:cs="Arial"/>
              </w:rPr>
            </w:pPr>
            <w:r w:rsidRPr="00AE4F31">
              <w:rPr>
                <w:rFonts w:cs="Arial"/>
              </w:rPr>
              <w:t>22 November 2023</w:t>
            </w:r>
          </w:p>
        </w:tc>
        <w:tc>
          <w:tcPr>
            <w:tcW w:w="2268" w:type="dxa"/>
          </w:tcPr>
          <w:p w14:paraId="781CEC75" w14:textId="77777777" w:rsidR="00104911" w:rsidRPr="00AE4F31" w:rsidRDefault="00104911" w:rsidP="00D55C20">
            <w:pPr>
              <w:pStyle w:val="BodyText"/>
              <w:rPr>
                <w:rFonts w:cs="Arial"/>
              </w:rPr>
            </w:pPr>
            <w:r w:rsidRPr="00AE4F31">
              <w:rPr>
                <w:rFonts w:cs="Arial"/>
              </w:rPr>
              <w:t>6 December 2023</w:t>
            </w:r>
          </w:p>
        </w:tc>
        <w:tc>
          <w:tcPr>
            <w:tcW w:w="3742" w:type="dxa"/>
          </w:tcPr>
          <w:p w14:paraId="08A82AEF" w14:textId="77777777" w:rsidR="00104911" w:rsidRPr="00AE4F31" w:rsidRDefault="00104911" w:rsidP="00D55C20">
            <w:pPr>
              <w:pStyle w:val="BodyText"/>
              <w:rPr>
                <w:rFonts w:cs="Arial"/>
              </w:rPr>
            </w:pPr>
            <w:r w:rsidRPr="00AE4F31">
              <w:rPr>
                <w:rFonts w:cs="Arial"/>
              </w:rPr>
              <w:t>19 October to 15 November 2023</w:t>
            </w:r>
          </w:p>
        </w:tc>
      </w:tr>
      <w:tr w:rsidR="00104911" w14:paraId="7CE84595" w14:textId="77777777" w:rsidTr="00D4415B">
        <w:trPr>
          <w:trHeight w:val="439"/>
        </w:trPr>
        <w:tc>
          <w:tcPr>
            <w:tcW w:w="2268" w:type="dxa"/>
          </w:tcPr>
          <w:p w14:paraId="7A1BB577" w14:textId="77777777" w:rsidR="00104911" w:rsidRPr="00AE4F31" w:rsidRDefault="00104911" w:rsidP="00D55C20">
            <w:pPr>
              <w:pStyle w:val="BodyText"/>
              <w:rPr>
                <w:rFonts w:cs="Arial"/>
              </w:rPr>
            </w:pPr>
            <w:r w:rsidRPr="00AE4F31">
              <w:rPr>
                <w:rFonts w:cs="Arial"/>
              </w:rPr>
              <w:t>14 December 2023</w:t>
            </w:r>
          </w:p>
        </w:tc>
        <w:tc>
          <w:tcPr>
            <w:tcW w:w="2267" w:type="dxa"/>
          </w:tcPr>
          <w:p w14:paraId="140D9F47" w14:textId="77777777" w:rsidR="00104911" w:rsidRPr="00AE4F31" w:rsidRDefault="00104911" w:rsidP="00D55C20">
            <w:pPr>
              <w:pStyle w:val="BodyText"/>
              <w:rPr>
                <w:rFonts w:cs="Arial"/>
              </w:rPr>
            </w:pPr>
            <w:r w:rsidRPr="00AE4F31">
              <w:rPr>
                <w:rFonts w:cs="Arial"/>
              </w:rPr>
              <w:t>20 December 2023</w:t>
            </w:r>
          </w:p>
        </w:tc>
        <w:tc>
          <w:tcPr>
            <w:tcW w:w="2268" w:type="dxa"/>
          </w:tcPr>
          <w:p w14:paraId="69A422CF" w14:textId="77777777" w:rsidR="00104911" w:rsidRPr="00AE4F31" w:rsidRDefault="00104911" w:rsidP="00D55C20">
            <w:pPr>
              <w:pStyle w:val="BodyText"/>
              <w:rPr>
                <w:rFonts w:cs="Arial"/>
              </w:rPr>
            </w:pPr>
            <w:r w:rsidRPr="00AE4F31">
              <w:rPr>
                <w:rFonts w:cs="Arial"/>
              </w:rPr>
              <w:t>3 January 2024</w:t>
            </w:r>
          </w:p>
        </w:tc>
        <w:tc>
          <w:tcPr>
            <w:tcW w:w="3742" w:type="dxa"/>
          </w:tcPr>
          <w:p w14:paraId="58D84BFE" w14:textId="77777777" w:rsidR="00104911" w:rsidRPr="00AE4F31" w:rsidRDefault="00104911" w:rsidP="00D55C20">
            <w:pPr>
              <w:pStyle w:val="BodyText"/>
              <w:rPr>
                <w:rFonts w:cs="Arial"/>
              </w:rPr>
            </w:pPr>
            <w:r w:rsidRPr="00AE4F31">
              <w:rPr>
                <w:rFonts w:cs="Arial"/>
              </w:rPr>
              <w:t>16 November to 13 December 2023</w:t>
            </w:r>
          </w:p>
        </w:tc>
      </w:tr>
      <w:tr w:rsidR="00104911" w14:paraId="39DBAB99" w14:textId="77777777" w:rsidTr="00D4415B">
        <w:trPr>
          <w:trHeight w:val="439"/>
        </w:trPr>
        <w:tc>
          <w:tcPr>
            <w:tcW w:w="2268" w:type="dxa"/>
          </w:tcPr>
          <w:p w14:paraId="75C25E0F" w14:textId="77777777" w:rsidR="00104911" w:rsidRPr="00AE4F31" w:rsidRDefault="00104911" w:rsidP="00D55C20">
            <w:pPr>
              <w:pStyle w:val="BodyText"/>
              <w:rPr>
                <w:rFonts w:cs="Arial"/>
              </w:rPr>
            </w:pPr>
            <w:r w:rsidRPr="00AE4F31">
              <w:rPr>
                <w:rFonts w:cs="Arial"/>
              </w:rPr>
              <w:t>11 January 2024</w:t>
            </w:r>
          </w:p>
        </w:tc>
        <w:tc>
          <w:tcPr>
            <w:tcW w:w="2267" w:type="dxa"/>
          </w:tcPr>
          <w:p w14:paraId="3C9F6C3F" w14:textId="77777777" w:rsidR="00104911" w:rsidRPr="00AE4F31" w:rsidRDefault="00104911" w:rsidP="00D55C20">
            <w:pPr>
              <w:pStyle w:val="BodyText"/>
              <w:rPr>
                <w:rFonts w:cs="Arial"/>
              </w:rPr>
            </w:pPr>
            <w:r w:rsidRPr="00AE4F31">
              <w:rPr>
                <w:rFonts w:cs="Arial"/>
              </w:rPr>
              <w:t>17 January 2024</w:t>
            </w:r>
          </w:p>
        </w:tc>
        <w:tc>
          <w:tcPr>
            <w:tcW w:w="2268" w:type="dxa"/>
          </w:tcPr>
          <w:p w14:paraId="4B087E09" w14:textId="77777777" w:rsidR="00104911" w:rsidRPr="00AE4F31" w:rsidRDefault="00104911" w:rsidP="00D55C20">
            <w:pPr>
              <w:pStyle w:val="BodyText"/>
              <w:rPr>
                <w:rFonts w:cs="Arial"/>
              </w:rPr>
            </w:pPr>
            <w:r w:rsidRPr="00AE4F31">
              <w:rPr>
                <w:rFonts w:cs="Arial"/>
              </w:rPr>
              <w:t>31 January 2024</w:t>
            </w:r>
          </w:p>
        </w:tc>
        <w:tc>
          <w:tcPr>
            <w:tcW w:w="3742" w:type="dxa"/>
          </w:tcPr>
          <w:p w14:paraId="1FD7EE3F" w14:textId="77777777" w:rsidR="00104911" w:rsidRPr="00AE4F31" w:rsidRDefault="00104911" w:rsidP="00D55C20">
            <w:pPr>
              <w:pStyle w:val="BodyText"/>
              <w:rPr>
                <w:rFonts w:cs="Arial"/>
              </w:rPr>
            </w:pPr>
            <w:r w:rsidRPr="00AE4F31">
              <w:rPr>
                <w:rFonts w:cs="Arial"/>
              </w:rPr>
              <w:t>14 December 2023 to 10 January 2024</w:t>
            </w:r>
          </w:p>
        </w:tc>
      </w:tr>
      <w:tr w:rsidR="00104911" w14:paraId="47220553" w14:textId="77777777" w:rsidTr="00D4415B">
        <w:trPr>
          <w:trHeight w:val="439"/>
        </w:trPr>
        <w:tc>
          <w:tcPr>
            <w:tcW w:w="2268" w:type="dxa"/>
          </w:tcPr>
          <w:p w14:paraId="3B52D5B6" w14:textId="77777777" w:rsidR="00104911" w:rsidRPr="00AE4F31" w:rsidRDefault="00104911" w:rsidP="00D55C20">
            <w:pPr>
              <w:pStyle w:val="BodyText"/>
              <w:rPr>
                <w:rFonts w:cs="Arial"/>
              </w:rPr>
            </w:pPr>
            <w:r w:rsidRPr="00AE4F31">
              <w:rPr>
                <w:rFonts w:cs="Arial"/>
              </w:rPr>
              <w:t>8 February 2024</w:t>
            </w:r>
          </w:p>
        </w:tc>
        <w:tc>
          <w:tcPr>
            <w:tcW w:w="2267" w:type="dxa"/>
          </w:tcPr>
          <w:p w14:paraId="73DD8BBE" w14:textId="77777777" w:rsidR="00104911" w:rsidRPr="00AE4F31" w:rsidRDefault="00104911" w:rsidP="00D55C20">
            <w:pPr>
              <w:pStyle w:val="BodyText"/>
              <w:rPr>
                <w:rFonts w:cs="Arial"/>
              </w:rPr>
            </w:pPr>
            <w:r w:rsidRPr="00AE4F31">
              <w:rPr>
                <w:rFonts w:cs="Arial"/>
              </w:rPr>
              <w:t>14 February 2024</w:t>
            </w:r>
          </w:p>
        </w:tc>
        <w:tc>
          <w:tcPr>
            <w:tcW w:w="2268" w:type="dxa"/>
          </w:tcPr>
          <w:p w14:paraId="1546F60E" w14:textId="77777777" w:rsidR="00104911" w:rsidRPr="00AE4F31" w:rsidRDefault="00104911" w:rsidP="00D55C20">
            <w:pPr>
              <w:pStyle w:val="BodyText"/>
              <w:rPr>
                <w:rFonts w:cs="Arial"/>
              </w:rPr>
            </w:pPr>
            <w:r w:rsidRPr="00AE4F31">
              <w:rPr>
                <w:rFonts w:cs="Arial"/>
              </w:rPr>
              <w:t>28 February 2024</w:t>
            </w:r>
          </w:p>
        </w:tc>
        <w:tc>
          <w:tcPr>
            <w:tcW w:w="3742" w:type="dxa"/>
          </w:tcPr>
          <w:p w14:paraId="5E5A3EA4" w14:textId="77777777" w:rsidR="00104911" w:rsidRPr="00AE4F31" w:rsidRDefault="00104911" w:rsidP="00D55C20">
            <w:pPr>
              <w:pStyle w:val="BodyText"/>
              <w:rPr>
                <w:rFonts w:cs="Arial"/>
              </w:rPr>
            </w:pPr>
            <w:r w:rsidRPr="00AE4F31">
              <w:rPr>
                <w:rFonts w:cs="Arial"/>
              </w:rPr>
              <w:t>11 January to 7 February 2024</w:t>
            </w:r>
          </w:p>
        </w:tc>
      </w:tr>
      <w:tr w:rsidR="00104911" w14:paraId="5BBF59DA" w14:textId="77777777" w:rsidTr="00D4415B">
        <w:trPr>
          <w:trHeight w:val="439"/>
        </w:trPr>
        <w:tc>
          <w:tcPr>
            <w:tcW w:w="2268" w:type="dxa"/>
          </w:tcPr>
          <w:p w14:paraId="7F3322A1" w14:textId="77777777" w:rsidR="00104911" w:rsidRPr="00AE4F31" w:rsidRDefault="00104911" w:rsidP="00D55C20">
            <w:pPr>
              <w:pStyle w:val="BodyText"/>
              <w:rPr>
                <w:rFonts w:cs="Arial"/>
              </w:rPr>
            </w:pPr>
            <w:r w:rsidRPr="00AE4F31">
              <w:rPr>
                <w:rFonts w:cs="Arial"/>
              </w:rPr>
              <w:t>7 March 2024</w:t>
            </w:r>
          </w:p>
        </w:tc>
        <w:tc>
          <w:tcPr>
            <w:tcW w:w="2267" w:type="dxa"/>
          </w:tcPr>
          <w:p w14:paraId="67C486C0" w14:textId="77777777" w:rsidR="00104911" w:rsidRPr="00AE4F31" w:rsidRDefault="00104911" w:rsidP="00D55C20">
            <w:pPr>
              <w:pStyle w:val="BodyText"/>
              <w:rPr>
                <w:rFonts w:cs="Arial"/>
              </w:rPr>
            </w:pPr>
            <w:r w:rsidRPr="00AE4F31">
              <w:rPr>
                <w:rFonts w:cs="Arial"/>
              </w:rPr>
              <w:t>13 March 2024</w:t>
            </w:r>
          </w:p>
        </w:tc>
        <w:tc>
          <w:tcPr>
            <w:tcW w:w="2268" w:type="dxa"/>
          </w:tcPr>
          <w:p w14:paraId="79727526" w14:textId="77777777" w:rsidR="00104911" w:rsidRPr="00AE4F31" w:rsidRDefault="00104911" w:rsidP="00D55C20">
            <w:pPr>
              <w:pStyle w:val="BodyText"/>
              <w:rPr>
                <w:rFonts w:cs="Arial"/>
              </w:rPr>
            </w:pPr>
            <w:r w:rsidRPr="00AE4F31">
              <w:rPr>
                <w:rFonts w:cs="Arial"/>
              </w:rPr>
              <w:t>27 March 2024</w:t>
            </w:r>
          </w:p>
        </w:tc>
        <w:tc>
          <w:tcPr>
            <w:tcW w:w="3742" w:type="dxa"/>
          </w:tcPr>
          <w:p w14:paraId="3705273E" w14:textId="77777777" w:rsidR="00104911" w:rsidRPr="00AE4F31" w:rsidRDefault="00104911" w:rsidP="00D55C20">
            <w:pPr>
              <w:pStyle w:val="BodyText"/>
              <w:rPr>
                <w:rFonts w:cs="Arial"/>
              </w:rPr>
            </w:pPr>
            <w:r w:rsidRPr="00AE4F31">
              <w:rPr>
                <w:rFonts w:cs="Arial"/>
              </w:rPr>
              <w:t>8 February to 6 March 2024</w:t>
            </w:r>
          </w:p>
        </w:tc>
      </w:tr>
      <w:tr w:rsidR="00104911" w14:paraId="71E35100" w14:textId="77777777" w:rsidTr="00D4415B">
        <w:trPr>
          <w:trHeight w:val="439"/>
        </w:trPr>
        <w:tc>
          <w:tcPr>
            <w:tcW w:w="2268" w:type="dxa"/>
          </w:tcPr>
          <w:p w14:paraId="56E6E25A" w14:textId="77777777" w:rsidR="00104911" w:rsidRPr="00AE4F31" w:rsidRDefault="00104911" w:rsidP="00D55C20">
            <w:pPr>
              <w:pStyle w:val="BodyText"/>
              <w:rPr>
                <w:rFonts w:cs="Arial"/>
              </w:rPr>
            </w:pPr>
            <w:r w:rsidRPr="00AE4F31">
              <w:rPr>
                <w:rFonts w:cs="Arial"/>
              </w:rPr>
              <w:t>4 April 2024</w:t>
            </w:r>
          </w:p>
        </w:tc>
        <w:tc>
          <w:tcPr>
            <w:tcW w:w="2267" w:type="dxa"/>
          </w:tcPr>
          <w:p w14:paraId="72866E95" w14:textId="77777777" w:rsidR="00104911" w:rsidRPr="00AE4F31" w:rsidRDefault="00104911" w:rsidP="00D55C20">
            <w:pPr>
              <w:pStyle w:val="BodyText"/>
              <w:rPr>
                <w:rFonts w:cs="Arial"/>
              </w:rPr>
            </w:pPr>
            <w:r w:rsidRPr="00AE4F31">
              <w:rPr>
                <w:rFonts w:cs="Arial"/>
              </w:rPr>
              <w:t>10 April 2024</w:t>
            </w:r>
          </w:p>
        </w:tc>
        <w:tc>
          <w:tcPr>
            <w:tcW w:w="2268" w:type="dxa"/>
          </w:tcPr>
          <w:p w14:paraId="2A4D4CCE" w14:textId="77777777" w:rsidR="00104911" w:rsidRPr="00AE4F31" w:rsidRDefault="00104911" w:rsidP="00D55C20">
            <w:pPr>
              <w:pStyle w:val="BodyText"/>
              <w:rPr>
                <w:rFonts w:cs="Arial"/>
              </w:rPr>
            </w:pPr>
            <w:r w:rsidRPr="00AE4F31">
              <w:rPr>
                <w:rFonts w:cs="Arial"/>
              </w:rPr>
              <w:t>24 April 2024</w:t>
            </w:r>
          </w:p>
        </w:tc>
        <w:tc>
          <w:tcPr>
            <w:tcW w:w="3742" w:type="dxa"/>
          </w:tcPr>
          <w:p w14:paraId="72884C48" w14:textId="77777777" w:rsidR="00104911" w:rsidRPr="00AE4F31" w:rsidRDefault="00104911" w:rsidP="00D55C20">
            <w:pPr>
              <w:pStyle w:val="BodyText"/>
              <w:rPr>
                <w:rFonts w:cs="Arial"/>
              </w:rPr>
            </w:pPr>
            <w:r w:rsidRPr="00AE4F31">
              <w:rPr>
                <w:rFonts w:cs="Arial"/>
              </w:rPr>
              <w:t>7 March to 3 April 2024</w:t>
            </w:r>
          </w:p>
        </w:tc>
      </w:tr>
      <w:tr w:rsidR="00104911" w14:paraId="314ACAC8" w14:textId="77777777" w:rsidTr="00D4415B">
        <w:trPr>
          <w:trHeight w:val="439"/>
        </w:trPr>
        <w:tc>
          <w:tcPr>
            <w:tcW w:w="2268" w:type="dxa"/>
          </w:tcPr>
          <w:p w14:paraId="38A76E1A" w14:textId="77777777" w:rsidR="00104911" w:rsidRPr="00AE4F31" w:rsidRDefault="00104911" w:rsidP="00D55C20">
            <w:pPr>
              <w:pStyle w:val="BodyText"/>
              <w:rPr>
                <w:rFonts w:cs="Arial"/>
              </w:rPr>
            </w:pPr>
            <w:r w:rsidRPr="00AE4F31">
              <w:rPr>
                <w:rFonts w:cs="Arial"/>
              </w:rPr>
              <w:lastRenderedPageBreak/>
              <w:t>2 May 2024</w:t>
            </w:r>
          </w:p>
        </w:tc>
        <w:tc>
          <w:tcPr>
            <w:tcW w:w="2267" w:type="dxa"/>
          </w:tcPr>
          <w:p w14:paraId="0A37B417" w14:textId="77777777" w:rsidR="00104911" w:rsidRPr="00AE4F31" w:rsidRDefault="00104911" w:rsidP="00D55C20">
            <w:pPr>
              <w:pStyle w:val="BodyText"/>
              <w:rPr>
                <w:rFonts w:cs="Arial"/>
              </w:rPr>
            </w:pPr>
            <w:r w:rsidRPr="00AE4F31">
              <w:rPr>
                <w:rFonts w:cs="Arial"/>
              </w:rPr>
              <w:t>8 May 2024</w:t>
            </w:r>
          </w:p>
        </w:tc>
        <w:tc>
          <w:tcPr>
            <w:tcW w:w="2268" w:type="dxa"/>
          </w:tcPr>
          <w:p w14:paraId="16048543" w14:textId="77777777" w:rsidR="00104911" w:rsidRPr="00AE4F31" w:rsidRDefault="00104911" w:rsidP="00D55C20">
            <w:pPr>
              <w:pStyle w:val="BodyText"/>
              <w:rPr>
                <w:rFonts w:cs="Arial"/>
              </w:rPr>
            </w:pPr>
            <w:r w:rsidRPr="00AE4F31">
              <w:rPr>
                <w:rFonts w:cs="Arial"/>
              </w:rPr>
              <w:t>22 May 2024</w:t>
            </w:r>
          </w:p>
        </w:tc>
        <w:tc>
          <w:tcPr>
            <w:tcW w:w="3742" w:type="dxa"/>
          </w:tcPr>
          <w:p w14:paraId="467929F1" w14:textId="77777777" w:rsidR="00104911" w:rsidRPr="00AE4F31" w:rsidRDefault="00104911" w:rsidP="00D55C20">
            <w:pPr>
              <w:pStyle w:val="BodyText"/>
              <w:rPr>
                <w:rFonts w:cs="Arial"/>
              </w:rPr>
            </w:pPr>
            <w:r w:rsidRPr="00AE4F31">
              <w:rPr>
                <w:rFonts w:cs="Arial"/>
              </w:rPr>
              <w:t>4 April to 1 May 2024</w:t>
            </w:r>
          </w:p>
        </w:tc>
      </w:tr>
      <w:tr w:rsidR="00104911" w14:paraId="339EE271" w14:textId="77777777" w:rsidTr="00D4415B">
        <w:trPr>
          <w:trHeight w:val="439"/>
        </w:trPr>
        <w:tc>
          <w:tcPr>
            <w:tcW w:w="2268" w:type="dxa"/>
          </w:tcPr>
          <w:p w14:paraId="1D523865" w14:textId="77777777" w:rsidR="00104911" w:rsidRPr="00AE4F31" w:rsidRDefault="00104911" w:rsidP="00D55C20">
            <w:pPr>
              <w:pStyle w:val="BodyText"/>
              <w:rPr>
                <w:rFonts w:cs="Arial"/>
              </w:rPr>
            </w:pPr>
            <w:r w:rsidRPr="00AE4F31">
              <w:rPr>
                <w:rFonts w:cs="Arial"/>
              </w:rPr>
              <w:t>30 May 2024</w:t>
            </w:r>
          </w:p>
        </w:tc>
        <w:tc>
          <w:tcPr>
            <w:tcW w:w="2267" w:type="dxa"/>
          </w:tcPr>
          <w:p w14:paraId="764A3715" w14:textId="77777777" w:rsidR="00104911" w:rsidRPr="00AE4F31" w:rsidRDefault="00104911" w:rsidP="00D55C20">
            <w:pPr>
              <w:pStyle w:val="BodyText"/>
              <w:rPr>
                <w:rFonts w:cs="Arial"/>
              </w:rPr>
            </w:pPr>
            <w:r w:rsidRPr="00AE4F31">
              <w:rPr>
                <w:rFonts w:cs="Arial"/>
              </w:rPr>
              <w:t>5 June 2024</w:t>
            </w:r>
          </w:p>
        </w:tc>
        <w:tc>
          <w:tcPr>
            <w:tcW w:w="2268" w:type="dxa"/>
          </w:tcPr>
          <w:p w14:paraId="183009E8" w14:textId="77777777" w:rsidR="00104911" w:rsidRPr="00AE4F31" w:rsidRDefault="00104911" w:rsidP="00D55C20">
            <w:pPr>
              <w:pStyle w:val="BodyText"/>
              <w:rPr>
                <w:rFonts w:cs="Arial"/>
              </w:rPr>
            </w:pPr>
            <w:r w:rsidRPr="00AE4F31">
              <w:rPr>
                <w:rFonts w:cs="Arial"/>
              </w:rPr>
              <w:t>19 June 2024</w:t>
            </w:r>
          </w:p>
        </w:tc>
        <w:tc>
          <w:tcPr>
            <w:tcW w:w="3742" w:type="dxa"/>
          </w:tcPr>
          <w:p w14:paraId="05F8C4B4" w14:textId="77777777" w:rsidR="00104911" w:rsidRPr="00AE4F31" w:rsidRDefault="00104911" w:rsidP="00D55C20">
            <w:pPr>
              <w:pStyle w:val="BodyText"/>
              <w:rPr>
                <w:rFonts w:cs="Arial"/>
              </w:rPr>
            </w:pPr>
            <w:r w:rsidRPr="00AE4F31">
              <w:rPr>
                <w:rFonts w:cs="Arial"/>
              </w:rPr>
              <w:t>2 May to 29 May 2024</w:t>
            </w:r>
          </w:p>
        </w:tc>
      </w:tr>
      <w:tr w:rsidR="00104911" w14:paraId="56697B7E" w14:textId="77777777" w:rsidTr="00D4415B">
        <w:trPr>
          <w:trHeight w:val="439"/>
        </w:trPr>
        <w:tc>
          <w:tcPr>
            <w:tcW w:w="2268" w:type="dxa"/>
          </w:tcPr>
          <w:p w14:paraId="7161D39A" w14:textId="77777777" w:rsidR="00104911" w:rsidRPr="00AE4F31" w:rsidRDefault="00104911" w:rsidP="00D55C20">
            <w:pPr>
              <w:pStyle w:val="BodyText"/>
              <w:rPr>
                <w:rFonts w:cs="Arial"/>
              </w:rPr>
            </w:pPr>
            <w:r w:rsidRPr="00AE4F31">
              <w:rPr>
                <w:rFonts w:cs="Arial"/>
              </w:rPr>
              <w:t>27 June 2024</w:t>
            </w:r>
          </w:p>
        </w:tc>
        <w:tc>
          <w:tcPr>
            <w:tcW w:w="2267" w:type="dxa"/>
          </w:tcPr>
          <w:p w14:paraId="50FFB0E2" w14:textId="77777777" w:rsidR="00104911" w:rsidRPr="00AE4F31" w:rsidRDefault="00104911" w:rsidP="00D55C20">
            <w:pPr>
              <w:pStyle w:val="BodyText"/>
              <w:rPr>
                <w:rFonts w:cs="Arial"/>
              </w:rPr>
            </w:pPr>
            <w:r w:rsidRPr="00AE4F31">
              <w:rPr>
                <w:rFonts w:cs="Arial"/>
              </w:rPr>
              <w:t>3 July 2024</w:t>
            </w:r>
          </w:p>
        </w:tc>
        <w:tc>
          <w:tcPr>
            <w:tcW w:w="2268" w:type="dxa"/>
          </w:tcPr>
          <w:p w14:paraId="7C31A457" w14:textId="77777777" w:rsidR="00104911" w:rsidRPr="00AE4F31" w:rsidRDefault="00104911" w:rsidP="00D55C20">
            <w:pPr>
              <w:pStyle w:val="BodyText"/>
              <w:rPr>
                <w:rFonts w:cs="Arial"/>
              </w:rPr>
            </w:pPr>
            <w:r w:rsidRPr="00AE4F31">
              <w:rPr>
                <w:rFonts w:cs="Arial"/>
              </w:rPr>
              <w:t>17 July 2024</w:t>
            </w:r>
          </w:p>
        </w:tc>
        <w:tc>
          <w:tcPr>
            <w:tcW w:w="3742" w:type="dxa"/>
          </w:tcPr>
          <w:p w14:paraId="177AA06F" w14:textId="77777777" w:rsidR="00104911" w:rsidRPr="00AE4F31" w:rsidRDefault="00104911" w:rsidP="00D55C20">
            <w:pPr>
              <w:pStyle w:val="BodyText"/>
              <w:rPr>
                <w:rFonts w:cs="Arial"/>
              </w:rPr>
            </w:pPr>
            <w:r w:rsidRPr="00AE4F31">
              <w:rPr>
                <w:rFonts w:cs="Arial"/>
              </w:rPr>
              <w:t>30 May to 26 June 2024</w:t>
            </w:r>
          </w:p>
        </w:tc>
      </w:tr>
      <w:tr w:rsidR="00104911" w14:paraId="6C326CAD" w14:textId="77777777" w:rsidTr="00D4415B">
        <w:trPr>
          <w:trHeight w:val="439"/>
        </w:trPr>
        <w:tc>
          <w:tcPr>
            <w:tcW w:w="2268" w:type="dxa"/>
          </w:tcPr>
          <w:p w14:paraId="27B38151" w14:textId="77777777" w:rsidR="00104911" w:rsidRPr="00AE4F31" w:rsidRDefault="00104911" w:rsidP="00D55C20">
            <w:pPr>
              <w:pStyle w:val="BodyText"/>
              <w:rPr>
                <w:rFonts w:cs="Arial"/>
              </w:rPr>
            </w:pPr>
            <w:r w:rsidRPr="00AE4F31">
              <w:rPr>
                <w:rFonts w:cs="Arial"/>
              </w:rPr>
              <w:t>25 July 2024</w:t>
            </w:r>
          </w:p>
        </w:tc>
        <w:tc>
          <w:tcPr>
            <w:tcW w:w="2267" w:type="dxa"/>
          </w:tcPr>
          <w:p w14:paraId="2C74D386" w14:textId="77777777" w:rsidR="00104911" w:rsidRPr="00AE4F31" w:rsidRDefault="00104911" w:rsidP="00D55C20">
            <w:pPr>
              <w:pStyle w:val="BodyText"/>
              <w:rPr>
                <w:rFonts w:cs="Arial"/>
              </w:rPr>
            </w:pPr>
            <w:r w:rsidRPr="00AE4F31">
              <w:rPr>
                <w:rFonts w:cs="Arial"/>
              </w:rPr>
              <w:t>31 July 2024</w:t>
            </w:r>
          </w:p>
        </w:tc>
        <w:tc>
          <w:tcPr>
            <w:tcW w:w="2268" w:type="dxa"/>
          </w:tcPr>
          <w:p w14:paraId="18E38004" w14:textId="77777777" w:rsidR="00104911" w:rsidRPr="00AE4F31" w:rsidRDefault="00104911" w:rsidP="00D55C20">
            <w:pPr>
              <w:pStyle w:val="BodyText"/>
              <w:rPr>
                <w:rFonts w:cs="Arial"/>
              </w:rPr>
            </w:pPr>
            <w:r w:rsidRPr="00AE4F31">
              <w:rPr>
                <w:rFonts w:cs="Arial"/>
              </w:rPr>
              <w:t>14 August 2024</w:t>
            </w:r>
          </w:p>
        </w:tc>
        <w:tc>
          <w:tcPr>
            <w:tcW w:w="3742" w:type="dxa"/>
          </w:tcPr>
          <w:p w14:paraId="6AB2E61A" w14:textId="77777777" w:rsidR="00104911" w:rsidRPr="00AE4F31" w:rsidRDefault="00104911" w:rsidP="00D55C20">
            <w:pPr>
              <w:pStyle w:val="BodyText"/>
              <w:rPr>
                <w:rFonts w:cs="Arial"/>
              </w:rPr>
            </w:pPr>
            <w:r w:rsidRPr="00AE4F31">
              <w:rPr>
                <w:rFonts w:cs="Arial"/>
              </w:rPr>
              <w:t>27 June to 24 July 2024</w:t>
            </w:r>
          </w:p>
        </w:tc>
      </w:tr>
      <w:tr w:rsidR="00104911" w14:paraId="0BF8FD3B" w14:textId="77777777" w:rsidTr="00D4415B">
        <w:trPr>
          <w:trHeight w:val="439"/>
        </w:trPr>
        <w:tc>
          <w:tcPr>
            <w:tcW w:w="2268" w:type="dxa"/>
          </w:tcPr>
          <w:p w14:paraId="65802500" w14:textId="77777777" w:rsidR="00104911" w:rsidRPr="00AE4F31" w:rsidRDefault="00104911" w:rsidP="00D55C20">
            <w:pPr>
              <w:pStyle w:val="BodyText"/>
              <w:rPr>
                <w:rFonts w:cs="Arial"/>
              </w:rPr>
            </w:pPr>
            <w:r w:rsidRPr="00AE4F31">
              <w:rPr>
                <w:rFonts w:cs="Arial"/>
              </w:rPr>
              <w:t>22 August 2024</w:t>
            </w:r>
          </w:p>
        </w:tc>
        <w:tc>
          <w:tcPr>
            <w:tcW w:w="2267" w:type="dxa"/>
          </w:tcPr>
          <w:p w14:paraId="00187075" w14:textId="77777777" w:rsidR="00104911" w:rsidRPr="00AE4F31" w:rsidRDefault="00104911" w:rsidP="00D55C20">
            <w:pPr>
              <w:pStyle w:val="BodyText"/>
              <w:rPr>
                <w:rFonts w:cs="Arial"/>
              </w:rPr>
            </w:pPr>
            <w:r w:rsidRPr="00AE4F31">
              <w:rPr>
                <w:rFonts w:cs="Arial"/>
              </w:rPr>
              <w:t>28 August 2024</w:t>
            </w:r>
          </w:p>
        </w:tc>
        <w:tc>
          <w:tcPr>
            <w:tcW w:w="2268" w:type="dxa"/>
          </w:tcPr>
          <w:p w14:paraId="449EEADB" w14:textId="77777777" w:rsidR="00104911" w:rsidRPr="00AE4F31" w:rsidRDefault="00104911" w:rsidP="00D55C20">
            <w:pPr>
              <w:pStyle w:val="BodyText"/>
              <w:rPr>
                <w:rFonts w:cs="Arial"/>
              </w:rPr>
            </w:pPr>
            <w:r w:rsidRPr="00AE4F31">
              <w:rPr>
                <w:rFonts w:cs="Arial"/>
              </w:rPr>
              <w:t>11 September 2024</w:t>
            </w:r>
          </w:p>
        </w:tc>
        <w:tc>
          <w:tcPr>
            <w:tcW w:w="3742" w:type="dxa"/>
          </w:tcPr>
          <w:p w14:paraId="1FA4AFCD" w14:textId="77777777" w:rsidR="00104911" w:rsidRPr="00AE4F31" w:rsidRDefault="00104911" w:rsidP="00D55C20">
            <w:pPr>
              <w:pStyle w:val="BodyText"/>
              <w:rPr>
                <w:rFonts w:cs="Arial"/>
              </w:rPr>
            </w:pPr>
            <w:r w:rsidRPr="00AE4F31">
              <w:rPr>
                <w:rFonts w:cs="Arial"/>
              </w:rPr>
              <w:t>25 July to 21 August 2024</w:t>
            </w:r>
          </w:p>
        </w:tc>
      </w:tr>
      <w:tr w:rsidR="00104911" w14:paraId="49146D1F" w14:textId="77777777" w:rsidTr="00D4415B">
        <w:trPr>
          <w:trHeight w:val="439"/>
        </w:trPr>
        <w:tc>
          <w:tcPr>
            <w:tcW w:w="2268" w:type="dxa"/>
          </w:tcPr>
          <w:p w14:paraId="6A1764EC" w14:textId="77777777" w:rsidR="00104911" w:rsidRPr="00AE4F31" w:rsidRDefault="00104911" w:rsidP="00D55C20">
            <w:pPr>
              <w:pStyle w:val="BodyText"/>
              <w:rPr>
                <w:rFonts w:cs="Arial"/>
              </w:rPr>
            </w:pPr>
            <w:r w:rsidRPr="00AE4F31">
              <w:rPr>
                <w:rFonts w:cs="Arial"/>
              </w:rPr>
              <w:t>19 September 2024</w:t>
            </w:r>
          </w:p>
        </w:tc>
        <w:tc>
          <w:tcPr>
            <w:tcW w:w="2267" w:type="dxa"/>
          </w:tcPr>
          <w:p w14:paraId="1E879D2F" w14:textId="77777777" w:rsidR="00104911" w:rsidRPr="00AE4F31" w:rsidRDefault="00104911" w:rsidP="00D55C20">
            <w:pPr>
              <w:pStyle w:val="BodyText"/>
              <w:rPr>
                <w:rFonts w:cs="Arial"/>
              </w:rPr>
            </w:pPr>
            <w:r w:rsidRPr="00AE4F31">
              <w:rPr>
                <w:rFonts w:cs="Arial"/>
              </w:rPr>
              <w:t>25 September 2024</w:t>
            </w:r>
          </w:p>
        </w:tc>
        <w:tc>
          <w:tcPr>
            <w:tcW w:w="2268" w:type="dxa"/>
          </w:tcPr>
          <w:p w14:paraId="53A5D9AF" w14:textId="77777777" w:rsidR="00104911" w:rsidRPr="00AE4F31" w:rsidRDefault="00104911" w:rsidP="00D55C20">
            <w:pPr>
              <w:pStyle w:val="BodyText"/>
              <w:rPr>
                <w:rFonts w:cs="Arial"/>
              </w:rPr>
            </w:pPr>
            <w:r w:rsidRPr="00AE4F31">
              <w:rPr>
                <w:rFonts w:cs="Arial"/>
              </w:rPr>
              <w:t>9 October 2024</w:t>
            </w:r>
          </w:p>
        </w:tc>
        <w:tc>
          <w:tcPr>
            <w:tcW w:w="3742" w:type="dxa"/>
          </w:tcPr>
          <w:p w14:paraId="1C9CDE9A" w14:textId="77777777" w:rsidR="00104911" w:rsidRPr="00AE4F31" w:rsidRDefault="00104911" w:rsidP="00D55C20">
            <w:pPr>
              <w:pStyle w:val="BodyText"/>
              <w:rPr>
                <w:rFonts w:cs="Arial"/>
              </w:rPr>
            </w:pPr>
            <w:r w:rsidRPr="00AE4F31">
              <w:rPr>
                <w:rFonts w:cs="Arial"/>
              </w:rPr>
              <w:t>22 August to 18 September 2024</w:t>
            </w:r>
          </w:p>
        </w:tc>
      </w:tr>
      <w:tr w:rsidR="00104911" w14:paraId="2F6F8671" w14:textId="77777777" w:rsidTr="00D4415B">
        <w:trPr>
          <w:trHeight w:val="439"/>
        </w:trPr>
        <w:tc>
          <w:tcPr>
            <w:tcW w:w="2268" w:type="dxa"/>
          </w:tcPr>
          <w:p w14:paraId="2FAB1A6D" w14:textId="77777777" w:rsidR="00104911" w:rsidRPr="00AE4F31" w:rsidRDefault="00104911" w:rsidP="00D55C20">
            <w:pPr>
              <w:pStyle w:val="BodyText"/>
              <w:rPr>
                <w:rFonts w:cs="Arial"/>
              </w:rPr>
            </w:pPr>
            <w:r w:rsidRPr="00AE4F31">
              <w:rPr>
                <w:rFonts w:cs="Arial"/>
              </w:rPr>
              <w:t>17 October 2024</w:t>
            </w:r>
          </w:p>
        </w:tc>
        <w:tc>
          <w:tcPr>
            <w:tcW w:w="2267" w:type="dxa"/>
          </w:tcPr>
          <w:p w14:paraId="52218B1B" w14:textId="77777777" w:rsidR="00104911" w:rsidRPr="00AE4F31" w:rsidRDefault="00104911" w:rsidP="00D55C20">
            <w:pPr>
              <w:pStyle w:val="BodyText"/>
              <w:rPr>
                <w:rFonts w:cs="Arial"/>
              </w:rPr>
            </w:pPr>
            <w:r w:rsidRPr="00AE4F31">
              <w:rPr>
                <w:rFonts w:cs="Arial"/>
              </w:rPr>
              <w:t>23 October 2024</w:t>
            </w:r>
          </w:p>
        </w:tc>
        <w:tc>
          <w:tcPr>
            <w:tcW w:w="2268" w:type="dxa"/>
          </w:tcPr>
          <w:p w14:paraId="6BE27DE5" w14:textId="77777777" w:rsidR="00104911" w:rsidRPr="00AE4F31" w:rsidRDefault="00104911" w:rsidP="00D55C20">
            <w:pPr>
              <w:pStyle w:val="BodyText"/>
              <w:rPr>
                <w:rFonts w:cs="Arial"/>
              </w:rPr>
            </w:pPr>
            <w:r w:rsidRPr="00AE4F31">
              <w:rPr>
                <w:rFonts w:cs="Arial"/>
              </w:rPr>
              <w:t>6 November 2024</w:t>
            </w:r>
          </w:p>
        </w:tc>
        <w:tc>
          <w:tcPr>
            <w:tcW w:w="3742" w:type="dxa"/>
          </w:tcPr>
          <w:p w14:paraId="6B04BA64" w14:textId="77777777" w:rsidR="00104911" w:rsidRPr="00AE4F31" w:rsidRDefault="00104911" w:rsidP="00D55C20">
            <w:pPr>
              <w:pStyle w:val="BodyText"/>
              <w:rPr>
                <w:rFonts w:cs="Arial"/>
              </w:rPr>
            </w:pPr>
            <w:r w:rsidRPr="00AE4F31">
              <w:rPr>
                <w:rFonts w:cs="Arial"/>
              </w:rPr>
              <w:t>19 September to 16 October 2024</w:t>
            </w:r>
          </w:p>
        </w:tc>
      </w:tr>
      <w:tr w:rsidR="00104911" w14:paraId="183B6663" w14:textId="77777777" w:rsidTr="00D4415B">
        <w:trPr>
          <w:trHeight w:val="439"/>
        </w:trPr>
        <w:tc>
          <w:tcPr>
            <w:tcW w:w="2268" w:type="dxa"/>
          </w:tcPr>
          <w:p w14:paraId="6485571E" w14:textId="77777777" w:rsidR="00104911" w:rsidRPr="00AE4F31" w:rsidRDefault="00104911" w:rsidP="00D55C20">
            <w:pPr>
              <w:pStyle w:val="BodyText"/>
              <w:rPr>
                <w:rFonts w:cs="Arial"/>
              </w:rPr>
            </w:pPr>
            <w:r w:rsidRPr="00AE4F31">
              <w:rPr>
                <w:rFonts w:cs="Arial"/>
              </w:rPr>
              <w:t>14 November 2024</w:t>
            </w:r>
          </w:p>
        </w:tc>
        <w:tc>
          <w:tcPr>
            <w:tcW w:w="2267" w:type="dxa"/>
          </w:tcPr>
          <w:p w14:paraId="6A6C1155" w14:textId="77777777" w:rsidR="00104911" w:rsidRPr="00AE4F31" w:rsidRDefault="00104911" w:rsidP="00D55C20">
            <w:pPr>
              <w:pStyle w:val="BodyText"/>
              <w:rPr>
                <w:rFonts w:cs="Arial"/>
              </w:rPr>
            </w:pPr>
            <w:r w:rsidRPr="00AE4F31">
              <w:rPr>
                <w:rFonts w:cs="Arial"/>
              </w:rPr>
              <w:t>20 November 2024</w:t>
            </w:r>
          </w:p>
        </w:tc>
        <w:tc>
          <w:tcPr>
            <w:tcW w:w="2268" w:type="dxa"/>
          </w:tcPr>
          <w:p w14:paraId="4EE1D83F" w14:textId="77777777" w:rsidR="00104911" w:rsidRPr="00AE4F31" w:rsidRDefault="00104911" w:rsidP="00D55C20">
            <w:pPr>
              <w:pStyle w:val="BodyText"/>
              <w:rPr>
                <w:rFonts w:cs="Arial"/>
              </w:rPr>
            </w:pPr>
            <w:r w:rsidRPr="00AE4F31">
              <w:rPr>
                <w:rFonts w:cs="Arial"/>
              </w:rPr>
              <w:t>4 December 2024</w:t>
            </w:r>
          </w:p>
        </w:tc>
        <w:tc>
          <w:tcPr>
            <w:tcW w:w="3742" w:type="dxa"/>
          </w:tcPr>
          <w:p w14:paraId="4931D814" w14:textId="77777777" w:rsidR="00104911" w:rsidRPr="00AE4F31" w:rsidRDefault="00104911" w:rsidP="00D55C20">
            <w:pPr>
              <w:pStyle w:val="BodyText"/>
              <w:rPr>
                <w:rFonts w:cs="Arial"/>
              </w:rPr>
            </w:pPr>
            <w:r w:rsidRPr="00AE4F31">
              <w:rPr>
                <w:rFonts w:cs="Arial"/>
              </w:rPr>
              <w:t>17 October to 13 November 2024</w:t>
            </w:r>
          </w:p>
        </w:tc>
      </w:tr>
      <w:tr w:rsidR="00104911" w14:paraId="28A21882" w14:textId="77777777" w:rsidTr="00D4415B">
        <w:trPr>
          <w:trHeight w:val="439"/>
        </w:trPr>
        <w:tc>
          <w:tcPr>
            <w:tcW w:w="2268" w:type="dxa"/>
          </w:tcPr>
          <w:p w14:paraId="39D3A5C1" w14:textId="77777777" w:rsidR="00104911" w:rsidRPr="00AE4F31" w:rsidRDefault="00104911" w:rsidP="00D55C20">
            <w:pPr>
              <w:pStyle w:val="BodyText"/>
              <w:rPr>
                <w:rFonts w:cs="Arial"/>
              </w:rPr>
            </w:pPr>
            <w:r w:rsidRPr="00AE4F31">
              <w:rPr>
                <w:rFonts w:cs="Arial"/>
              </w:rPr>
              <w:t>12 December 2024</w:t>
            </w:r>
          </w:p>
        </w:tc>
        <w:tc>
          <w:tcPr>
            <w:tcW w:w="2267" w:type="dxa"/>
          </w:tcPr>
          <w:p w14:paraId="078AA306" w14:textId="77777777" w:rsidR="00104911" w:rsidRPr="00AE4F31" w:rsidRDefault="00104911" w:rsidP="00D55C20">
            <w:pPr>
              <w:pStyle w:val="BodyText"/>
              <w:rPr>
                <w:rFonts w:cs="Arial"/>
              </w:rPr>
            </w:pPr>
            <w:r w:rsidRPr="00AE4F31">
              <w:rPr>
                <w:rFonts w:cs="Arial"/>
              </w:rPr>
              <w:t>18 December 2024</w:t>
            </w:r>
          </w:p>
        </w:tc>
        <w:tc>
          <w:tcPr>
            <w:tcW w:w="2268" w:type="dxa"/>
          </w:tcPr>
          <w:p w14:paraId="6C9CE2B6" w14:textId="77777777" w:rsidR="00104911" w:rsidRPr="00AE4F31" w:rsidRDefault="00104911" w:rsidP="00D55C20">
            <w:pPr>
              <w:pStyle w:val="BodyText"/>
              <w:rPr>
                <w:rFonts w:cs="Arial"/>
              </w:rPr>
            </w:pPr>
            <w:r w:rsidRPr="00AE4F31">
              <w:rPr>
                <w:rFonts w:cs="Arial"/>
              </w:rPr>
              <w:t>1 January 2025</w:t>
            </w:r>
          </w:p>
        </w:tc>
        <w:tc>
          <w:tcPr>
            <w:tcW w:w="3742" w:type="dxa"/>
          </w:tcPr>
          <w:p w14:paraId="59B24F89" w14:textId="77777777" w:rsidR="00104911" w:rsidRPr="00AE4F31" w:rsidRDefault="00104911" w:rsidP="00D55C20">
            <w:pPr>
              <w:pStyle w:val="BodyText"/>
              <w:rPr>
                <w:rFonts w:cs="Arial"/>
              </w:rPr>
            </w:pPr>
            <w:r w:rsidRPr="00AE4F31">
              <w:rPr>
                <w:rFonts w:cs="Arial"/>
              </w:rPr>
              <w:t>14 November to 11 December 2024</w:t>
            </w:r>
          </w:p>
        </w:tc>
      </w:tr>
    </w:tbl>
    <w:p w14:paraId="6D92EF9E" w14:textId="77777777" w:rsidR="00104911" w:rsidRDefault="00104911" w:rsidP="00104911">
      <w:pPr>
        <w:pStyle w:val="Tableheading01"/>
      </w:pPr>
    </w:p>
    <w:p w14:paraId="38FF69AC" w14:textId="77777777" w:rsidR="00104911" w:rsidRDefault="00104911" w:rsidP="00D4415B">
      <w:pPr>
        <w:pStyle w:val="BodyText"/>
      </w:pPr>
      <w:r>
        <w:t>* Cheque delivery may be later than these dates due to delays in mail delivery.</w:t>
      </w:r>
    </w:p>
    <w:p w14:paraId="3985CD44" w14:textId="77777777" w:rsidR="00104911" w:rsidRDefault="00104911" w:rsidP="00C876E0">
      <w:pPr>
        <w:pStyle w:val="Heading2"/>
      </w:pPr>
      <w:r>
        <w:t>Direct deposit payments</w:t>
      </w:r>
    </w:p>
    <w:p w14:paraId="5D20851D" w14:textId="77777777" w:rsidR="00104911" w:rsidRPr="008E4018" w:rsidRDefault="00104911" w:rsidP="008E4018">
      <w:pPr>
        <w:pStyle w:val="BodyText"/>
      </w:pPr>
      <w:r w:rsidRPr="008E4018">
        <w:t>In most countries we pay pensions directly into bank accounts. We encourage this method of payment as it is safe, quick and reliable.</w:t>
      </w:r>
    </w:p>
    <w:p w14:paraId="5CF523B7" w14:textId="36D1D7AE" w:rsidR="00104911" w:rsidRPr="00AE4F31" w:rsidRDefault="00104911" w:rsidP="00D4415B">
      <w:pPr>
        <w:pStyle w:val="BodyText"/>
        <w:rPr>
          <w:rFonts w:cs="Arial"/>
        </w:rPr>
      </w:pPr>
      <w:r w:rsidRPr="00AE4F31">
        <w:rPr>
          <w:rFonts w:cs="Arial"/>
        </w:rPr>
        <w:t xml:space="preserve">If you get your payment by direct deposit into your bank account, it will be available within 2 to 6 days after issue. </w:t>
      </w:r>
      <w:r w:rsidRPr="00AE4F31">
        <w:rPr>
          <w:rFonts w:cs="Arial"/>
          <w:b/>
          <w:bCs/>
        </w:rPr>
        <w:t>A public holiday in your country may delay you getting your payment</w:t>
      </w:r>
      <w:r w:rsidRPr="00AE4F31">
        <w:rPr>
          <w:rFonts w:cs="Arial"/>
        </w:rPr>
        <w:t>. If your payment has not arrived within 10 days of issue, check with your local bank before contacting us.</w:t>
      </w:r>
    </w:p>
    <w:p w14:paraId="4367F993" w14:textId="77777777" w:rsidR="00104911" w:rsidRDefault="00104911" w:rsidP="00C876E0">
      <w:pPr>
        <w:pStyle w:val="Heading2"/>
      </w:pPr>
      <w:r>
        <w:t>International Services closure dates</w:t>
      </w:r>
    </w:p>
    <w:tbl>
      <w:tblPr>
        <w:tblStyle w:val="TableGrid"/>
        <w:tblW w:w="0" w:type="auto"/>
        <w:tblLayout w:type="fixed"/>
        <w:tblLook w:val="0000" w:firstRow="0" w:lastRow="0" w:firstColumn="0" w:lastColumn="0" w:noHBand="0" w:noVBand="0"/>
        <w:tblCaption w:val="International Services closure dates"/>
      </w:tblPr>
      <w:tblGrid>
        <w:gridCol w:w="4815"/>
        <w:gridCol w:w="5670"/>
      </w:tblGrid>
      <w:tr w:rsidR="00104911" w14:paraId="18ED4DBA" w14:textId="77777777" w:rsidTr="00754162">
        <w:trPr>
          <w:trHeight w:val="566"/>
          <w:tblHeader/>
        </w:trPr>
        <w:tc>
          <w:tcPr>
            <w:tcW w:w="10485" w:type="dxa"/>
            <w:gridSpan w:val="2"/>
          </w:tcPr>
          <w:p w14:paraId="06DE4AEE" w14:textId="77777777" w:rsidR="00104911" w:rsidRPr="00034C1C" w:rsidRDefault="00104911" w:rsidP="00034C1C">
            <w:pPr>
              <w:pStyle w:val="BodyText"/>
              <w:rPr>
                <w:b/>
                <w:bCs/>
              </w:rPr>
            </w:pPr>
            <w:r w:rsidRPr="00034C1C">
              <w:rPr>
                <w:b/>
                <w:bCs/>
              </w:rPr>
              <w:t>International Services will be closed on:</w:t>
            </w:r>
          </w:p>
        </w:tc>
      </w:tr>
      <w:tr w:rsidR="00104911" w14:paraId="7E6CA098" w14:textId="77777777" w:rsidTr="00FF7B10">
        <w:trPr>
          <w:trHeight w:val="453"/>
        </w:trPr>
        <w:tc>
          <w:tcPr>
            <w:tcW w:w="4815" w:type="dxa"/>
          </w:tcPr>
          <w:p w14:paraId="62CB9410" w14:textId="77777777" w:rsidR="00104911" w:rsidRPr="00034C1C" w:rsidRDefault="00104911" w:rsidP="00034C1C">
            <w:pPr>
              <w:pStyle w:val="BodyText"/>
            </w:pPr>
            <w:r w:rsidRPr="00034C1C">
              <w:t xml:space="preserve">Christmas Day public holiday </w:t>
            </w:r>
          </w:p>
        </w:tc>
        <w:tc>
          <w:tcPr>
            <w:tcW w:w="5670" w:type="dxa"/>
          </w:tcPr>
          <w:p w14:paraId="36FC0C32" w14:textId="77777777" w:rsidR="00104911" w:rsidRPr="00034C1C" w:rsidRDefault="00104911" w:rsidP="00034C1C">
            <w:pPr>
              <w:pStyle w:val="BodyText"/>
            </w:pPr>
            <w:r w:rsidRPr="00034C1C">
              <w:t xml:space="preserve">25 December 2023 </w:t>
            </w:r>
          </w:p>
        </w:tc>
      </w:tr>
      <w:tr w:rsidR="00104911" w14:paraId="4D8E42F9" w14:textId="77777777" w:rsidTr="00FF7B10">
        <w:trPr>
          <w:trHeight w:val="453"/>
        </w:trPr>
        <w:tc>
          <w:tcPr>
            <w:tcW w:w="4815" w:type="dxa"/>
          </w:tcPr>
          <w:p w14:paraId="2859DD88" w14:textId="77777777" w:rsidR="00104911" w:rsidRPr="00034C1C" w:rsidRDefault="00104911" w:rsidP="00034C1C">
            <w:pPr>
              <w:pStyle w:val="BodyText"/>
            </w:pPr>
            <w:r w:rsidRPr="00034C1C">
              <w:lastRenderedPageBreak/>
              <w:t xml:space="preserve">Boxing Day public holiday </w:t>
            </w:r>
          </w:p>
        </w:tc>
        <w:tc>
          <w:tcPr>
            <w:tcW w:w="5670" w:type="dxa"/>
          </w:tcPr>
          <w:p w14:paraId="1A947D0E" w14:textId="77777777" w:rsidR="00104911" w:rsidRPr="00034C1C" w:rsidRDefault="00104911" w:rsidP="00034C1C">
            <w:pPr>
              <w:pStyle w:val="BodyText"/>
            </w:pPr>
            <w:r w:rsidRPr="00034C1C">
              <w:t>26 December 2023</w:t>
            </w:r>
          </w:p>
        </w:tc>
      </w:tr>
      <w:tr w:rsidR="00104911" w14:paraId="27D8DBB6" w14:textId="77777777" w:rsidTr="00FF7B10">
        <w:trPr>
          <w:trHeight w:val="453"/>
        </w:trPr>
        <w:tc>
          <w:tcPr>
            <w:tcW w:w="4815" w:type="dxa"/>
          </w:tcPr>
          <w:p w14:paraId="65AC2FD5" w14:textId="77777777" w:rsidR="00104911" w:rsidRPr="00034C1C" w:rsidRDefault="00104911" w:rsidP="00034C1C">
            <w:pPr>
              <w:pStyle w:val="BodyText"/>
            </w:pPr>
            <w:r w:rsidRPr="00034C1C">
              <w:t>Public Service holiday</w:t>
            </w:r>
          </w:p>
        </w:tc>
        <w:tc>
          <w:tcPr>
            <w:tcW w:w="5670" w:type="dxa"/>
          </w:tcPr>
          <w:p w14:paraId="19B3F55E" w14:textId="77777777" w:rsidR="00104911" w:rsidRPr="00034C1C" w:rsidRDefault="00104911" w:rsidP="00034C1C">
            <w:pPr>
              <w:pStyle w:val="BodyText"/>
            </w:pPr>
            <w:r w:rsidRPr="00034C1C">
              <w:t>27 December 2023</w:t>
            </w:r>
          </w:p>
        </w:tc>
      </w:tr>
      <w:tr w:rsidR="00104911" w14:paraId="6D8D9EF4" w14:textId="77777777" w:rsidTr="00FF7B10">
        <w:trPr>
          <w:trHeight w:val="453"/>
        </w:trPr>
        <w:tc>
          <w:tcPr>
            <w:tcW w:w="4815" w:type="dxa"/>
          </w:tcPr>
          <w:p w14:paraId="4571904F" w14:textId="77777777" w:rsidR="00104911" w:rsidRPr="00034C1C" w:rsidRDefault="00104911" w:rsidP="00034C1C">
            <w:pPr>
              <w:pStyle w:val="BodyText"/>
            </w:pPr>
            <w:r w:rsidRPr="00034C1C">
              <w:t>New Year’s Day public holiday</w:t>
            </w:r>
          </w:p>
        </w:tc>
        <w:tc>
          <w:tcPr>
            <w:tcW w:w="5670" w:type="dxa"/>
          </w:tcPr>
          <w:p w14:paraId="30BA1392" w14:textId="77777777" w:rsidR="00104911" w:rsidRPr="00034C1C" w:rsidRDefault="00104911" w:rsidP="00034C1C">
            <w:pPr>
              <w:pStyle w:val="BodyText"/>
            </w:pPr>
            <w:r w:rsidRPr="00034C1C">
              <w:t>1 January 2024</w:t>
            </w:r>
          </w:p>
        </w:tc>
      </w:tr>
      <w:tr w:rsidR="00104911" w14:paraId="183ED509" w14:textId="77777777" w:rsidTr="00FF7B10">
        <w:trPr>
          <w:trHeight w:val="453"/>
        </w:trPr>
        <w:tc>
          <w:tcPr>
            <w:tcW w:w="4815" w:type="dxa"/>
          </w:tcPr>
          <w:p w14:paraId="6D17EB74" w14:textId="77777777" w:rsidR="00104911" w:rsidRPr="00034C1C" w:rsidRDefault="00104911" w:rsidP="00034C1C">
            <w:pPr>
              <w:pStyle w:val="BodyText"/>
            </w:pPr>
            <w:r w:rsidRPr="00034C1C">
              <w:t xml:space="preserve">Australia Day public holiday </w:t>
            </w:r>
          </w:p>
        </w:tc>
        <w:tc>
          <w:tcPr>
            <w:tcW w:w="5670" w:type="dxa"/>
          </w:tcPr>
          <w:p w14:paraId="49B0A1DF" w14:textId="77777777" w:rsidR="00104911" w:rsidRPr="00034C1C" w:rsidRDefault="00104911" w:rsidP="00034C1C">
            <w:pPr>
              <w:pStyle w:val="BodyText"/>
            </w:pPr>
            <w:r w:rsidRPr="00034C1C">
              <w:t>26 January 2024</w:t>
            </w:r>
          </w:p>
        </w:tc>
      </w:tr>
      <w:tr w:rsidR="00104911" w14:paraId="21D788C5" w14:textId="77777777" w:rsidTr="00FF7B10">
        <w:trPr>
          <w:trHeight w:val="453"/>
        </w:trPr>
        <w:tc>
          <w:tcPr>
            <w:tcW w:w="4815" w:type="dxa"/>
          </w:tcPr>
          <w:p w14:paraId="3D7F78C3" w14:textId="77777777" w:rsidR="00104911" w:rsidRDefault="00104911" w:rsidP="00D4415B">
            <w:pPr>
              <w:pStyle w:val="BodyText"/>
            </w:pPr>
            <w:r>
              <w:t xml:space="preserve">Good Friday public holiday </w:t>
            </w:r>
          </w:p>
        </w:tc>
        <w:tc>
          <w:tcPr>
            <w:tcW w:w="5670" w:type="dxa"/>
          </w:tcPr>
          <w:p w14:paraId="5E48970C" w14:textId="77777777" w:rsidR="00104911" w:rsidRDefault="00104911" w:rsidP="00D4415B">
            <w:pPr>
              <w:pStyle w:val="BodyText"/>
            </w:pPr>
            <w:r>
              <w:t>29 March 2024</w:t>
            </w:r>
          </w:p>
        </w:tc>
      </w:tr>
      <w:tr w:rsidR="00104911" w14:paraId="0A773E14" w14:textId="77777777" w:rsidTr="00FF7B10">
        <w:trPr>
          <w:trHeight w:val="453"/>
        </w:trPr>
        <w:tc>
          <w:tcPr>
            <w:tcW w:w="4815" w:type="dxa"/>
          </w:tcPr>
          <w:p w14:paraId="64A6A623" w14:textId="77777777" w:rsidR="00104911" w:rsidRDefault="00104911" w:rsidP="00D4415B">
            <w:pPr>
              <w:pStyle w:val="BodyText"/>
            </w:pPr>
            <w:r>
              <w:t>Easter Monday public holiday</w:t>
            </w:r>
          </w:p>
        </w:tc>
        <w:tc>
          <w:tcPr>
            <w:tcW w:w="5670" w:type="dxa"/>
          </w:tcPr>
          <w:p w14:paraId="68406BDF" w14:textId="77777777" w:rsidR="00104911" w:rsidRDefault="00104911" w:rsidP="00D4415B">
            <w:pPr>
              <w:pStyle w:val="BodyText"/>
            </w:pPr>
            <w:r>
              <w:t>1 April 2024</w:t>
            </w:r>
          </w:p>
        </w:tc>
      </w:tr>
      <w:tr w:rsidR="00104911" w14:paraId="6586E5D3" w14:textId="77777777" w:rsidTr="00FF7B10">
        <w:trPr>
          <w:trHeight w:val="453"/>
        </w:trPr>
        <w:tc>
          <w:tcPr>
            <w:tcW w:w="4815" w:type="dxa"/>
          </w:tcPr>
          <w:p w14:paraId="1B95469B" w14:textId="77777777" w:rsidR="00104911" w:rsidRDefault="00104911" w:rsidP="00D4415B">
            <w:pPr>
              <w:pStyle w:val="BodyText"/>
            </w:pPr>
            <w:r>
              <w:t>ANZAC Day public holiday</w:t>
            </w:r>
          </w:p>
        </w:tc>
        <w:tc>
          <w:tcPr>
            <w:tcW w:w="5670" w:type="dxa"/>
          </w:tcPr>
          <w:p w14:paraId="48C26AC5" w14:textId="77777777" w:rsidR="00104911" w:rsidRDefault="00104911" w:rsidP="00D4415B">
            <w:pPr>
              <w:pStyle w:val="BodyText"/>
            </w:pPr>
            <w:r>
              <w:t>25 April 2024</w:t>
            </w:r>
          </w:p>
        </w:tc>
      </w:tr>
    </w:tbl>
    <w:p w14:paraId="3FF7B714" w14:textId="77777777" w:rsidR="00104911" w:rsidRDefault="00104911" w:rsidP="00C876E0">
      <w:pPr>
        <w:pStyle w:val="Heading2"/>
      </w:pPr>
      <w:r>
        <w:t>Rates</w:t>
      </w:r>
    </w:p>
    <w:p w14:paraId="1D375E99" w14:textId="77777777" w:rsidR="00104911" w:rsidRDefault="00104911" w:rsidP="00D4415B">
      <w:pPr>
        <w:pStyle w:val="BodyText"/>
      </w:pPr>
      <w:r>
        <w:t>Outside Australia pension rates and thresholds are re-assessed in January, March, July and September each year.</w:t>
      </w:r>
    </w:p>
    <w:p w14:paraId="7034E660" w14:textId="77777777" w:rsidR="00104911" w:rsidRDefault="00104911" w:rsidP="00C876E0">
      <w:pPr>
        <w:pStyle w:val="Heading2"/>
      </w:pPr>
      <w:r>
        <w:t>Rates and thresholds</w:t>
      </w:r>
    </w:p>
    <w:p w14:paraId="3876E610" w14:textId="77777777" w:rsidR="00104911" w:rsidRDefault="00104911" w:rsidP="00746A75">
      <w:pPr>
        <w:pStyle w:val="BodyText"/>
      </w:pPr>
      <w:r>
        <w:t>These Australian dollar (A$) figures are a guide only and are effective from 20 September 2023 unless otherwise stated.</w:t>
      </w:r>
    </w:p>
    <w:tbl>
      <w:tblPr>
        <w:tblStyle w:val="TableGrid"/>
        <w:tblW w:w="0" w:type="auto"/>
        <w:tblLayout w:type="fixed"/>
        <w:tblLook w:val="0000" w:firstRow="0" w:lastRow="0" w:firstColumn="0" w:lastColumn="0" w:noHBand="0" w:noVBand="0"/>
        <w:tblCaption w:val="Rates and thresholds"/>
      </w:tblPr>
      <w:tblGrid>
        <w:gridCol w:w="2109"/>
        <w:gridCol w:w="2109"/>
        <w:gridCol w:w="2109"/>
        <w:gridCol w:w="2109"/>
        <w:gridCol w:w="2109"/>
      </w:tblGrid>
      <w:tr w:rsidR="00104911" w:rsidRPr="00AE4F31" w14:paraId="55CA7C7E" w14:textId="77777777" w:rsidTr="00754162">
        <w:trPr>
          <w:trHeight w:val="636"/>
          <w:tblHeader/>
        </w:trPr>
        <w:tc>
          <w:tcPr>
            <w:tcW w:w="2109" w:type="dxa"/>
          </w:tcPr>
          <w:p w14:paraId="4464D0F3" w14:textId="77777777" w:rsidR="00104911" w:rsidRPr="006D1B53" w:rsidRDefault="00104911" w:rsidP="006435E9">
            <w:pPr>
              <w:pStyle w:val="BodyText"/>
              <w:rPr>
                <w:b/>
                <w:bCs/>
              </w:rPr>
            </w:pPr>
            <w:r w:rsidRPr="006D1B53">
              <w:rPr>
                <w:b/>
                <w:bCs/>
              </w:rPr>
              <w:t>Outside Australia pension rates and thresholds</w:t>
            </w:r>
          </w:p>
        </w:tc>
        <w:tc>
          <w:tcPr>
            <w:tcW w:w="2109" w:type="dxa"/>
          </w:tcPr>
          <w:p w14:paraId="6AB0CBA6" w14:textId="77777777" w:rsidR="00104911" w:rsidRPr="006D1B53" w:rsidRDefault="00104911" w:rsidP="006435E9">
            <w:pPr>
              <w:pStyle w:val="BodyText"/>
              <w:rPr>
                <w:b/>
                <w:bCs/>
              </w:rPr>
            </w:pPr>
            <w:r w:rsidRPr="006D1B53">
              <w:rPr>
                <w:b/>
                <w:bCs/>
              </w:rPr>
              <w:t>SINGLE</w:t>
            </w:r>
          </w:p>
        </w:tc>
        <w:tc>
          <w:tcPr>
            <w:tcW w:w="2109" w:type="dxa"/>
          </w:tcPr>
          <w:p w14:paraId="1B818330" w14:textId="77777777" w:rsidR="00104911" w:rsidRPr="006D1B53" w:rsidRDefault="00104911" w:rsidP="006435E9">
            <w:pPr>
              <w:pStyle w:val="BodyText"/>
              <w:rPr>
                <w:b/>
                <w:bCs/>
              </w:rPr>
            </w:pPr>
            <w:r w:rsidRPr="006D1B53">
              <w:rPr>
                <w:b/>
                <w:bCs/>
              </w:rPr>
              <w:t>COUPLE both eligible</w:t>
            </w:r>
          </w:p>
        </w:tc>
        <w:tc>
          <w:tcPr>
            <w:tcW w:w="2109" w:type="dxa"/>
          </w:tcPr>
          <w:p w14:paraId="529280C8" w14:textId="77777777" w:rsidR="00104911" w:rsidRPr="006D1B53" w:rsidRDefault="00104911" w:rsidP="006435E9">
            <w:pPr>
              <w:pStyle w:val="BodyText"/>
              <w:rPr>
                <w:b/>
                <w:bCs/>
              </w:rPr>
            </w:pPr>
            <w:r w:rsidRPr="006D1B53">
              <w:rPr>
                <w:b/>
                <w:bCs/>
              </w:rPr>
              <w:t>COUPLE one eligible partner</w:t>
            </w:r>
          </w:p>
        </w:tc>
        <w:tc>
          <w:tcPr>
            <w:tcW w:w="2109" w:type="dxa"/>
          </w:tcPr>
          <w:p w14:paraId="59636946" w14:textId="77777777" w:rsidR="00104911" w:rsidRPr="006D1B53" w:rsidRDefault="00104911" w:rsidP="006435E9">
            <w:pPr>
              <w:pStyle w:val="BodyText"/>
              <w:rPr>
                <w:b/>
                <w:bCs/>
              </w:rPr>
            </w:pPr>
            <w:r w:rsidRPr="006D1B53">
              <w:rPr>
                <w:b/>
                <w:bCs/>
              </w:rPr>
              <w:t>COUPLE separated due to ill health</w:t>
            </w:r>
          </w:p>
        </w:tc>
      </w:tr>
      <w:tr w:rsidR="00104911" w:rsidRPr="00AE4F31" w14:paraId="0EA87B73" w14:textId="77777777" w:rsidTr="00034C1C">
        <w:trPr>
          <w:trHeight w:val="636"/>
        </w:trPr>
        <w:tc>
          <w:tcPr>
            <w:tcW w:w="2109" w:type="dxa"/>
          </w:tcPr>
          <w:p w14:paraId="5416D459" w14:textId="77777777" w:rsidR="00104911" w:rsidRPr="00746A75" w:rsidRDefault="00104911" w:rsidP="00746A75">
            <w:pPr>
              <w:pStyle w:val="BodyText"/>
              <w:rPr>
                <w:b/>
                <w:bCs/>
              </w:rPr>
            </w:pPr>
            <w:r w:rsidRPr="00746A75">
              <w:rPr>
                <w:b/>
                <w:bCs/>
              </w:rPr>
              <w:t xml:space="preserve">How much pension </w:t>
            </w:r>
            <w:r w:rsidRPr="00746A75">
              <w:rPr>
                <w:b/>
                <w:bCs/>
                <w:vertAlign w:val="superscript"/>
              </w:rPr>
              <w:t>1, 2, 3, 4</w:t>
            </w:r>
          </w:p>
        </w:tc>
        <w:tc>
          <w:tcPr>
            <w:tcW w:w="2109" w:type="dxa"/>
          </w:tcPr>
          <w:p w14:paraId="0ADD4DBA" w14:textId="77777777" w:rsidR="00104911" w:rsidRPr="00746A75" w:rsidRDefault="00104911" w:rsidP="00746A75">
            <w:pPr>
              <w:pStyle w:val="BodyText"/>
              <w:rPr>
                <w:b/>
                <w:bCs/>
              </w:rPr>
            </w:pPr>
            <w:r w:rsidRPr="00746A75">
              <w:rPr>
                <w:b/>
                <w:bCs/>
              </w:rPr>
              <w:t>Per year</w:t>
            </w:r>
          </w:p>
        </w:tc>
        <w:tc>
          <w:tcPr>
            <w:tcW w:w="2109" w:type="dxa"/>
          </w:tcPr>
          <w:p w14:paraId="66FB818E" w14:textId="77777777" w:rsidR="00104911" w:rsidRPr="00746A75" w:rsidRDefault="00104911" w:rsidP="00746A75">
            <w:pPr>
              <w:pStyle w:val="BodyText"/>
              <w:rPr>
                <w:b/>
                <w:bCs/>
              </w:rPr>
            </w:pPr>
            <w:r w:rsidRPr="00746A75">
              <w:rPr>
                <w:b/>
                <w:bCs/>
              </w:rPr>
              <w:t>Per year</w:t>
            </w:r>
          </w:p>
        </w:tc>
        <w:tc>
          <w:tcPr>
            <w:tcW w:w="2109" w:type="dxa"/>
          </w:tcPr>
          <w:p w14:paraId="59A60C23" w14:textId="77777777" w:rsidR="00104911" w:rsidRPr="00746A75" w:rsidRDefault="00104911" w:rsidP="00746A75">
            <w:pPr>
              <w:pStyle w:val="BodyText"/>
              <w:rPr>
                <w:b/>
                <w:bCs/>
              </w:rPr>
            </w:pPr>
            <w:r w:rsidRPr="00746A75">
              <w:rPr>
                <w:b/>
                <w:bCs/>
              </w:rPr>
              <w:t>Per year</w:t>
            </w:r>
          </w:p>
        </w:tc>
        <w:tc>
          <w:tcPr>
            <w:tcW w:w="2109" w:type="dxa"/>
          </w:tcPr>
          <w:p w14:paraId="522C759A" w14:textId="77777777" w:rsidR="00104911" w:rsidRPr="00746A75" w:rsidRDefault="00104911" w:rsidP="00746A75">
            <w:pPr>
              <w:pStyle w:val="BodyText"/>
              <w:rPr>
                <w:b/>
                <w:bCs/>
              </w:rPr>
            </w:pPr>
            <w:r w:rsidRPr="00746A75">
              <w:rPr>
                <w:b/>
                <w:bCs/>
              </w:rPr>
              <w:t>Per year each</w:t>
            </w:r>
          </w:p>
        </w:tc>
      </w:tr>
      <w:tr w:rsidR="00104911" w:rsidRPr="00AE4F31" w14:paraId="7601A461" w14:textId="77777777" w:rsidTr="00034C1C">
        <w:trPr>
          <w:trHeight w:val="453"/>
        </w:trPr>
        <w:tc>
          <w:tcPr>
            <w:tcW w:w="2109" w:type="dxa"/>
          </w:tcPr>
          <w:p w14:paraId="7094B0D5" w14:textId="77777777" w:rsidR="00104911" w:rsidRPr="00AE4F31" w:rsidRDefault="00104911" w:rsidP="00746A75">
            <w:pPr>
              <w:pStyle w:val="BodyText"/>
            </w:pPr>
            <w:r w:rsidRPr="00AE4F31">
              <w:t>Maximum basic rate</w:t>
            </w:r>
          </w:p>
        </w:tc>
        <w:tc>
          <w:tcPr>
            <w:tcW w:w="2109" w:type="dxa"/>
          </w:tcPr>
          <w:p w14:paraId="1350D537" w14:textId="77777777" w:rsidR="00104911" w:rsidRPr="00AE4F31" w:rsidRDefault="00104911" w:rsidP="00746A75">
            <w:pPr>
              <w:pStyle w:val="BodyText"/>
            </w:pPr>
            <w:r w:rsidRPr="00AE4F31">
              <w:t>A$26,065.00</w:t>
            </w:r>
          </w:p>
        </w:tc>
        <w:tc>
          <w:tcPr>
            <w:tcW w:w="2109" w:type="dxa"/>
          </w:tcPr>
          <w:p w14:paraId="1F105FF2" w14:textId="77777777" w:rsidR="00104911" w:rsidRPr="00AE4F31" w:rsidRDefault="00104911" w:rsidP="00746A75">
            <w:pPr>
              <w:pStyle w:val="BodyText"/>
            </w:pPr>
            <w:r w:rsidRPr="00AE4F31">
              <w:t>A$39,296.40</w:t>
            </w:r>
          </w:p>
        </w:tc>
        <w:tc>
          <w:tcPr>
            <w:tcW w:w="2109" w:type="dxa"/>
          </w:tcPr>
          <w:p w14:paraId="523D8CE5" w14:textId="77777777" w:rsidR="00104911" w:rsidRPr="00AE4F31" w:rsidRDefault="00104911" w:rsidP="00746A75">
            <w:pPr>
              <w:pStyle w:val="BodyText"/>
            </w:pPr>
            <w:r w:rsidRPr="00AE4F31">
              <w:t>A$19,648.20</w:t>
            </w:r>
          </w:p>
        </w:tc>
        <w:tc>
          <w:tcPr>
            <w:tcW w:w="2109" w:type="dxa"/>
          </w:tcPr>
          <w:p w14:paraId="1E53200F" w14:textId="77777777" w:rsidR="00104911" w:rsidRPr="00AE4F31" w:rsidRDefault="00104911" w:rsidP="00746A75">
            <w:pPr>
              <w:pStyle w:val="BodyText"/>
            </w:pPr>
            <w:r w:rsidRPr="00AE4F31">
              <w:t>A$26,065.00</w:t>
            </w:r>
          </w:p>
        </w:tc>
      </w:tr>
      <w:tr w:rsidR="00104911" w:rsidRPr="00AE4F31" w14:paraId="36FFACC0" w14:textId="77777777" w:rsidTr="00034C1C">
        <w:trPr>
          <w:trHeight w:val="387"/>
        </w:trPr>
        <w:tc>
          <w:tcPr>
            <w:tcW w:w="2109" w:type="dxa"/>
          </w:tcPr>
          <w:p w14:paraId="380C21A3" w14:textId="77777777" w:rsidR="00104911" w:rsidRPr="00AE4F31" w:rsidRDefault="00104911" w:rsidP="00746A75">
            <w:pPr>
              <w:pStyle w:val="BodyText"/>
            </w:pPr>
            <w:r w:rsidRPr="00AE4F31">
              <w:t>Basic Pension Supplement</w:t>
            </w:r>
          </w:p>
        </w:tc>
        <w:tc>
          <w:tcPr>
            <w:tcW w:w="2109" w:type="dxa"/>
          </w:tcPr>
          <w:p w14:paraId="4473428E" w14:textId="77777777" w:rsidR="00104911" w:rsidRPr="00AE4F31" w:rsidRDefault="00104911" w:rsidP="00746A75">
            <w:pPr>
              <w:pStyle w:val="BodyText"/>
            </w:pPr>
            <w:r w:rsidRPr="00AE4F31">
              <w:t>A$722.80</w:t>
            </w:r>
          </w:p>
        </w:tc>
        <w:tc>
          <w:tcPr>
            <w:tcW w:w="2109" w:type="dxa"/>
          </w:tcPr>
          <w:p w14:paraId="14CD2159" w14:textId="77777777" w:rsidR="00104911" w:rsidRPr="00AE4F31" w:rsidRDefault="00104911" w:rsidP="00746A75">
            <w:pPr>
              <w:pStyle w:val="BodyText"/>
            </w:pPr>
            <w:r w:rsidRPr="00AE4F31">
              <w:t>A$1,190.80</w:t>
            </w:r>
          </w:p>
        </w:tc>
        <w:tc>
          <w:tcPr>
            <w:tcW w:w="2109" w:type="dxa"/>
          </w:tcPr>
          <w:p w14:paraId="1C850C0E" w14:textId="77777777" w:rsidR="00104911" w:rsidRPr="00AE4F31" w:rsidRDefault="00104911" w:rsidP="00746A75">
            <w:pPr>
              <w:pStyle w:val="BodyText"/>
            </w:pPr>
            <w:r w:rsidRPr="00AE4F31">
              <w:t>A$595.40</w:t>
            </w:r>
          </w:p>
        </w:tc>
        <w:tc>
          <w:tcPr>
            <w:tcW w:w="2109" w:type="dxa"/>
          </w:tcPr>
          <w:p w14:paraId="372C3BD2" w14:textId="77777777" w:rsidR="00104911" w:rsidRPr="00AE4F31" w:rsidRDefault="00104911" w:rsidP="00746A75">
            <w:pPr>
              <w:pStyle w:val="BodyText"/>
            </w:pPr>
            <w:r w:rsidRPr="00AE4F31">
              <w:t>A$722.80</w:t>
            </w:r>
          </w:p>
        </w:tc>
      </w:tr>
      <w:tr w:rsidR="00104911" w:rsidRPr="00AE4F31" w14:paraId="33D36A54" w14:textId="77777777" w:rsidTr="00034C1C">
        <w:trPr>
          <w:trHeight w:val="453"/>
        </w:trPr>
        <w:tc>
          <w:tcPr>
            <w:tcW w:w="2109" w:type="dxa"/>
          </w:tcPr>
          <w:p w14:paraId="099303D7" w14:textId="77777777" w:rsidR="00104911" w:rsidRPr="00746A75" w:rsidRDefault="00104911" w:rsidP="00746A75">
            <w:pPr>
              <w:pStyle w:val="BodyText"/>
              <w:rPr>
                <w:b/>
                <w:bCs/>
              </w:rPr>
            </w:pPr>
            <w:r w:rsidRPr="00746A75">
              <w:rPr>
                <w:b/>
                <w:bCs/>
              </w:rPr>
              <w:t>Total</w:t>
            </w:r>
          </w:p>
        </w:tc>
        <w:tc>
          <w:tcPr>
            <w:tcW w:w="2109" w:type="dxa"/>
          </w:tcPr>
          <w:p w14:paraId="68070A86" w14:textId="77777777" w:rsidR="00104911" w:rsidRPr="00746A75" w:rsidRDefault="00104911" w:rsidP="00746A75">
            <w:pPr>
              <w:pStyle w:val="BodyText"/>
              <w:rPr>
                <w:b/>
                <w:bCs/>
              </w:rPr>
            </w:pPr>
            <w:r w:rsidRPr="00746A75">
              <w:rPr>
                <w:b/>
                <w:bCs/>
              </w:rPr>
              <w:t>A$26,787.80</w:t>
            </w:r>
          </w:p>
        </w:tc>
        <w:tc>
          <w:tcPr>
            <w:tcW w:w="2109" w:type="dxa"/>
          </w:tcPr>
          <w:p w14:paraId="712B9217" w14:textId="77777777" w:rsidR="00104911" w:rsidRPr="00746A75" w:rsidRDefault="00104911" w:rsidP="00746A75">
            <w:pPr>
              <w:pStyle w:val="BodyText"/>
              <w:rPr>
                <w:b/>
                <w:bCs/>
              </w:rPr>
            </w:pPr>
            <w:r w:rsidRPr="00746A75">
              <w:rPr>
                <w:b/>
                <w:bCs/>
              </w:rPr>
              <w:t>A$40,487.20</w:t>
            </w:r>
          </w:p>
        </w:tc>
        <w:tc>
          <w:tcPr>
            <w:tcW w:w="2109" w:type="dxa"/>
          </w:tcPr>
          <w:p w14:paraId="2F906D46" w14:textId="77777777" w:rsidR="00104911" w:rsidRPr="00746A75" w:rsidRDefault="00104911" w:rsidP="00746A75">
            <w:pPr>
              <w:pStyle w:val="BodyText"/>
              <w:rPr>
                <w:b/>
                <w:bCs/>
              </w:rPr>
            </w:pPr>
            <w:r w:rsidRPr="00746A75">
              <w:rPr>
                <w:b/>
                <w:bCs/>
              </w:rPr>
              <w:t>A$20,243.60</w:t>
            </w:r>
          </w:p>
        </w:tc>
        <w:tc>
          <w:tcPr>
            <w:tcW w:w="2109" w:type="dxa"/>
          </w:tcPr>
          <w:p w14:paraId="52BCE614" w14:textId="77777777" w:rsidR="00104911" w:rsidRPr="00746A75" w:rsidRDefault="00104911" w:rsidP="00746A75">
            <w:pPr>
              <w:pStyle w:val="BodyText"/>
              <w:rPr>
                <w:b/>
                <w:bCs/>
              </w:rPr>
            </w:pPr>
            <w:r w:rsidRPr="00746A75">
              <w:rPr>
                <w:b/>
                <w:bCs/>
              </w:rPr>
              <w:t>A$26,787.80</w:t>
            </w:r>
          </w:p>
        </w:tc>
      </w:tr>
      <w:tr w:rsidR="00104911" w:rsidRPr="00AE4F31" w14:paraId="40C15086" w14:textId="77777777" w:rsidTr="00034C1C">
        <w:trPr>
          <w:trHeight w:val="387"/>
        </w:trPr>
        <w:tc>
          <w:tcPr>
            <w:tcW w:w="2109" w:type="dxa"/>
          </w:tcPr>
          <w:p w14:paraId="50A2E2EB" w14:textId="77777777" w:rsidR="00104911" w:rsidRPr="00746A75" w:rsidRDefault="00104911" w:rsidP="00746A75">
            <w:pPr>
              <w:pStyle w:val="BodyText"/>
              <w:rPr>
                <w:b/>
                <w:bCs/>
              </w:rPr>
            </w:pPr>
            <w:r w:rsidRPr="00746A75">
              <w:rPr>
                <w:b/>
                <w:bCs/>
              </w:rPr>
              <w:t xml:space="preserve">Allowable Income </w:t>
            </w:r>
            <w:r w:rsidRPr="00746A75">
              <w:rPr>
                <w:b/>
                <w:bCs/>
                <w:vertAlign w:val="superscript"/>
              </w:rPr>
              <w:t>4</w:t>
            </w:r>
          </w:p>
        </w:tc>
        <w:tc>
          <w:tcPr>
            <w:tcW w:w="2109" w:type="dxa"/>
          </w:tcPr>
          <w:p w14:paraId="13E83960" w14:textId="77777777" w:rsidR="00104911" w:rsidRPr="00746A75" w:rsidRDefault="00104911" w:rsidP="00746A75">
            <w:pPr>
              <w:pStyle w:val="BodyText"/>
              <w:rPr>
                <w:b/>
                <w:bCs/>
              </w:rPr>
            </w:pPr>
            <w:r w:rsidRPr="00746A75">
              <w:rPr>
                <w:b/>
                <w:bCs/>
              </w:rPr>
              <w:t>Per year</w:t>
            </w:r>
          </w:p>
        </w:tc>
        <w:tc>
          <w:tcPr>
            <w:tcW w:w="2109" w:type="dxa"/>
          </w:tcPr>
          <w:p w14:paraId="4EEDCFD9" w14:textId="77777777" w:rsidR="00104911" w:rsidRPr="00746A75" w:rsidRDefault="00104911" w:rsidP="00746A75">
            <w:pPr>
              <w:pStyle w:val="BodyText"/>
              <w:rPr>
                <w:b/>
                <w:bCs/>
              </w:rPr>
            </w:pPr>
            <w:r w:rsidRPr="00746A75">
              <w:rPr>
                <w:b/>
                <w:bCs/>
              </w:rPr>
              <w:t>Combined</w:t>
            </w:r>
          </w:p>
        </w:tc>
        <w:tc>
          <w:tcPr>
            <w:tcW w:w="2109" w:type="dxa"/>
          </w:tcPr>
          <w:p w14:paraId="144B859C" w14:textId="77777777" w:rsidR="00104911" w:rsidRPr="00746A75" w:rsidRDefault="00104911" w:rsidP="00746A75">
            <w:pPr>
              <w:pStyle w:val="BodyText"/>
              <w:rPr>
                <w:b/>
                <w:bCs/>
              </w:rPr>
            </w:pPr>
            <w:r w:rsidRPr="00746A75">
              <w:rPr>
                <w:b/>
                <w:bCs/>
              </w:rPr>
              <w:t>Combined</w:t>
            </w:r>
          </w:p>
        </w:tc>
        <w:tc>
          <w:tcPr>
            <w:tcW w:w="2109" w:type="dxa"/>
          </w:tcPr>
          <w:p w14:paraId="305179FB" w14:textId="77777777" w:rsidR="00104911" w:rsidRPr="00746A75" w:rsidRDefault="00104911" w:rsidP="00746A75">
            <w:pPr>
              <w:pStyle w:val="BodyText"/>
              <w:rPr>
                <w:b/>
                <w:bCs/>
              </w:rPr>
            </w:pPr>
            <w:r w:rsidRPr="00746A75">
              <w:rPr>
                <w:b/>
                <w:bCs/>
              </w:rPr>
              <w:t>Combined</w:t>
            </w:r>
          </w:p>
        </w:tc>
      </w:tr>
      <w:tr w:rsidR="00104911" w:rsidRPr="00AE4F31" w14:paraId="1AD9FC26" w14:textId="77777777" w:rsidTr="00034C1C">
        <w:trPr>
          <w:trHeight w:val="376"/>
        </w:trPr>
        <w:tc>
          <w:tcPr>
            <w:tcW w:w="2109" w:type="dxa"/>
          </w:tcPr>
          <w:p w14:paraId="533B0350" w14:textId="77777777" w:rsidR="00104911" w:rsidRPr="00AE4F31" w:rsidRDefault="00104911" w:rsidP="00746A75">
            <w:pPr>
              <w:pStyle w:val="BodyText"/>
            </w:pPr>
            <w:r w:rsidRPr="00AE4F31">
              <w:t>Full pension</w:t>
            </w:r>
          </w:p>
        </w:tc>
        <w:tc>
          <w:tcPr>
            <w:tcW w:w="2109" w:type="dxa"/>
          </w:tcPr>
          <w:p w14:paraId="19FAFDB7" w14:textId="77777777" w:rsidR="00104911" w:rsidRPr="00AE4F31" w:rsidRDefault="00104911" w:rsidP="00746A75">
            <w:pPr>
              <w:pStyle w:val="BodyText"/>
            </w:pPr>
            <w:r w:rsidRPr="00AE4F31">
              <w:t xml:space="preserve">up to </w:t>
            </w:r>
            <w:r w:rsidRPr="00AE4F31">
              <w:br/>
              <w:t>A$5,304.00</w:t>
            </w:r>
          </w:p>
        </w:tc>
        <w:tc>
          <w:tcPr>
            <w:tcW w:w="2109" w:type="dxa"/>
          </w:tcPr>
          <w:p w14:paraId="4CE40D4D" w14:textId="77777777" w:rsidR="00104911" w:rsidRPr="00AE4F31" w:rsidRDefault="00104911" w:rsidP="00746A75">
            <w:pPr>
              <w:pStyle w:val="BodyText"/>
            </w:pPr>
            <w:r w:rsidRPr="00AE4F31">
              <w:t xml:space="preserve">up to </w:t>
            </w:r>
            <w:r w:rsidRPr="00AE4F31">
              <w:br/>
              <w:t>A$9,360.00</w:t>
            </w:r>
          </w:p>
        </w:tc>
        <w:tc>
          <w:tcPr>
            <w:tcW w:w="2109" w:type="dxa"/>
          </w:tcPr>
          <w:p w14:paraId="63DF292C" w14:textId="77777777" w:rsidR="00104911" w:rsidRPr="00AE4F31" w:rsidRDefault="00104911" w:rsidP="00746A75">
            <w:pPr>
              <w:pStyle w:val="BodyText"/>
            </w:pPr>
            <w:r w:rsidRPr="00AE4F31">
              <w:t xml:space="preserve">up to </w:t>
            </w:r>
            <w:r w:rsidRPr="00AE4F31">
              <w:br/>
              <w:t>A$9,360.00</w:t>
            </w:r>
          </w:p>
        </w:tc>
        <w:tc>
          <w:tcPr>
            <w:tcW w:w="2109" w:type="dxa"/>
          </w:tcPr>
          <w:p w14:paraId="033B73E6" w14:textId="77777777" w:rsidR="00104911" w:rsidRPr="00AE4F31" w:rsidRDefault="00104911" w:rsidP="00746A75">
            <w:pPr>
              <w:pStyle w:val="BodyText"/>
            </w:pPr>
            <w:r w:rsidRPr="00AE4F31">
              <w:t xml:space="preserve">up to </w:t>
            </w:r>
            <w:r w:rsidRPr="00AE4F31">
              <w:br/>
              <w:t>A$9,360.00</w:t>
            </w:r>
          </w:p>
        </w:tc>
      </w:tr>
      <w:tr w:rsidR="00104911" w:rsidRPr="00AE4F31" w14:paraId="58BDC629" w14:textId="77777777" w:rsidTr="00034C1C">
        <w:trPr>
          <w:trHeight w:val="387"/>
        </w:trPr>
        <w:tc>
          <w:tcPr>
            <w:tcW w:w="2109" w:type="dxa"/>
          </w:tcPr>
          <w:p w14:paraId="37AAFD1F" w14:textId="77777777" w:rsidR="00104911" w:rsidRPr="00AE4F31" w:rsidRDefault="00104911" w:rsidP="00746A75">
            <w:pPr>
              <w:pStyle w:val="BodyText"/>
            </w:pPr>
            <w:r w:rsidRPr="00AE4F31">
              <w:lastRenderedPageBreak/>
              <w:t>Part pension</w:t>
            </w:r>
          </w:p>
        </w:tc>
        <w:tc>
          <w:tcPr>
            <w:tcW w:w="2109" w:type="dxa"/>
          </w:tcPr>
          <w:p w14:paraId="35BD6B66" w14:textId="77777777" w:rsidR="00104911" w:rsidRPr="00AE4F31" w:rsidRDefault="00104911" w:rsidP="00746A75">
            <w:pPr>
              <w:pStyle w:val="BodyText"/>
            </w:pPr>
            <w:r w:rsidRPr="00AE4F31">
              <w:t>Less than A$58,879.60</w:t>
            </w:r>
          </w:p>
        </w:tc>
        <w:tc>
          <w:tcPr>
            <w:tcW w:w="2109" w:type="dxa"/>
          </w:tcPr>
          <w:p w14:paraId="3ECDF96D" w14:textId="77777777" w:rsidR="00104911" w:rsidRPr="00AE4F31" w:rsidRDefault="00104911" w:rsidP="00746A75">
            <w:pPr>
              <w:pStyle w:val="BodyText"/>
            </w:pPr>
            <w:r w:rsidRPr="00AE4F31">
              <w:t xml:space="preserve">Less than A$90,334.40 </w:t>
            </w:r>
          </w:p>
        </w:tc>
        <w:tc>
          <w:tcPr>
            <w:tcW w:w="2109" w:type="dxa"/>
          </w:tcPr>
          <w:p w14:paraId="7EE6AE79" w14:textId="77777777" w:rsidR="00104911" w:rsidRPr="00AE4F31" w:rsidRDefault="00104911" w:rsidP="00746A75">
            <w:pPr>
              <w:pStyle w:val="BodyText"/>
            </w:pPr>
            <w:r w:rsidRPr="00AE4F31">
              <w:t>Less than A$90,334.40</w:t>
            </w:r>
          </w:p>
        </w:tc>
        <w:tc>
          <w:tcPr>
            <w:tcW w:w="2109" w:type="dxa"/>
          </w:tcPr>
          <w:p w14:paraId="72C05D07" w14:textId="77777777" w:rsidR="00104911" w:rsidRPr="00AE4F31" w:rsidRDefault="00104911" w:rsidP="00746A75">
            <w:pPr>
              <w:pStyle w:val="BodyText"/>
            </w:pPr>
            <w:r w:rsidRPr="00AE4F31">
              <w:t xml:space="preserve">Less than A$116,511.20 </w:t>
            </w:r>
          </w:p>
        </w:tc>
      </w:tr>
      <w:tr w:rsidR="00104911" w:rsidRPr="00AE4F31" w14:paraId="1BCD3AAE" w14:textId="77777777" w:rsidTr="00034C1C">
        <w:trPr>
          <w:trHeight w:val="387"/>
        </w:trPr>
        <w:tc>
          <w:tcPr>
            <w:tcW w:w="2109" w:type="dxa"/>
          </w:tcPr>
          <w:p w14:paraId="0367ED0A" w14:textId="77777777" w:rsidR="00104911" w:rsidRPr="00746A75" w:rsidRDefault="00104911" w:rsidP="00746A75">
            <w:pPr>
              <w:pStyle w:val="BodyText"/>
              <w:rPr>
                <w:b/>
                <w:bCs/>
              </w:rPr>
            </w:pPr>
            <w:r w:rsidRPr="00746A75">
              <w:rPr>
                <w:b/>
                <w:bCs/>
              </w:rPr>
              <w:t xml:space="preserve">Allowable Assets </w:t>
            </w:r>
            <w:r w:rsidRPr="00746A75">
              <w:rPr>
                <w:b/>
                <w:bCs/>
                <w:vertAlign w:val="superscript"/>
              </w:rPr>
              <w:t>5</w:t>
            </w:r>
          </w:p>
        </w:tc>
        <w:tc>
          <w:tcPr>
            <w:tcW w:w="2109" w:type="dxa"/>
          </w:tcPr>
          <w:p w14:paraId="44FD3974" w14:textId="77777777" w:rsidR="00104911" w:rsidRPr="00746A75" w:rsidRDefault="00104911" w:rsidP="00746A75">
            <w:pPr>
              <w:pStyle w:val="BodyText"/>
              <w:rPr>
                <w:b/>
                <w:bCs/>
              </w:rPr>
            </w:pPr>
            <w:r w:rsidRPr="00746A75">
              <w:rPr>
                <w:b/>
                <w:bCs/>
              </w:rPr>
              <w:t>Single</w:t>
            </w:r>
          </w:p>
        </w:tc>
        <w:tc>
          <w:tcPr>
            <w:tcW w:w="2109" w:type="dxa"/>
          </w:tcPr>
          <w:p w14:paraId="4191E00C" w14:textId="77777777" w:rsidR="00104911" w:rsidRPr="00746A75" w:rsidRDefault="00104911" w:rsidP="00746A75">
            <w:pPr>
              <w:pStyle w:val="BodyText"/>
              <w:rPr>
                <w:b/>
                <w:bCs/>
              </w:rPr>
            </w:pPr>
            <w:r w:rsidRPr="00746A75">
              <w:rPr>
                <w:b/>
                <w:bCs/>
              </w:rPr>
              <w:t>Combined</w:t>
            </w:r>
          </w:p>
        </w:tc>
        <w:tc>
          <w:tcPr>
            <w:tcW w:w="2109" w:type="dxa"/>
          </w:tcPr>
          <w:p w14:paraId="144CFC16" w14:textId="77777777" w:rsidR="00104911" w:rsidRPr="00746A75" w:rsidRDefault="00104911" w:rsidP="00746A75">
            <w:pPr>
              <w:pStyle w:val="BodyText"/>
              <w:rPr>
                <w:b/>
                <w:bCs/>
              </w:rPr>
            </w:pPr>
            <w:r w:rsidRPr="00746A75">
              <w:rPr>
                <w:b/>
                <w:bCs/>
              </w:rPr>
              <w:t>Combined</w:t>
            </w:r>
          </w:p>
        </w:tc>
        <w:tc>
          <w:tcPr>
            <w:tcW w:w="2109" w:type="dxa"/>
          </w:tcPr>
          <w:p w14:paraId="686F95A8" w14:textId="77777777" w:rsidR="00104911" w:rsidRPr="00746A75" w:rsidRDefault="00104911" w:rsidP="00746A75">
            <w:pPr>
              <w:pStyle w:val="BodyText"/>
              <w:rPr>
                <w:b/>
                <w:bCs/>
              </w:rPr>
            </w:pPr>
            <w:r w:rsidRPr="00746A75">
              <w:rPr>
                <w:b/>
                <w:bCs/>
              </w:rPr>
              <w:t>Combined</w:t>
            </w:r>
          </w:p>
        </w:tc>
      </w:tr>
      <w:tr w:rsidR="00104911" w:rsidRPr="00AE4F31" w14:paraId="2B7483CB" w14:textId="77777777" w:rsidTr="00034C1C">
        <w:trPr>
          <w:trHeight w:val="387"/>
        </w:trPr>
        <w:tc>
          <w:tcPr>
            <w:tcW w:w="2109" w:type="dxa"/>
          </w:tcPr>
          <w:p w14:paraId="2B50E739" w14:textId="77777777" w:rsidR="00104911" w:rsidRPr="00AE4F31" w:rsidRDefault="00104911" w:rsidP="00746A75">
            <w:pPr>
              <w:pStyle w:val="BodyText"/>
            </w:pPr>
            <w:r w:rsidRPr="00AE4F31">
              <w:t>Full pension — Homeowner</w:t>
            </w:r>
          </w:p>
        </w:tc>
        <w:tc>
          <w:tcPr>
            <w:tcW w:w="2109" w:type="dxa"/>
          </w:tcPr>
          <w:p w14:paraId="59C35085" w14:textId="77777777" w:rsidR="00104911" w:rsidRPr="00AE4F31" w:rsidRDefault="00104911" w:rsidP="00746A75">
            <w:pPr>
              <w:pStyle w:val="BodyText"/>
            </w:pPr>
            <w:r w:rsidRPr="00AE4F31">
              <w:t>A$301,750</w:t>
            </w:r>
          </w:p>
        </w:tc>
        <w:tc>
          <w:tcPr>
            <w:tcW w:w="2109" w:type="dxa"/>
          </w:tcPr>
          <w:p w14:paraId="34F4DDDA" w14:textId="77777777" w:rsidR="00104911" w:rsidRPr="00AE4F31" w:rsidRDefault="00104911" w:rsidP="00746A75">
            <w:pPr>
              <w:pStyle w:val="BodyText"/>
            </w:pPr>
            <w:r w:rsidRPr="00AE4F31">
              <w:t>A$451,500</w:t>
            </w:r>
          </w:p>
        </w:tc>
        <w:tc>
          <w:tcPr>
            <w:tcW w:w="2109" w:type="dxa"/>
          </w:tcPr>
          <w:p w14:paraId="30EFBE60" w14:textId="77777777" w:rsidR="00104911" w:rsidRPr="00AE4F31" w:rsidRDefault="00104911" w:rsidP="00746A75">
            <w:pPr>
              <w:pStyle w:val="BodyText"/>
            </w:pPr>
            <w:r w:rsidRPr="00AE4F31">
              <w:t>A$451,500</w:t>
            </w:r>
          </w:p>
        </w:tc>
        <w:tc>
          <w:tcPr>
            <w:tcW w:w="2109" w:type="dxa"/>
          </w:tcPr>
          <w:p w14:paraId="78673BF8" w14:textId="77777777" w:rsidR="00104911" w:rsidRPr="00AE4F31" w:rsidRDefault="00104911" w:rsidP="00746A75">
            <w:pPr>
              <w:pStyle w:val="BodyText"/>
            </w:pPr>
            <w:r w:rsidRPr="00AE4F31">
              <w:t>A$451,500</w:t>
            </w:r>
          </w:p>
        </w:tc>
      </w:tr>
      <w:tr w:rsidR="00104911" w:rsidRPr="00AE4F31" w14:paraId="5EFC5456" w14:textId="77777777" w:rsidTr="00034C1C">
        <w:trPr>
          <w:trHeight w:val="387"/>
        </w:trPr>
        <w:tc>
          <w:tcPr>
            <w:tcW w:w="2109" w:type="dxa"/>
          </w:tcPr>
          <w:p w14:paraId="2FF0CF66" w14:textId="77777777" w:rsidR="00104911" w:rsidRPr="00AE4F31" w:rsidRDefault="00104911" w:rsidP="00746A75">
            <w:pPr>
              <w:pStyle w:val="BodyText"/>
            </w:pPr>
            <w:r w:rsidRPr="00AE4F31">
              <w:t>Full pension — Non-homeowner</w:t>
            </w:r>
          </w:p>
        </w:tc>
        <w:tc>
          <w:tcPr>
            <w:tcW w:w="2109" w:type="dxa"/>
          </w:tcPr>
          <w:p w14:paraId="44514EED" w14:textId="77777777" w:rsidR="00104911" w:rsidRPr="00AE4F31" w:rsidRDefault="00104911" w:rsidP="00746A75">
            <w:pPr>
              <w:pStyle w:val="BodyText"/>
            </w:pPr>
            <w:r w:rsidRPr="00AE4F31">
              <w:t>A$543,750</w:t>
            </w:r>
          </w:p>
        </w:tc>
        <w:tc>
          <w:tcPr>
            <w:tcW w:w="2109" w:type="dxa"/>
          </w:tcPr>
          <w:p w14:paraId="7E4DAFE3" w14:textId="77777777" w:rsidR="00104911" w:rsidRPr="00AE4F31" w:rsidRDefault="00104911" w:rsidP="00746A75">
            <w:pPr>
              <w:pStyle w:val="BodyText"/>
            </w:pPr>
            <w:r w:rsidRPr="00AE4F31">
              <w:t>A$693,500</w:t>
            </w:r>
          </w:p>
        </w:tc>
        <w:tc>
          <w:tcPr>
            <w:tcW w:w="2109" w:type="dxa"/>
          </w:tcPr>
          <w:p w14:paraId="056196D9" w14:textId="77777777" w:rsidR="00104911" w:rsidRPr="00AE4F31" w:rsidRDefault="00104911" w:rsidP="00746A75">
            <w:pPr>
              <w:pStyle w:val="BodyText"/>
            </w:pPr>
            <w:r w:rsidRPr="00AE4F31">
              <w:t>A$693,500</w:t>
            </w:r>
          </w:p>
        </w:tc>
        <w:tc>
          <w:tcPr>
            <w:tcW w:w="2109" w:type="dxa"/>
          </w:tcPr>
          <w:p w14:paraId="0BE4AE38" w14:textId="77777777" w:rsidR="00104911" w:rsidRPr="00AE4F31" w:rsidRDefault="00104911" w:rsidP="00746A75">
            <w:pPr>
              <w:pStyle w:val="BodyText"/>
            </w:pPr>
            <w:r w:rsidRPr="00AE4F31">
              <w:t>A$693,500</w:t>
            </w:r>
          </w:p>
        </w:tc>
      </w:tr>
      <w:tr w:rsidR="00104911" w:rsidRPr="00AE4F31" w14:paraId="0BD88F32" w14:textId="77777777" w:rsidTr="00034C1C">
        <w:trPr>
          <w:trHeight w:val="387"/>
        </w:trPr>
        <w:tc>
          <w:tcPr>
            <w:tcW w:w="2109" w:type="dxa"/>
          </w:tcPr>
          <w:p w14:paraId="113C57B6" w14:textId="77777777" w:rsidR="00104911" w:rsidRPr="00AE4F31" w:rsidRDefault="00104911" w:rsidP="00746A75">
            <w:pPr>
              <w:pStyle w:val="BodyText"/>
            </w:pPr>
            <w:r w:rsidRPr="00AE4F31">
              <w:t>Part pension — Homeowner</w:t>
            </w:r>
          </w:p>
        </w:tc>
        <w:tc>
          <w:tcPr>
            <w:tcW w:w="2109" w:type="dxa"/>
          </w:tcPr>
          <w:p w14:paraId="52FDAD3E" w14:textId="77777777" w:rsidR="00104911" w:rsidRPr="00AE4F31" w:rsidRDefault="00104911" w:rsidP="00746A75">
            <w:pPr>
              <w:pStyle w:val="BodyText"/>
            </w:pPr>
            <w:r w:rsidRPr="00AE4F31">
              <w:t xml:space="preserve">Less than </w:t>
            </w:r>
            <w:r w:rsidRPr="00AE4F31">
              <w:br/>
              <w:t xml:space="preserve">A$645,250 </w:t>
            </w:r>
          </w:p>
        </w:tc>
        <w:tc>
          <w:tcPr>
            <w:tcW w:w="2109" w:type="dxa"/>
          </w:tcPr>
          <w:p w14:paraId="68EC1257" w14:textId="77777777" w:rsidR="00104911" w:rsidRPr="00AE4F31" w:rsidRDefault="00104911" w:rsidP="00746A75">
            <w:pPr>
              <w:pStyle w:val="BodyText"/>
            </w:pPr>
            <w:r w:rsidRPr="00AE4F31">
              <w:t xml:space="preserve">Less than </w:t>
            </w:r>
            <w:r w:rsidRPr="00AE4F31">
              <w:br/>
              <w:t>A$971,000</w:t>
            </w:r>
          </w:p>
        </w:tc>
        <w:tc>
          <w:tcPr>
            <w:tcW w:w="2109" w:type="dxa"/>
          </w:tcPr>
          <w:p w14:paraId="4388863F" w14:textId="77777777" w:rsidR="00104911" w:rsidRPr="00AE4F31" w:rsidRDefault="00104911" w:rsidP="00746A75">
            <w:pPr>
              <w:pStyle w:val="BodyText"/>
            </w:pPr>
            <w:r w:rsidRPr="00AE4F31">
              <w:t xml:space="preserve">Less than </w:t>
            </w:r>
            <w:r w:rsidRPr="00AE4F31">
              <w:br/>
              <w:t>A$971,000</w:t>
            </w:r>
          </w:p>
        </w:tc>
        <w:tc>
          <w:tcPr>
            <w:tcW w:w="2109" w:type="dxa"/>
          </w:tcPr>
          <w:p w14:paraId="6792F547" w14:textId="77777777" w:rsidR="00104911" w:rsidRPr="00AE4F31" w:rsidRDefault="00104911" w:rsidP="00746A75">
            <w:pPr>
              <w:pStyle w:val="BodyText"/>
            </w:pPr>
            <w:r w:rsidRPr="00AE4F31">
              <w:t>Less than A$1,138,500</w:t>
            </w:r>
          </w:p>
        </w:tc>
      </w:tr>
      <w:tr w:rsidR="00104911" w:rsidRPr="00AE4F31" w14:paraId="5DEEE846" w14:textId="77777777" w:rsidTr="00034C1C">
        <w:trPr>
          <w:trHeight w:val="387"/>
        </w:trPr>
        <w:tc>
          <w:tcPr>
            <w:tcW w:w="2109" w:type="dxa"/>
          </w:tcPr>
          <w:p w14:paraId="0DFA21F2" w14:textId="77777777" w:rsidR="00104911" w:rsidRPr="00AE4F31" w:rsidRDefault="00104911" w:rsidP="00746A75">
            <w:pPr>
              <w:pStyle w:val="BodyText"/>
            </w:pPr>
            <w:r w:rsidRPr="00AE4F31">
              <w:t>Part pension — Non-homeowner</w:t>
            </w:r>
          </w:p>
        </w:tc>
        <w:tc>
          <w:tcPr>
            <w:tcW w:w="2109" w:type="dxa"/>
          </w:tcPr>
          <w:p w14:paraId="4FF4FDE8" w14:textId="77777777" w:rsidR="00104911" w:rsidRPr="00AE4F31" w:rsidRDefault="00104911" w:rsidP="00746A75">
            <w:pPr>
              <w:pStyle w:val="BodyText"/>
            </w:pPr>
            <w:r w:rsidRPr="00AE4F31">
              <w:t xml:space="preserve">Less than </w:t>
            </w:r>
            <w:r w:rsidRPr="00AE4F31">
              <w:br/>
              <w:t>A$887,250</w:t>
            </w:r>
          </w:p>
        </w:tc>
        <w:tc>
          <w:tcPr>
            <w:tcW w:w="2109" w:type="dxa"/>
          </w:tcPr>
          <w:p w14:paraId="04BD8194" w14:textId="77777777" w:rsidR="00104911" w:rsidRPr="00AE4F31" w:rsidRDefault="00104911" w:rsidP="00746A75">
            <w:pPr>
              <w:pStyle w:val="BodyText"/>
            </w:pPr>
            <w:r w:rsidRPr="00AE4F31">
              <w:t xml:space="preserve">Less than </w:t>
            </w:r>
            <w:r w:rsidRPr="00AE4F31">
              <w:br/>
              <w:t>A$1,213,000</w:t>
            </w:r>
          </w:p>
        </w:tc>
        <w:tc>
          <w:tcPr>
            <w:tcW w:w="2109" w:type="dxa"/>
          </w:tcPr>
          <w:p w14:paraId="7520CB80" w14:textId="77777777" w:rsidR="00104911" w:rsidRPr="00AE4F31" w:rsidRDefault="00104911" w:rsidP="00746A75">
            <w:pPr>
              <w:pStyle w:val="BodyText"/>
            </w:pPr>
            <w:r w:rsidRPr="00AE4F31">
              <w:t xml:space="preserve">Less than </w:t>
            </w:r>
            <w:r w:rsidRPr="00AE4F31">
              <w:br/>
              <w:t>A$1,213,000</w:t>
            </w:r>
          </w:p>
        </w:tc>
        <w:tc>
          <w:tcPr>
            <w:tcW w:w="2109" w:type="dxa"/>
          </w:tcPr>
          <w:p w14:paraId="062BEB4F" w14:textId="77777777" w:rsidR="00104911" w:rsidRPr="00AE4F31" w:rsidRDefault="00104911" w:rsidP="00746A75">
            <w:pPr>
              <w:pStyle w:val="BodyText"/>
            </w:pPr>
            <w:r w:rsidRPr="00AE4F31">
              <w:t xml:space="preserve">Less than </w:t>
            </w:r>
            <w:r w:rsidRPr="00AE4F31">
              <w:br/>
              <w:t>A$1,380,500</w:t>
            </w:r>
          </w:p>
        </w:tc>
      </w:tr>
      <w:tr w:rsidR="00104911" w:rsidRPr="00AE4F31" w14:paraId="31073BA9" w14:textId="77777777" w:rsidTr="00034C1C">
        <w:trPr>
          <w:trHeight w:val="387"/>
        </w:trPr>
        <w:tc>
          <w:tcPr>
            <w:tcW w:w="2109" w:type="dxa"/>
          </w:tcPr>
          <w:p w14:paraId="3151B693" w14:textId="77777777" w:rsidR="00104911" w:rsidRPr="00746A75" w:rsidRDefault="00104911" w:rsidP="00746A75">
            <w:pPr>
              <w:pStyle w:val="BodyText"/>
              <w:rPr>
                <w:b/>
                <w:bCs/>
              </w:rPr>
            </w:pPr>
            <w:r w:rsidRPr="00746A75">
              <w:rPr>
                <w:b/>
                <w:bCs/>
              </w:rPr>
              <w:t>Deeming rates and thresholds</w:t>
            </w:r>
          </w:p>
        </w:tc>
        <w:tc>
          <w:tcPr>
            <w:tcW w:w="2109" w:type="dxa"/>
          </w:tcPr>
          <w:p w14:paraId="26D5E385" w14:textId="77777777" w:rsidR="00104911" w:rsidRPr="00746A75" w:rsidRDefault="00104911" w:rsidP="00746A75">
            <w:pPr>
              <w:pStyle w:val="BodyText"/>
              <w:rPr>
                <w:b/>
                <w:bCs/>
              </w:rPr>
            </w:pPr>
            <w:r w:rsidRPr="00746A75">
              <w:rPr>
                <w:b/>
                <w:bCs/>
              </w:rPr>
              <w:t>Single</w:t>
            </w:r>
          </w:p>
        </w:tc>
        <w:tc>
          <w:tcPr>
            <w:tcW w:w="2109" w:type="dxa"/>
          </w:tcPr>
          <w:p w14:paraId="76862F0B" w14:textId="77777777" w:rsidR="00104911" w:rsidRPr="00746A75" w:rsidRDefault="00104911" w:rsidP="00746A75">
            <w:pPr>
              <w:pStyle w:val="BodyText"/>
              <w:rPr>
                <w:b/>
                <w:bCs/>
              </w:rPr>
            </w:pPr>
            <w:r w:rsidRPr="00746A75">
              <w:rPr>
                <w:b/>
                <w:bCs/>
              </w:rPr>
              <w:t>Combined</w:t>
            </w:r>
          </w:p>
        </w:tc>
        <w:tc>
          <w:tcPr>
            <w:tcW w:w="2109" w:type="dxa"/>
          </w:tcPr>
          <w:p w14:paraId="14C7AF03" w14:textId="77777777" w:rsidR="00104911" w:rsidRPr="00746A75" w:rsidRDefault="00104911" w:rsidP="00746A75">
            <w:pPr>
              <w:pStyle w:val="BodyText"/>
              <w:rPr>
                <w:b/>
                <w:bCs/>
              </w:rPr>
            </w:pPr>
            <w:r w:rsidRPr="00746A75">
              <w:rPr>
                <w:b/>
                <w:bCs/>
              </w:rPr>
              <w:t>Combined</w:t>
            </w:r>
          </w:p>
        </w:tc>
        <w:tc>
          <w:tcPr>
            <w:tcW w:w="2109" w:type="dxa"/>
          </w:tcPr>
          <w:p w14:paraId="4B91BCDD" w14:textId="77777777" w:rsidR="00104911" w:rsidRPr="00746A75" w:rsidRDefault="00104911" w:rsidP="00746A75">
            <w:pPr>
              <w:pStyle w:val="BodyText"/>
              <w:rPr>
                <w:b/>
                <w:bCs/>
              </w:rPr>
            </w:pPr>
            <w:r w:rsidRPr="00746A75">
              <w:rPr>
                <w:b/>
                <w:bCs/>
              </w:rPr>
              <w:t>Combined</w:t>
            </w:r>
          </w:p>
        </w:tc>
      </w:tr>
      <w:tr w:rsidR="00104911" w:rsidRPr="00AE4F31" w14:paraId="5BA047CE" w14:textId="77777777" w:rsidTr="00034C1C">
        <w:trPr>
          <w:trHeight w:val="453"/>
        </w:trPr>
        <w:tc>
          <w:tcPr>
            <w:tcW w:w="2109" w:type="dxa"/>
          </w:tcPr>
          <w:p w14:paraId="7D887FE8" w14:textId="77777777" w:rsidR="00104911" w:rsidRPr="00AE4F31" w:rsidRDefault="00104911" w:rsidP="00746A75">
            <w:pPr>
              <w:pStyle w:val="BodyText"/>
            </w:pPr>
            <w:r w:rsidRPr="00AE4F31">
              <w:t>Threshold</w:t>
            </w:r>
          </w:p>
        </w:tc>
        <w:tc>
          <w:tcPr>
            <w:tcW w:w="2109" w:type="dxa"/>
          </w:tcPr>
          <w:p w14:paraId="789FEC5A" w14:textId="77777777" w:rsidR="00104911" w:rsidRPr="00AE4F31" w:rsidRDefault="00104911" w:rsidP="00746A75">
            <w:pPr>
              <w:pStyle w:val="BodyText"/>
            </w:pPr>
            <w:r w:rsidRPr="00AE4F31">
              <w:t>A$60,400</w:t>
            </w:r>
          </w:p>
        </w:tc>
        <w:tc>
          <w:tcPr>
            <w:tcW w:w="2109" w:type="dxa"/>
          </w:tcPr>
          <w:p w14:paraId="2A3B2950" w14:textId="77777777" w:rsidR="00104911" w:rsidRPr="00AE4F31" w:rsidRDefault="00104911" w:rsidP="00746A75">
            <w:pPr>
              <w:pStyle w:val="BodyText"/>
            </w:pPr>
            <w:r w:rsidRPr="00AE4F31">
              <w:t>A$100,200</w:t>
            </w:r>
          </w:p>
        </w:tc>
        <w:tc>
          <w:tcPr>
            <w:tcW w:w="2109" w:type="dxa"/>
          </w:tcPr>
          <w:p w14:paraId="3AACBC34" w14:textId="77777777" w:rsidR="00104911" w:rsidRPr="00AE4F31" w:rsidRDefault="00104911" w:rsidP="00746A75">
            <w:pPr>
              <w:pStyle w:val="BodyText"/>
            </w:pPr>
            <w:r w:rsidRPr="00AE4F31">
              <w:t xml:space="preserve">A$100,200 </w:t>
            </w:r>
          </w:p>
        </w:tc>
        <w:tc>
          <w:tcPr>
            <w:tcW w:w="2109" w:type="dxa"/>
          </w:tcPr>
          <w:p w14:paraId="0FBCDE13" w14:textId="77777777" w:rsidR="00104911" w:rsidRPr="00AE4F31" w:rsidRDefault="00104911" w:rsidP="00746A75">
            <w:pPr>
              <w:pStyle w:val="BodyText"/>
            </w:pPr>
            <w:r w:rsidRPr="00AE4F31">
              <w:t>A$100,200</w:t>
            </w:r>
          </w:p>
        </w:tc>
      </w:tr>
      <w:tr w:rsidR="00104911" w:rsidRPr="00AE4F31" w14:paraId="40FA6FE5" w14:textId="77777777" w:rsidTr="00034C1C">
        <w:trPr>
          <w:trHeight w:val="453"/>
        </w:trPr>
        <w:tc>
          <w:tcPr>
            <w:tcW w:w="2109" w:type="dxa"/>
          </w:tcPr>
          <w:p w14:paraId="2EEF9FED" w14:textId="77777777" w:rsidR="00104911" w:rsidRPr="00AE4F31" w:rsidRDefault="00104911" w:rsidP="00746A75">
            <w:pPr>
              <w:pStyle w:val="BodyText"/>
            </w:pPr>
            <w:r w:rsidRPr="00AE4F31">
              <w:t>Rate below threshold</w:t>
            </w:r>
          </w:p>
        </w:tc>
        <w:tc>
          <w:tcPr>
            <w:tcW w:w="2109" w:type="dxa"/>
          </w:tcPr>
          <w:p w14:paraId="39D704C4" w14:textId="77777777" w:rsidR="00104911" w:rsidRPr="00AE4F31" w:rsidRDefault="00104911" w:rsidP="00746A75">
            <w:pPr>
              <w:pStyle w:val="BodyText"/>
            </w:pPr>
            <w:r w:rsidRPr="00AE4F31">
              <w:t>0.25%</w:t>
            </w:r>
          </w:p>
        </w:tc>
        <w:tc>
          <w:tcPr>
            <w:tcW w:w="2109" w:type="dxa"/>
          </w:tcPr>
          <w:p w14:paraId="08DE997D" w14:textId="77777777" w:rsidR="00104911" w:rsidRPr="00AE4F31" w:rsidRDefault="00104911" w:rsidP="00746A75">
            <w:pPr>
              <w:pStyle w:val="BodyText"/>
            </w:pPr>
            <w:r w:rsidRPr="00AE4F31">
              <w:t>0.25%</w:t>
            </w:r>
          </w:p>
        </w:tc>
        <w:tc>
          <w:tcPr>
            <w:tcW w:w="2109" w:type="dxa"/>
          </w:tcPr>
          <w:p w14:paraId="5EB3126C" w14:textId="77777777" w:rsidR="00104911" w:rsidRPr="00AE4F31" w:rsidRDefault="00104911" w:rsidP="00746A75">
            <w:pPr>
              <w:pStyle w:val="BodyText"/>
            </w:pPr>
            <w:r w:rsidRPr="00AE4F31">
              <w:t>0.25%</w:t>
            </w:r>
          </w:p>
        </w:tc>
        <w:tc>
          <w:tcPr>
            <w:tcW w:w="2109" w:type="dxa"/>
          </w:tcPr>
          <w:p w14:paraId="16D6940D" w14:textId="77777777" w:rsidR="00104911" w:rsidRPr="00AE4F31" w:rsidRDefault="00104911" w:rsidP="00746A75">
            <w:pPr>
              <w:pStyle w:val="BodyText"/>
            </w:pPr>
            <w:r w:rsidRPr="00AE4F31">
              <w:t>0.25%</w:t>
            </w:r>
          </w:p>
        </w:tc>
      </w:tr>
      <w:tr w:rsidR="00104911" w:rsidRPr="00AE4F31" w14:paraId="5538E2F7" w14:textId="77777777" w:rsidTr="00034C1C">
        <w:trPr>
          <w:trHeight w:val="453"/>
        </w:trPr>
        <w:tc>
          <w:tcPr>
            <w:tcW w:w="2109" w:type="dxa"/>
          </w:tcPr>
          <w:p w14:paraId="62A36E5E" w14:textId="77777777" w:rsidR="00104911" w:rsidRPr="00AE4F31" w:rsidRDefault="00104911" w:rsidP="00746A75">
            <w:pPr>
              <w:pStyle w:val="BodyText"/>
            </w:pPr>
            <w:r w:rsidRPr="00AE4F31">
              <w:t>Rate above threshold</w:t>
            </w:r>
          </w:p>
        </w:tc>
        <w:tc>
          <w:tcPr>
            <w:tcW w:w="2109" w:type="dxa"/>
          </w:tcPr>
          <w:p w14:paraId="32CE059C" w14:textId="77777777" w:rsidR="00104911" w:rsidRPr="00AE4F31" w:rsidRDefault="00104911" w:rsidP="00746A75">
            <w:pPr>
              <w:pStyle w:val="BodyText"/>
            </w:pPr>
            <w:r w:rsidRPr="00AE4F31">
              <w:t xml:space="preserve">2.25% </w:t>
            </w:r>
          </w:p>
        </w:tc>
        <w:tc>
          <w:tcPr>
            <w:tcW w:w="2109" w:type="dxa"/>
          </w:tcPr>
          <w:p w14:paraId="24B9F602" w14:textId="77777777" w:rsidR="00104911" w:rsidRPr="00AE4F31" w:rsidRDefault="00104911" w:rsidP="00746A75">
            <w:pPr>
              <w:pStyle w:val="BodyText"/>
            </w:pPr>
            <w:r w:rsidRPr="00AE4F31">
              <w:t>2.25%</w:t>
            </w:r>
          </w:p>
        </w:tc>
        <w:tc>
          <w:tcPr>
            <w:tcW w:w="2109" w:type="dxa"/>
          </w:tcPr>
          <w:p w14:paraId="0D1F7762" w14:textId="77777777" w:rsidR="00104911" w:rsidRPr="00AE4F31" w:rsidRDefault="00104911" w:rsidP="00746A75">
            <w:pPr>
              <w:pStyle w:val="BodyText"/>
            </w:pPr>
            <w:r w:rsidRPr="00AE4F31">
              <w:t>2.25%</w:t>
            </w:r>
          </w:p>
        </w:tc>
        <w:tc>
          <w:tcPr>
            <w:tcW w:w="2109" w:type="dxa"/>
          </w:tcPr>
          <w:p w14:paraId="0B33971D" w14:textId="77777777" w:rsidR="00104911" w:rsidRPr="00AE4F31" w:rsidRDefault="00104911" w:rsidP="00746A75">
            <w:pPr>
              <w:pStyle w:val="BodyText"/>
            </w:pPr>
            <w:r w:rsidRPr="00AE4F31">
              <w:t>2.25%</w:t>
            </w:r>
          </w:p>
        </w:tc>
      </w:tr>
    </w:tbl>
    <w:p w14:paraId="6971CF22" w14:textId="77777777" w:rsidR="00104911" w:rsidRDefault="00104911" w:rsidP="00746A75">
      <w:pPr>
        <w:pStyle w:val="BodyText"/>
      </w:pPr>
      <w:r>
        <w:t>These rates apply to customers who are permanently outside Australia or absent from Australia for longer than 6 weeks.</w:t>
      </w:r>
    </w:p>
    <w:p w14:paraId="4E242BB6" w14:textId="77777777" w:rsidR="00104911" w:rsidRPr="00AE4F31" w:rsidRDefault="00104911" w:rsidP="00AE4F31">
      <w:pPr>
        <w:pStyle w:val="ListNumber"/>
      </w:pPr>
      <w:r w:rsidRPr="00AE4F31">
        <w:t>We calculate the rate of payment under both the income and assets tests. We apply the test that results in the lower rate or nil rate. Some assets are deemed to earn income and there are special rules for other types of income. There is no income or assets test if you are permanently blind.</w:t>
      </w:r>
    </w:p>
    <w:p w14:paraId="5CADC639" w14:textId="77777777" w:rsidR="00104911" w:rsidRPr="00AE4F31" w:rsidRDefault="00104911" w:rsidP="00AE4F31">
      <w:pPr>
        <w:pStyle w:val="ListNumber"/>
      </w:pPr>
      <w:r w:rsidRPr="00AE4F31">
        <w:t>Some customers may get a reduced rate of pension based on how long they were an Australian resident.</w:t>
      </w:r>
    </w:p>
    <w:p w14:paraId="119A6222" w14:textId="77777777" w:rsidR="00104911" w:rsidRPr="00AE4F31" w:rsidRDefault="00104911" w:rsidP="00AE4F31">
      <w:pPr>
        <w:pStyle w:val="ListNumber"/>
      </w:pPr>
      <w:r w:rsidRPr="00AE4F31">
        <w:t>Some customers may get a transitional rate of pension based on the pre 20 September 2009 income test rules. For these customers, we compare the transitional rate to the current rate. If the current rate is the same or higher we will pay you the current rate instead. You cannot go back to the transitional rate once you get the current rate of pension.</w:t>
      </w:r>
    </w:p>
    <w:p w14:paraId="6AB37BA1" w14:textId="754FF8E8" w:rsidR="00104911" w:rsidRPr="00AE4F31" w:rsidRDefault="00104911" w:rsidP="00AE4F31">
      <w:pPr>
        <w:pStyle w:val="ListNumber"/>
      </w:pPr>
      <w:r w:rsidRPr="00AE4F31">
        <w:t xml:space="preserve">Customers may get a higher rate of Disability Support Pension if they are under the age of 21 and have no dependent children. For more information, go to </w:t>
      </w:r>
      <w:hyperlink r:id="rId9" w:history="1">
        <w:r w:rsidRPr="00AE4F31">
          <w:rPr>
            <w:rStyle w:val="Hyperlink"/>
            <w:b/>
            <w:bCs/>
            <w:color w:val="auto"/>
            <w:u w:val="none"/>
          </w:rPr>
          <w:t>servicesaustralia.gov.au/dsp</w:t>
        </w:r>
      </w:hyperlink>
      <w:r w:rsidR="000514D2" w:rsidRPr="00AE4F31">
        <w:t xml:space="preserve"> </w:t>
      </w:r>
    </w:p>
    <w:p w14:paraId="029AC20F" w14:textId="0E0E1590" w:rsidR="00104911" w:rsidRPr="00AE4F31" w:rsidRDefault="00104911" w:rsidP="00AE4F31">
      <w:pPr>
        <w:pStyle w:val="ListNumber"/>
      </w:pPr>
      <w:r w:rsidRPr="00AE4F31">
        <w:lastRenderedPageBreak/>
        <w:t xml:space="preserve">Income under A$204 per fortnight for singles and A$360 per fortnight for couples combined, will not affect the rate of pension. This is called the income free area. For each dollar above the income free area, we reduce rates by A$0.50c for singles and A$0.25c each for couples. The income free area applies after any Work Bonus amounts. For more information, go to </w:t>
      </w:r>
      <w:hyperlink r:id="rId10" w:history="1">
        <w:r w:rsidRPr="00AE4F31">
          <w:rPr>
            <w:rStyle w:val="Hyperlink"/>
            <w:b/>
            <w:bCs/>
            <w:color w:val="auto"/>
            <w:u w:val="none"/>
          </w:rPr>
          <w:t>servicesaustralia.gov.au/income</w:t>
        </w:r>
      </w:hyperlink>
    </w:p>
    <w:p w14:paraId="7CBAAEDC" w14:textId="70B4813F" w:rsidR="00034C1C" w:rsidRPr="00AE4F31" w:rsidRDefault="00104911" w:rsidP="00AE4F31">
      <w:pPr>
        <w:pStyle w:val="ListNumber"/>
      </w:pPr>
      <w:r w:rsidRPr="00AE4F31">
        <w:t xml:space="preserve">The Work Bonus helps eligible customers earn more income from working without reducing their pension. For more information, go to </w:t>
      </w:r>
      <w:hyperlink r:id="rId11" w:history="1">
        <w:r w:rsidRPr="00AE4F31">
          <w:rPr>
            <w:rStyle w:val="Hyperlink"/>
            <w:b/>
            <w:bCs/>
            <w:color w:val="auto"/>
            <w:u w:val="none"/>
          </w:rPr>
          <w:t>servicesaustralia.gov.au/work-bonus</w:t>
        </w:r>
      </w:hyperlink>
      <w:r w:rsidRPr="00AE4F31">
        <w:t>. Work Bonus does not apply to the transitional rate of pension.</w:t>
      </w:r>
    </w:p>
    <w:p w14:paraId="30B703C0" w14:textId="3C11F3E1" w:rsidR="00104911" w:rsidRPr="00AE4F31" w:rsidRDefault="00104911" w:rsidP="00AE4F31">
      <w:pPr>
        <w:pStyle w:val="ListNumber"/>
        <w:rPr>
          <w:rStyle w:val="Bold"/>
          <w:rFonts w:ascii="Arial" w:hAnsi="Arial" w:cs="Times New Roman"/>
          <w:b w:val="0"/>
          <w:bCs w:val="0"/>
        </w:rPr>
      </w:pPr>
      <w:r w:rsidRPr="00AE4F31">
        <w:t xml:space="preserve">Customers can have assets up to a certain amount without affecting their pension. This is called the asset free area. There are different asset free areas which apply depending on customers’ relationship status and their homeownership status. See our website for a full list of the asset free areas. For every A$1,000 of additional assets above the asset free area, we reduce rates by A$3 per fortnight for singles and A$1.50 per fortnight each for couples. We do not include certain assets in the assets test. For more information, go to </w:t>
      </w:r>
      <w:hyperlink r:id="rId12" w:history="1">
        <w:r w:rsidRPr="00AE4F31">
          <w:rPr>
            <w:rStyle w:val="Hyperlink"/>
            <w:b/>
            <w:bCs/>
            <w:color w:val="auto"/>
            <w:u w:val="none"/>
          </w:rPr>
          <w:t>servicesaustralia.gov.au/assets</w:t>
        </w:r>
      </w:hyperlink>
    </w:p>
    <w:p w14:paraId="7817A425" w14:textId="77777777" w:rsidR="00104911" w:rsidRPr="006D1B53" w:rsidRDefault="00104911" w:rsidP="006D1B53">
      <w:pPr>
        <w:pStyle w:val="Heading2"/>
      </w:pPr>
      <w:r w:rsidRPr="006D1B53">
        <w:t>International exchange rates available online</w:t>
      </w:r>
    </w:p>
    <w:p w14:paraId="3E01145E" w14:textId="77777777" w:rsidR="00104911" w:rsidRPr="006D1B53" w:rsidRDefault="00104911" w:rsidP="006D1B53">
      <w:pPr>
        <w:pStyle w:val="BodyText"/>
      </w:pPr>
      <w:r w:rsidRPr="006D1B53">
        <w:t xml:space="preserve">We work out the amount of payment you get by using an income and assets test. If you have assets in, or get income from another country, we need to work out their value in Australian dollars. To do this we use exchange rates. We publish exchange rate information on our website. </w:t>
      </w:r>
    </w:p>
    <w:p w14:paraId="789C5A64" w14:textId="18E2A946" w:rsidR="00104911" w:rsidRPr="006D1B53" w:rsidRDefault="00034C1C" w:rsidP="006D1B53">
      <w:pPr>
        <w:pStyle w:val="BodyText"/>
      </w:pPr>
      <w:r w:rsidRPr="006D1B53">
        <w:t xml:space="preserve">To check exchange rates go to </w:t>
      </w:r>
      <w:hyperlink r:id="rId13" w:history="1">
        <w:r w:rsidRPr="006D1B53">
          <w:rPr>
            <w:rStyle w:val="Hyperlink"/>
            <w:b/>
            <w:bCs/>
            <w:color w:val="auto"/>
            <w:u w:val="none"/>
          </w:rPr>
          <w:t>servicesaustralia.gov.au/international</w:t>
        </w:r>
      </w:hyperlink>
    </w:p>
    <w:p w14:paraId="21449C7A" w14:textId="77777777" w:rsidR="00104911" w:rsidRPr="006D1B53" w:rsidRDefault="00104911" w:rsidP="006D1B53">
      <w:pPr>
        <w:pStyle w:val="Heading2"/>
      </w:pPr>
      <w:r w:rsidRPr="006D1B53">
        <w:t>Keep up to date with the latest pension payment rates and dates</w:t>
      </w:r>
    </w:p>
    <w:p w14:paraId="5F9F471A" w14:textId="6B502A19" w:rsidR="00034C1C" w:rsidRPr="006D1B53" w:rsidRDefault="00104911" w:rsidP="006D1B53">
      <w:pPr>
        <w:pStyle w:val="BodyText"/>
      </w:pPr>
      <w:r w:rsidRPr="006D1B53">
        <w:t xml:space="preserve">For the latest information about pension rates and payment dates outside Australia, go to </w:t>
      </w:r>
      <w:hyperlink r:id="rId14" w:history="1">
        <w:r w:rsidRPr="006D1B53">
          <w:rPr>
            <w:rStyle w:val="Hyperlink"/>
            <w:b/>
            <w:bCs/>
            <w:color w:val="auto"/>
            <w:u w:val="none"/>
          </w:rPr>
          <w:t>servicesaustralia.gov.au</w:t>
        </w:r>
      </w:hyperlink>
      <w:r w:rsidRPr="006D1B53">
        <w:t xml:space="preserve"> and search for payment rates outside Australia. We update pension rates, and income and asset thresholds on our website as soon as they change.</w:t>
      </w:r>
    </w:p>
    <w:p w14:paraId="278A1B33" w14:textId="3BB8789E" w:rsidR="00104911" w:rsidRPr="006D1B53" w:rsidRDefault="00034C1C" w:rsidP="006D1B53">
      <w:pPr>
        <w:pStyle w:val="BodyText"/>
      </w:pPr>
      <w:r w:rsidRPr="006D1B53">
        <w:t xml:space="preserve">This newsletter is also available on our website at </w:t>
      </w:r>
      <w:hyperlink r:id="rId15" w:history="1">
        <w:r w:rsidRPr="006D1B53">
          <w:rPr>
            <w:rStyle w:val="Hyperlink"/>
            <w:b/>
            <w:bCs/>
            <w:color w:val="auto"/>
            <w:u w:val="none"/>
          </w:rPr>
          <w:t>servicesaustralia.gov.au/customer/publications/int001</w:t>
        </w:r>
      </w:hyperlink>
    </w:p>
    <w:p w14:paraId="7842341D" w14:textId="77777777" w:rsidR="00104911" w:rsidRPr="006D1B53" w:rsidRDefault="00104911" w:rsidP="006D1B53">
      <w:pPr>
        <w:pStyle w:val="BodyText"/>
      </w:pPr>
      <w:r w:rsidRPr="006D1B53">
        <w:t>Disclaimer: the Commonwealth of Australia has attempted to ensure the information in this publication is accurate. However, the Commonwealth does not warrant that the information is accurate or complete nor will it be liable for any loss suffered by any person because they rely on it in any way. You should contact the Australian Government Services Australia for full details of any entitlements and services to which you may be eligible or how any pending changes in legislation, programs or services may affect you.</w:t>
      </w:r>
    </w:p>
    <w:p w14:paraId="1ED62C68" w14:textId="77777777" w:rsidR="00104911" w:rsidRDefault="00104911" w:rsidP="00C876E0">
      <w:pPr>
        <w:pStyle w:val="Heading2"/>
      </w:pPr>
      <w:r>
        <w:t xml:space="preserve">How to contact us </w:t>
      </w:r>
    </w:p>
    <w:p w14:paraId="19724C9A" w14:textId="253C774B" w:rsidR="00104911" w:rsidRPr="005B68C4" w:rsidRDefault="00104911" w:rsidP="005B68C4">
      <w:pPr>
        <w:pStyle w:val="BodyText"/>
      </w:pPr>
      <w:r w:rsidRPr="005B68C4">
        <w:t xml:space="preserve">Go to </w:t>
      </w:r>
      <w:hyperlink r:id="rId16" w:history="1">
        <w:r w:rsidRPr="005B68C4">
          <w:rPr>
            <w:rStyle w:val="Bold"/>
            <w:rFonts w:ascii="Arial" w:hAnsi="Arial" w:cs="Times New Roman"/>
          </w:rPr>
          <w:t>servicesaustralia.gov.au</w:t>
        </w:r>
      </w:hyperlink>
      <w:r w:rsidRPr="005B68C4">
        <w:t xml:space="preserve"> to find out information about your payment as well as our other payments and services. </w:t>
      </w:r>
    </w:p>
    <w:p w14:paraId="50F179F9" w14:textId="4BF99696" w:rsidR="00104911" w:rsidRPr="00034C1C" w:rsidRDefault="00104911" w:rsidP="00034C1C">
      <w:pPr>
        <w:pStyle w:val="BodyText"/>
      </w:pPr>
      <w:r w:rsidRPr="00034C1C">
        <w:t xml:space="preserve">Call us Monday to Friday, between 8am to 5pm Hobart time. </w:t>
      </w:r>
    </w:p>
    <w:p w14:paraId="5AE130FA" w14:textId="77777777" w:rsidR="00104911" w:rsidRPr="00034C1C" w:rsidRDefault="00104911" w:rsidP="00034C1C">
      <w:pPr>
        <w:pStyle w:val="BodyText"/>
      </w:pPr>
      <w:r w:rsidRPr="00034C1C">
        <w:t>Dial the number shown without any international or country codes before it.</w:t>
      </w:r>
    </w:p>
    <w:p w14:paraId="0C20D9C4" w14:textId="3849290A" w:rsidR="00104911" w:rsidRPr="001B7F4D" w:rsidRDefault="00104911" w:rsidP="001B7F4D">
      <w:pPr>
        <w:pStyle w:val="BodyText"/>
      </w:pPr>
      <w:r w:rsidRPr="001B7F4D">
        <w:t>Austria</w:t>
      </w:r>
      <w:r w:rsidRPr="001B7F4D">
        <w:tab/>
      </w:r>
      <w:r w:rsidRPr="00C876E0">
        <w:rPr>
          <w:rStyle w:val="Bold"/>
          <w:rFonts w:ascii="Arial" w:hAnsi="Arial" w:cs="Times New Roman"/>
        </w:rPr>
        <w:t>0800 295 165</w:t>
      </w:r>
    </w:p>
    <w:p w14:paraId="634ED9BE" w14:textId="5A10F2D9" w:rsidR="00104911" w:rsidRPr="001B7F4D" w:rsidRDefault="00104911" w:rsidP="001B7F4D">
      <w:pPr>
        <w:pStyle w:val="BodyText"/>
      </w:pPr>
      <w:r w:rsidRPr="001B7F4D">
        <w:t>Canada</w:t>
      </w:r>
      <w:r w:rsidRPr="001B7F4D">
        <w:tab/>
      </w:r>
      <w:r w:rsidRPr="00C876E0">
        <w:rPr>
          <w:rStyle w:val="Bold"/>
          <w:rFonts w:ascii="Arial" w:hAnsi="Arial" w:cs="Times New Roman"/>
        </w:rPr>
        <w:t>1888 2557 493</w:t>
      </w:r>
    </w:p>
    <w:p w14:paraId="630427F0" w14:textId="22A5EB4F" w:rsidR="00104911" w:rsidRPr="001B7F4D" w:rsidRDefault="00104911" w:rsidP="001B7F4D">
      <w:pPr>
        <w:pStyle w:val="BodyText"/>
      </w:pPr>
      <w:r w:rsidRPr="001B7F4D">
        <w:t>China (North)*</w:t>
      </w:r>
      <w:r w:rsidR="00FF7B10" w:rsidRPr="001B7F4D">
        <w:t xml:space="preserve"> </w:t>
      </w:r>
      <w:r w:rsidR="00FF7B10" w:rsidRPr="001B7F4D">
        <w:tab/>
      </w:r>
      <w:r w:rsidRPr="00C876E0">
        <w:rPr>
          <w:rStyle w:val="Bold"/>
          <w:rFonts w:ascii="Arial" w:hAnsi="Arial" w:cs="Times New Roman"/>
        </w:rPr>
        <w:t>10 800 6100 427</w:t>
      </w:r>
    </w:p>
    <w:p w14:paraId="317CFAD4" w14:textId="1E6DECC7" w:rsidR="00104911" w:rsidRPr="001B7F4D" w:rsidRDefault="00104911" w:rsidP="001B7F4D">
      <w:pPr>
        <w:pStyle w:val="BodyText"/>
      </w:pPr>
      <w:r w:rsidRPr="001B7F4D">
        <w:lastRenderedPageBreak/>
        <w:t>China (South)*</w:t>
      </w:r>
      <w:r w:rsidR="00FF7B10" w:rsidRPr="001B7F4D">
        <w:t xml:space="preserve"> </w:t>
      </w:r>
      <w:r w:rsidR="00FF7B10" w:rsidRPr="001B7F4D">
        <w:tab/>
      </w:r>
      <w:r w:rsidRPr="00C876E0">
        <w:rPr>
          <w:rStyle w:val="Bold"/>
          <w:rFonts w:ascii="Arial" w:hAnsi="Arial" w:cs="Times New Roman"/>
        </w:rPr>
        <w:t>10 800 2611 309</w:t>
      </w:r>
    </w:p>
    <w:p w14:paraId="22AF6C49" w14:textId="77777777" w:rsidR="00104911" w:rsidRPr="001B7F4D" w:rsidRDefault="00104911" w:rsidP="001B7F4D">
      <w:pPr>
        <w:pStyle w:val="BodyText"/>
      </w:pPr>
      <w:r w:rsidRPr="001B7F4D">
        <w:t>Denmark</w:t>
      </w:r>
      <w:r w:rsidRPr="001B7F4D">
        <w:tab/>
      </w:r>
      <w:r w:rsidRPr="001B7F4D">
        <w:tab/>
      </w:r>
      <w:r w:rsidRPr="00C876E0">
        <w:rPr>
          <w:rStyle w:val="Bold"/>
          <w:rFonts w:ascii="Arial" w:hAnsi="Arial" w:cs="Times New Roman"/>
        </w:rPr>
        <w:t>8088 3556</w:t>
      </w:r>
    </w:p>
    <w:p w14:paraId="3ED9FB1F" w14:textId="77777777" w:rsidR="00104911" w:rsidRPr="001B7F4D" w:rsidRDefault="00104911" w:rsidP="001B7F4D">
      <w:pPr>
        <w:pStyle w:val="BodyText"/>
      </w:pPr>
      <w:r w:rsidRPr="001B7F4D">
        <w:t>Germany</w:t>
      </w:r>
      <w:r w:rsidRPr="001B7F4D">
        <w:tab/>
      </w:r>
      <w:r w:rsidRPr="001B7F4D">
        <w:tab/>
      </w:r>
      <w:r w:rsidRPr="00C876E0">
        <w:rPr>
          <w:rStyle w:val="Bold"/>
          <w:rFonts w:ascii="Arial" w:hAnsi="Arial" w:cs="Times New Roman"/>
        </w:rPr>
        <w:t>0800 180 2482</w:t>
      </w:r>
    </w:p>
    <w:p w14:paraId="4B839C7E" w14:textId="24328D50" w:rsidR="00104911" w:rsidRPr="001B7F4D" w:rsidRDefault="00104911" w:rsidP="001B7F4D">
      <w:pPr>
        <w:pStyle w:val="BodyText"/>
      </w:pPr>
      <w:r w:rsidRPr="001B7F4D">
        <w:t>Greece</w:t>
      </w:r>
      <w:r w:rsidRPr="001B7F4D">
        <w:tab/>
      </w:r>
      <w:r w:rsidRPr="00C876E0">
        <w:rPr>
          <w:rStyle w:val="Bold"/>
          <w:rFonts w:ascii="Arial" w:hAnsi="Arial" w:cs="Times New Roman"/>
        </w:rPr>
        <w:t>0080 0611 26209</w:t>
      </w:r>
    </w:p>
    <w:p w14:paraId="13176B83" w14:textId="131C2A18" w:rsidR="00104911" w:rsidRPr="001B7F4D" w:rsidRDefault="00104911" w:rsidP="001B7F4D">
      <w:pPr>
        <w:pStyle w:val="BodyText"/>
      </w:pPr>
      <w:r w:rsidRPr="001B7F4D">
        <w:t>India</w:t>
      </w:r>
      <w:r w:rsidRPr="001B7F4D">
        <w:tab/>
      </w:r>
      <w:r w:rsidRPr="00C876E0">
        <w:rPr>
          <w:rStyle w:val="Bold"/>
          <w:rFonts w:ascii="Arial" w:hAnsi="Arial" w:cs="Times New Roman"/>
        </w:rPr>
        <w:t>000 800 61 01098</w:t>
      </w:r>
    </w:p>
    <w:p w14:paraId="04843CFC" w14:textId="77777777" w:rsidR="00104911" w:rsidRPr="001B7F4D" w:rsidRDefault="00104911" w:rsidP="001B7F4D">
      <w:pPr>
        <w:pStyle w:val="BodyText"/>
      </w:pPr>
      <w:r w:rsidRPr="001B7F4D">
        <w:t>Indonesia</w:t>
      </w:r>
      <w:r w:rsidRPr="001B7F4D">
        <w:tab/>
      </w:r>
      <w:r w:rsidRPr="001B7F4D">
        <w:tab/>
      </w:r>
      <w:r w:rsidRPr="00C876E0">
        <w:rPr>
          <w:rStyle w:val="Bold"/>
          <w:rFonts w:ascii="Arial" w:hAnsi="Arial" w:cs="Times New Roman"/>
        </w:rPr>
        <w:t>001 803 61 035</w:t>
      </w:r>
    </w:p>
    <w:p w14:paraId="60245275" w14:textId="68D69CB7" w:rsidR="00104911" w:rsidRPr="001B7F4D" w:rsidRDefault="00104911" w:rsidP="001B7F4D">
      <w:pPr>
        <w:pStyle w:val="BodyText"/>
      </w:pPr>
      <w:r w:rsidRPr="001B7F4D">
        <w:t>Ireland</w:t>
      </w:r>
      <w:r w:rsidRPr="001B7F4D">
        <w:tab/>
      </w:r>
      <w:r w:rsidRPr="00C876E0">
        <w:rPr>
          <w:rStyle w:val="Bold"/>
          <w:rFonts w:ascii="Arial" w:hAnsi="Arial" w:cs="Times New Roman"/>
        </w:rPr>
        <w:t>1800 200 333</w:t>
      </w:r>
    </w:p>
    <w:p w14:paraId="6C7C3435" w14:textId="746CC443" w:rsidR="00104911" w:rsidRPr="001B7F4D" w:rsidRDefault="00104911" w:rsidP="001B7F4D">
      <w:pPr>
        <w:pStyle w:val="BodyText"/>
      </w:pPr>
      <w:r w:rsidRPr="001B7F4D">
        <w:t>Italy</w:t>
      </w:r>
      <w:r w:rsidRPr="001B7F4D">
        <w:tab/>
      </w:r>
      <w:r w:rsidRPr="00C876E0">
        <w:rPr>
          <w:rStyle w:val="Bold"/>
          <w:rFonts w:ascii="Arial" w:hAnsi="Arial" w:cs="Times New Roman"/>
        </w:rPr>
        <w:t>800 781 977</w:t>
      </w:r>
    </w:p>
    <w:p w14:paraId="73EBD00F" w14:textId="0FCD6FEA" w:rsidR="00104911" w:rsidRPr="001B7F4D" w:rsidRDefault="00104911" w:rsidP="001B7F4D">
      <w:pPr>
        <w:pStyle w:val="BodyText"/>
      </w:pPr>
      <w:r w:rsidRPr="001B7F4D">
        <w:t xml:space="preserve">Korea Republic </w:t>
      </w:r>
      <w:r w:rsidRPr="001B7F4D">
        <w:tab/>
      </w:r>
      <w:r w:rsidRPr="00C876E0">
        <w:rPr>
          <w:rStyle w:val="Bold"/>
          <w:rFonts w:ascii="Arial" w:hAnsi="Arial" w:cs="Times New Roman"/>
        </w:rPr>
        <w:t>003 081 32326</w:t>
      </w:r>
    </w:p>
    <w:p w14:paraId="3899C490" w14:textId="77777777" w:rsidR="00104911" w:rsidRPr="001B7F4D" w:rsidRDefault="00104911" w:rsidP="001B7F4D">
      <w:pPr>
        <w:pStyle w:val="BodyText"/>
      </w:pPr>
      <w:r w:rsidRPr="001B7F4D">
        <w:t>Netherlands</w:t>
      </w:r>
      <w:r w:rsidRPr="001B7F4D">
        <w:tab/>
      </w:r>
      <w:r w:rsidRPr="001B7F4D">
        <w:tab/>
      </w:r>
      <w:r w:rsidRPr="00C876E0">
        <w:rPr>
          <w:rStyle w:val="Bold"/>
          <w:rFonts w:ascii="Arial" w:hAnsi="Arial" w:cs="Times New Roman"/>
        </w:rPr>
        <w:t>0800 0224 364</w:t>
      </w:r>
    </w:p>
    <w:p w14:paraId="7E169E8D" w14:textId="77777777" w:rsidR="00104911" w:rsidRPr="001B7F4D" w:rsidRDefault="00104911" w:rsidP="001B7F4D">
      <w:pPr>
        <w:pStyle w:val="BodyText"/>
      </w:pPr>
      <w:r w:rsidRPr="001B7F4D">
        <w:t>New Zealand</w:t>
      </w:r>
      <w:r w:rsidRPr="001B7F4D">
        <w:tab/>
      </w:r>
      <w:r w:rsidRPr="001B7F4D">
        <w:tab/>
      </w:r>
      <w:r w:rsidRPr="00C876E0">
        <w:rPr>
          <w:rStyle w:val="Bold"/>
          <w:rFonts w:ascii="Arial" w:hAnsi="Arial" w:cs="Times New Roman"/>
        </w:rPr>
        <w:t>0800 441 248</w:t>
      </w:r>
    </w:p>
    <w:p w14:paraId="44CD8A0C" w14:textId="77777777" w:rsidR="00104911" w:rsidRPr="00C876E0" w:rsidRDefault="00104911" w:rsidP="001B7F4D">
      <w:pPr>
        <w:pStyle w:val="BodyText"/>
      </w:pPr>
      <w:r w:rsidRPr="001B7F4D">
        <w:t>Philippines</w:t>
      </w:r>
      <w:r w:rsidRPr="001B7F4D">
        <w:tab/>
      </w:r>
      <w:r w:rsidRPr="001B7F4D">
        <w:tab/>
      </w:r>
      <w:r w:rsidRPr="00C876E0">
        <w:rPr>
          <w:rStyle w:val="Bold"/>
          <w:rFonts w:ascii="Arial" w:hAnsi="Arial" w:cs="Times New Roman"/>
        </w:rPr>
        <w:t xml:space="preserve">1800 1611 0046 </w:t>
      </w:r>
    </w:p>
    <w:p w14:paraId="1C35CDE5" w14:textId="22F345CD" w:rsidR="00104911" w:rsidRPr="001B7F4D" w:rsidRDefault="00104911" w:rsidP="001B7F4D">
      <w:pPr>
        <w:pStyle w:val="BodyText"/>
      </w:pPr>
      <w:r w:rsidRPr="001B7F4D">
        <w:t>Poland</w:t>
      </w:r>
      <w:r w:rsidRPr="001B7F4D">
        <w:tab/>
      </w:r>
      <w:r w:rsidRPr="001B7F4D">
        <w:tab/>
      </w:r>
      <w:r w:rsidRPr="00C876E0">
        <w:rPr>
          <w:rStyle w:val="Bold"/>
          <w:rFonts w:ascii="Arial" w:hAnsi="Arial" w:cs="Times New Roman"/>
        </w:rPr>
        <w:t>00 800 6111 220</w:t>
      </w:r>
    </w:p>
    <w:p w14:paraId="5728945F" w14:textId="77777777" w:rsidR="00104911" w:rsidRPr="001B7F4D" w:rsidRDefault="00104911" w:rsidP="001B7F4D">
      <w:pPr>
        <w:pStyle w:val="BodyText"/>
      </w:pPr>
      <w:r w:rsidRPr="001B7F4D">
        <w:t>Portugal</w:t>
      </w:r>
      <w:r w:rsidRPr="001B7F4D">
        <w:tab/>
      </w:r>
      <w:r w:rsidRPr="001B7F4D">
        <w:tab/>
      </w:r>
      <w:r w:rsidRPr="00C876E0">
        <w:rPr>
          <w:rStyle w:val="Bold"/>
          <w:rFonts w:ascii="Arial" w:hAnsi="Arial" w:cs="Times New Roman"/>
        </w:rPr>
        <w:t>800 861 122</w:t>
      </w:r>
    </w:p>
    <w:p w14:paraId="4AD0D39B" w14:textId="77777777" w:rsidR="00104911" w:rsidRPr="001B7F4D" w:rsidRDefault="00104911" w:rsidP="001B7F4D">
      <w:pPr>
        <w:pStyle w:val="BodyText"/>
      </w:pPr>
      <w:r w:rsidRPr="001B7F4D">
        <w:t>Singapore</w:t>
      </w:r>
      <w:r w:rsidRPr="001B7F4D">
        <w:tab/>
      </w:r>
      <w:r w:rsidRPr="001B7F4D">
        <w:tab/>
      </w:r>
      <w:r w:rsidRPr="00C876E0">
        <w:rPr>
          <w:rStyle w:val="Bold"/>
          <w:rFonts w:ascii="Arial" w:hAnsi="Arial" w:cs="Times New Roman"/>
        </w:rPr>
        <w:t>800 6167 015</w:t>
      </w:r>
    </w:p>
    <w:p w14:paraId="4852CC02" w14:textId="77777777" w:rsidR="00104911" w:rsidRPr="001B7F4D" w:rsidRDefault="00104911" w:rsidP="001B7F4D">
      <w:pPr>
        <w:pStyle w:val="BodyText"/>
      </w:pPr>
      <w:r w:rsidRPr="001B7F4D">
        <w:t>Spain</w:t>
      </w:r>
      <w:r w:rsidRPr="001B7F4D">
        <w:tab/>
      </w:r>
      <w:r w:rsidRPr="001B7F4D">
        <w:tab/>
      </w:r>
      <w:r w:rsidRPr="001B7F4D">
        <w:tab/>
      </w:r>
      <w:r w:rsidRPr="00C876E0">
        <w:rPr>
          <w:rStyle w:val="Bold"/>
          <w:rFonts w:ascii="Arial" w:hAnsi="Arial" w:cs="Times New Roman"/>
        </w:rPr>
        <w:t>900 951 547</w:t>
      </w:r>
    </w:p>
    <w:p w14:paraId="2B693561" w14:textId="77777777" w:rsidR="00104911" w:rsidRPr="001B7F4D" w:rsidRDefault="00104911" w:rsidP="001B7F4D">
      <w:pPr>
        <w:pStyle w:val="BodyText"/>
      </w:pPr>
      <w:r w:rsidRPr="001B7F4D">
        <w:t>Thailand</w:t>
      </w:r>
      <w:r w:rsidRPr="001B7F4D">
        <w:tab/>
      </w:r>
      <w:r w:rsidRPr="001B7F4D">
        <w:tab/>
      </w:r>
      <w:r w:rsidRPr="00C876E0">
        <w:rPr>
          <w:rStyle w:val="Bold"/>
          <w:rFonts w:ascii="Arial" w:hAnsi="Arial" w:cs="Times New Roman"/>
        </w:rPr>
        <w:t>001 800 611 4136</w:t>
      </w:r>
    </w:p>
    <w:p w14:paraId="7E319D1B" w14:textId="28FD3305" w:rsidR="00104911" w:rsidRPr="001B7F4D" w:rsidRDefault="00104911" w:rsidP="001B7F4D">
      <w:pPr>
        <w:pStyle w:val="BodyText"/>
      </w:pPr>
      <w:r w:rsidRPr="001B7F4D">
        <w:t>Turkey</w:t>
      </w:r>
      <w:r w:rsidRPr="001B7F4D">
        <w:tab/>
      </w:r>
      <w:r w:rsidRPr="001B7F4D">
        <w:tab/>
      </w:r>
      <w:r w:rsidRPr="00C876E0">
        <w:rPr>
          <w:rStyle w:val="Bold"/>
          <w:rFonts w:ascii="Arial" w:hAnsi="Arial" w:cs="Times New Roman"/>
        </w:rPr>
        <w:t>00 800 6190 5703</w:t>
      </w:r>
    </w:p>
    <w:p w14:paraId="506510F7" w14:textId="77777777" w:rsidR="00104911" w:rsidRPr="00C876E0" w:rsidRDefault="00104911" w:rsidP="001B7F4D">
      <w:pPr>
        <w:pStyle w:val="BodyText"/>
      </w:pPr>
      <w:r w:rsidRPr="001B7F4D">
        <w:t>United Arab Emirates</w:t>
      </w:r>
      <w:r w:rsidRPr="001B7F4D">
        <w:tab/>
      </w:r>
      <w:r w:rsidRPr="00C876E0">
        <w:rPr>
          <w:rStyle w:val="Bold"/>
          <w:rFonts w:ascii="Arial" w:hAnsi="Arial" w:cs="Times New Roman"/>
        </w:rPr>
        <w:t>800 061 04319</w:t>
      </w:r>
    </w:p>
    <w:p w14:paraId="5048ACD2" w14:textId="77777777" w:rsidR="00104911" w:rsidRPr="00C876E0" w:rsidRDefault="00104911" w:rsidP="001B7F4D">
      <w:pPr>
        <w:pStyle w:val="BodyText"/>
        <w:rPr>
          <w:b/>
          <w:bCs/>
        </w:rPr>
      </w:pPr>
      <w:r w:rsidRPr="001B7F4D">
        <w:t>United Kingdom</w:t>
      </w:r>
      <w:r w:rsidRPr="001B7F4D">
        <w:tab/>
      </w:r>
      <w:r w:rsidRPr="00C876E0">
        <w:rPr>
          <w:b/>
          <w:bCs/>
        </w:rPr>
        <w:t>0800 169 5865</w:t>
      </w:r>
    </w:p>
    <w:p w14:paraId="0F1ACD02" w14:textId="77777777" w:rsidR="00104911" w:rsidRPr="001B7F4D" w:rsidRDefault="00104911" w:rsidP="001B7F4D">
      <w:pPr>
        <w:pStyle w:val="BodyText"/>
      </w:pPr>
      <w:r w:rsidRPr="001B7F4D">
        <w:t xml:space="preserve">USA </w:t>
      </w:r>
      <w:r w:rsidRPr="001B7F4D">
        <w:tab/>
      </w:r>
      <w:r w:rsidRPr="001B7F4D">
        <w:tab/>
      </w:r>
      <w:r w:rsidRPr="001B7F4D">
        <w:tab/>
      </w:r>
      <w:r w:rsidRPr="00C876E0">
        <w:rPr>
          <w:b/>
          <w:bCs/>
        </w:rPr>
        <w:t>1866 3433 086</w:t>
      </w:r>
      <w:r w:rsidRPr="001B7F4D">
        <w:t xml:space="preserve"> </w:t>
      </w:r>
    </w:p>
    <w:p w14:paraId="12377B9A" w14:textId="77777777" w:rsidR="00104911" w:rsidRDefault="00104911" w:rsidP="00D4415B">
      <w:pPr>
        <w:pStyle w:val="BodyText"/>
      </w:pPr>
      <w:r>
        <w:t xml:space="preserve">* China (North) includes the provinces of Beijing, Tianjin, Hebei, Shanxi, Inner Mongolia, Heilongjiang, Liaoning, Jilin, Shandong and Henan. We consider all other provinces as China (South) for this purpose. </w:t>
      </w:r>
    </w:p>
    <w:p w14:paraId="758D8D6C" w14:textId="5CFAF247" w:rsidR="00104911" w:rsidRPr="00C876E0" w:rsidRDefault="00104911" w:rsidP="00C876E0">
      <w:pPr>
        <w:pStyle w:val="BodyText"/>
      </w:pPr>
      <w:r w:rsidRPr="00C876E0">
        <w:t xml:space="preserve">If you’re in a country that’s not in the list, please contact us on </w:t>
      </w:r>
      <w:r w:rsidRPr="00C876E0">
        <w:rPr>
          <w:b/>
          <w:bCs/>
        </w:rPr>
        <w:t>+61 3 6222 3455</w:t>
      </w:r>
      <w:r w:rsidRPr="00C876E0">
        <w:t>.</w:t>
      </w:r>
    </w:p>
    <w:p w14:paraId="4128A214" w14:textId="77777777" w:rsidR="00595565" w:rsidRPr="00C876E0" w:rsidRDefault="00104911" w:rsidP="00C876E0">
      <w:pPr>
        <w:pStyle w:val="BodyText"/>
      </w:pPr>
      <w:r w:rsidRPr="00C876E0">
        <w:t xml:space="preserve">You can also fax us on </w:t>
      </w:r>
      <w:r w:rsidRPr="00C876E0">
        <w:rPr>
          <w:b/>
          <w:bCs/>
        </w:rPr>
        <w:t>+61 3 6222 2799</w:t>
      </w:r>
      <w:r w:rsidRPr="00C876E0">
        <w:t>, or write to us at:</w:t>
      </w:r>
    </w:p>
    <w:p w14:paraId="4759402E" w14:textId="104BA5E9" w:rsidR="00104911" w:rsidRPr="00C876E0" w:rsidRDefault="00104911" w:rsidP="00C876E0">
      <w:pPr>
        <w:pStyle w:val="BodyText"/>
        <w:spacing w:after="0"/>
        <w:rPr>
          <w:b/>
          <w:bCs/>
        </w:rPr>
      </w:pPr>
      <w:r w:rsidRPr="00C876E0">
        <w:rPr>
          <w:b/>
          <w:bCs/>
        </w:rPr>
        <w:t>International Services</w:t>
      </w:r>
    </w:p>
    <w:p w14:paraId="45FFF9D4" w14:textId="4EDEC037" w:rsidR="00104911" w:rsidRPr="00C876E0" w:rsidRDefault="00104911" w:rsidP="00C876E0">
      <w:pPr>
        <w:pStyle w:val="BodyText"/>
        <w:spacing w:before="0" w:after="0"/>
        <w:rPr>
          <w:b/>
          <w:bCs/>
        </w:rPr>
      </w:pPr>
      <w:r w:rsidRPr="00C876E0">
        <w:rPr>
          <w:b/>
          <w:bCs/>
        </w:rPr>
        <w:t>PO Box 7809</w:t>
      </w:r>
    </w:p>
    <w:p w14:paraId="0820210C" w14:textId="5280EDD9" w:rsidR="00104911" w:rsidRPr="00C876E0" w:rsidRDefault="00104911" w:rsidP="00C876E0">
      <w:pPr>
        <w:pStyle w:val="BodyText"/>
        <w:spacing w:before="0" w:after="0"/>
        <w:rPr>
          <w:b/>
          <w:bCs/>
        </w:rPr>
      </w:pPr>
      <w:r w:rsidRPr="00C876E0">
        <w:rPr>
          <w:b/>
          <w:bCs/>
        </w:rPr>
        <w:t>Canberra BC ACT 2610</w:t>
      </w:r>
    </w:p>
    <w:p w14:paraId="53A07378" w14:textId="37317EF1" w:rsidR="00104911" w:rsidRPr="00C876E0" w:rsidRDefault="00104911" w:rsidP="00C876E0">
      <w:pPr>
        <w:pStyle w:val="BodyText"/>
        <w:spacing w:before="0"/>
        <w:rPr>
          <w:b/>
          <w:bCs/>
        </w:rPr>
      </w:pPr>
      <w:r w:rsidRPr="00C876E0">
        <w:rPr>
          <w:b/>
          <w:bCs/>
        </w:rPr>
        <w:t xml:space="preserve">Australia </w:t>
      </w:r>
    </w:p>
    <w:p w14:paraId="4D7A9F94" w14:textId="77777777" w:rsidR="00104911" w:rsidRPr="00C876E0" w:rsidRDefault="00104911" w:rsidP="00C876E0">
      <w:pPr>
        <w:pStyle w:val="BodyText"/>
      </w:pPr>
      <w:r w:rsidRPr="00C876E0">
        <w:t xml:space="preserve">Please include your name, Centrelink Customer Reference Number and your telephone number in your query. </w:t>
      </w:r>
      <w:bookmarkStart w:id="0" w:name="ColumnTitle_Schedule"/>
      <w:bookmarkEnd w:id="0"/>
    </w:p>
    <w:p w14:paraId="1986E270" w14:textId="0234B97F" w:rsidR="00E018DC" w:rsidRPr="00374B97" w:rsidRDefault="00FF7B10" w:rsidP="00FF7B10">
      <w:pPr>
        <w:pStyle w:val="ProductCode"/>
      </w:pPr>
      <w:r>
        <w:t>INT001.2310</w:t>
      </w:r>
    </w:p>
    <w:sectPr w:rsidR="00E018DC" w:rsidRPr="00374B97" w:rsidSect="0087791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75285" w14:textId="77777777" w:rsidR="001927AB" w:rsidRDefault="001927AB" w:rsidP="00C77FE4">
      <w:r>
        <w:separator/>
      </w:r>
    </w:p>
  </w:endnote>
  <w:endnote w:type="continuationSeparator" w:id="0">
    <w:p w14:paraId="599695CE" w14:textId="77777777" w:rsidR="001927AB" w:rsidRDefault="001927AB"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Roboto-Bold">
    <w:altName w:val="Roboto"/>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oboto-Regular">
    <w:altName w:val="Roboto"/>
    <w:panose1 w:val="00000000000000000000"/>
    <w:charset w:val="00"/>
    <w:family w:val="swiss"/>
    <w:notTrueType/>
    <w:pitch w:val="default"/>
    <w:sig w:usb0="00000003" w:usb1="00000000" w:usb2="00000000" w:usb3="00000000" w:csb0="00000001" w:csb1="00000000"/>
  </w:font>
  <w:font w:name="Roboto-Medium">
    <w:altName w:val="Roboto"/>
    <w:panose1 w:val="00000000000000000000"/>
    <w:charset w:val="00"/>
    <w:family w:val="auto"/>
    <w:notTrueType/>
    <w:pitch w:val="default"/>
    <w:sig w:usb0="00000003" w:usb1="00000000" w:usb2="00000000" w:usb3="00000000" w:csb0="00000001"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B4E5" w14:textId="77777777" w:rsidR="001927AB" w:rsidRDefault="001927AB" w:rsidP="00C77FE4">
      <w:r>
        <w:separator/>
      </w:r>
    </w:p>
  </w:footnote>
  <w:footnote w:type="continuationSeparator" w:id="0">
    <w:p w14:paraId="155169D2" w14:textId="77777777" w:rsidR="001927AB" w:rsidRDefault="001927AB"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05FE33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8640471">
    <w:abstractNumId w:val="9"/>
  </w:num>
  <w:num w:numId="2" w16cid:durableId="812871940">
    <w:abstractNumId w:val="7"/>
  </w:num>
  <w:num w:numId="3" w16cid:durableId="1270316514">
    <w:abstractNumId w:val="6"/>
  </w:num>
  <w:num w:numId="4" w16cid:durableId="1206796576">
    <w:abstractNumId w:val="5"/>
  </w:num>
  <w:num w:numId="5" w16cid:durableId="1507986751">
    <w:abstractNumId w:val="4"/>
  </w:num>
  <w:num w:numId="6" w16cid:durableId="1915964674">
    <w:abstractNumId w:val="8"/>
  </w:num>
  <w:num w:numId="7" w16cid:durableId="1141536276">
    <w:abstractNumId w:val="3"/>
  </w:num>
  <w:num w:numId="8" w16cid:durableId="1876889442">
    <w:abstractNumId w:val="2"/>
  </w:num>
  <w:num w:numId="9" w16cid:durableId="982154350">
    <w:abstractNumId w:val="1"/>
  </w:num>
  <w:num w:numId="10" w16cid:durableId="360673332">
    <w:abstractNumId w:val="0"/>
  </w:num>
  <w:num w:numId="11" w16cid:durableId="859391680">
    <w:abstractNumId w:val="10"/>
  </w:num>
  <w:num w:numId="12" w16cid:durableId="6077425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28"/>
    <w:rsid w:val="000076F8"/>
    <w:rsid w:val="00015456"/>
    <w:rsid w:val="000156A2"/>
    <w:rsid w:val="00015AE7"/>
    <w:rsid w:val="00032A7E"/>
    <w:rsid w:val="00034C1C"/>
    <w:rsid w:val="00044271"/>
    <w:rsid w:val="00047ECA"/>
    <w:rsid w:val="000514D2"/>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4911"/>
    <w:rsid w:val="00105ADB"/>
    <w:rsid w:val="00106CBE"/>
    <w:rsid w:val="00111E1D"/>
    <w:rsid w:val="00120212"/>
    <w:rsid w:val="0012437B"/>
    <w:rsid w:val="00132C19"/>
    <w:rsid w:val="00140AB3"/>
    <w:rsid w:val="001622BD"/>
    <w:rsid w:val="001678AC"/>
    <w:rsid w:val="001718F2"/>
    <w:rsid w:val="001859C2"/>
    <w:rsid w:val="001927AB"/>
    <w:rsid w:val="001A7379"/>
    <w:rsid w:val="001A7D06"/>
    <w:rsid w:val="001B7F4D"/>
    <w:rsid w:val="001C0E50"/>
    <w:rsid w:val="001E5563"/>
    <w:rsid w:val="001E55A2"/>
    <w:rsid w:val="001F312C"/>
    <w:rsid w:val="00211456"/>
    <w:rsid w:val="00244B07"/>
    <w:rsid w:val="00251E3F"/>
    <w:rsid w:val="002556F0"/>
    <w:rsid w:val="00256A48"/>
    <w:rsid w:val="00280896"/>
    <w:rsid w:val="002B682A"/>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1571"/>
    <w:rsid w:val="003A29E7"/>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95565"/>
    <w:rsid w:val="005A433D"/>
    <w:rsid w:val="005B092F"/>
    <w:rsid w:val="005B17EB"/>
    <w:rsid w:val="005B68C4"/>
    <w:rsid w:val="005E3821"/>
    <w:rsid w:val="005E6C88"/>
    <w:rsid w:val="005F00EB"/>
    <w:rsid w:val="005F107D"/>
    <w:rsid w:val="005F1D36"/>
    <w:rsid w:val="005F5542"/>
    <w:rsid w:val="00604426"/>
    <w:rsid w:val="00606393"/>
    <w:rsid w:val="006225D9"/>
    <w:rsid w:val="00642687"/>
    <w:rsid w:val="006435E9"/>
    <w:rsid w:val="00665C7F"/>
    <w:rsid w:val="00677137"/>
    <w:rsid w:val="00677713"/>
    <w:rsid w:val="0069046E"/>
    <w:rsid w:val="00696B3B"/>
    <w:rsid w:val="006B07C6"/>
    <w:rsid w:val="006C762C"/>
    <w:rsid w:val="006D08E2"/>
    <w:rsid w:val="006D1B53"/>
    <w:rsid w:val="006D2988"/>
    <w:rsid w:val="006D35B7"/>
    <w:rsid w:val="006D5715"/>
    <w:rsid w:val="006D6F0A"/>
    <w:rsid w:val="006F3A95"/>
    <w:rsid w:val="00705895"/>
    <w:rsid w:val="00705D14"/>
    <w:rsid w:val="00716746"/>
    <w:rsid w:val="00726026"/>
    <w:rsid w:val="00727EE5"/>
    <w:rsid w:val="00733DA5"/>
    <w:rsid w:val="007350CF"/>
    <w:rsid w:val="00746A75"/>
    <w:rsid w:val="0075047E"/>
    <w:rsid w:val="00750D76"/>
    <w:rsid w:val="00754162"/>
    <w:rsid w:val="0075432E"/>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B2193"/>
    <w:rsid w:val="008B23EF"/>
    <w:rsid w:val="008B54E0"/>
    <w:rsid w:val="008C199A"/>
    <w:rsid w:val="008E4018"/>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65A0"/>
    <w:rsid w:val="00A41E85"/>
    <w:rsid w:val="00A52B74"/>
    <w:rsid w:val="00A903BB"/>
    <w:rsid w:val="00A95C0E"/>
    <w:rsid w:val="00AA3023"/>
    <w:rsid w:val="00AA4D96"/>
    <w:rsid w:val="00AB125B"/>
    <w:rsid w:val="00AB3973"/>
    <w:rsid w:val="00AB4F8F"/>
    <w:rsid w:val="00AC2098"/>
    <w:rsid w:val="00AD7DEA"/>
    <w:rsid w:val="00AE4F31"/>
    <w:rsid w:val="00AE6BC5"/>
    <w:rsid w:val="00AF2611"/>
    <w:rsid w:val="00AF2766"/>
    <w:rsid w:val="00AF59AF"/>
    <w:rsid w:val="00B105F1"/>
    <w:rsid w:val="00B20D55"/>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D2D68"/>
    <w:rsid w:val="00BD773A"/>
    <w:rsid w:val="00BF032E"/>
    <w:rsid w:val="00C245AC"/>
    <w:rsid w:val="00C43A50"/>
    <w:rsid w:val="00C46790"/>
    <w:rsid w:val="00C50C30"/>
    <w:rsid w:val="00C713F5"/>
    <w:rsid w:val="00C72EC8"/>
    <w:rsid w:val="00C77FE4"/>
    <w:rsid w:val="00C86E67"/>
    <w:rsid w:val="00C876E0"/>
    <w:rsid w:val="00C87FCE"/>
    <w:rsid w:val="00C91EEF"/>
    <w:rsid w:val="00C95A69"/>
    <w:rsid w:val="00C96772"/>
    <w:rsid w:val="00CA2FB4"/>
    <w:rsid w:val="00CA3C73"/>
    <w:rsid w:val="00CB6314"/>
    <w:rsid w:val="00CC520F"/>
    <w:rsid w:val="00CD7C3B"/>
    <w:rsid w:val="00CE4300"/>
    <w:rsid w:val="00CE5D91"/>
    <w:rsid w:val="00D05662"/>
    <w:rsid w:val="00D05A32"/>
    <w:rsid w:val="00D06212"/>
    <w:rsid w:val="00D22D34"/>
    <w:rsid w:val="00D27B93"/>
    <w:rsid w:val="00D4415B"/>
    <w:rsid w:val="00D471E5"/>
    <w:rsid w:val="00D55C20"/>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4F83"/>
    <w:rsid w:val="00E85228"/>
    <w:rsid w:val="00EA1575"/>
    <w:rsid w:val="00EA7C06"/>
    <w:rsid w:val="00EB6C6C"/>
    <w:rsid w:val="00EC1132"/>
    <w:rsid w:val="00ED34BA"/>
    <w:rsid w:val="00ED67A0"/>
    <w:rsid w:val="00EE07E7"/>
    <w:rsid w:val="00EF0F52"/>
    <w:rsid w:val="00EF141B"/>
    <w:rsid w:val="00EF4814"/>
    <w:rsid w:val="00F07680"/>
    <w:rsid w:val="00F13F24"/>
    <w:rsid w:val="00F14599"/>
    <w:rsid w:val="00F260CA"/>
    <w:rsid w:val="00F36EDD"/>
    <w:rsid w:val="00F612F8"/>
    <w:rsid w:val="00F65C44"/>
    <w:rsid w:val="00F75113"/>
    <w:rsid w:val="00F9462E"/>
    <w:rsid w:val="00F94A6B"/>
    <w:rsid w:val="00FA3BCF"/>
    <w:rsid w:val="00FA722D"/>
    <w:rsid w:val="00FB1495"/>
    <w:rsid w:val="00FB28DE"/>
    <w:rsid w:val="00FC0558"/>
    <w:rsid w:val="00FD356E"/>
    <w:rsid w:val="00FE2064"/>
    <w:rsid w:val="00FE6821"/>
    <w:rsid w:val="00FF775C"/>
    <w:rsid w:val="00FF7B1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71EEF"/>
  <w15:chartTrackingRefBased/>
  <w15:docId w15:val="{350DDE59-A7F3-43B4-AD52-19D3F08E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autoRedefine/>
    <w:uiPriority w:val="99"/>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D55C20"/>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character" w:styleId="Hyperlink">
    <w:name w:val="Hyperlink"/>
    <w:basedOn w:val="DefaultParagraphFont"/>
    <w:uiPriority w:val="99"/>
    <w:unhideWhenUsed/>
    <w:rsid w:val="00104911"/>
    <w:rPr>
      <w:color w:val="0563C1" w:themeColor="hyperlink"/>
      <w:u w:val="single"/>
    </w:rPr>
  </w:style>
  <w:style w:type="character" w:styleId="UnresolvedMention">
    <w:name w:val="Unresolved Mention"/>
    <w:basedOn w:val="DefaultParagraphFont"/>
    <w:uiPriority w:val="99"/>
    <w:semiHidden/>
    <w:unhideWhenUsed/>
    <w:rsid w:val="00104911"/>
    <w:rPr>
      <w:color w:val="605E5C"/>
      <w:shd w:val="clear" w:color="auto" w:fill="E1DFDD"/>
    </w:rPr>
  </w:style>
  <w:style w:type="paragraph" w:customStyle="1" w:styleId="Heading02">
    <w:name w:val="Heading 02"/>
    <w:basedOn w:val="Normal"/>
    <w:uiPriority w:val="99"/>
    <w:rsid w:val="00104911"/>
    <w:pPr>
      <w:widowControl w:val="0"/>
      <w:tabs>
        <w:tab w:val="clear" w:pos="1066"/>
        <w:tab w:val="left" w:pos="227"/>
      </w:tabs>
      <w:suppressAutoHyphens/>
      <w:autoSpaceDE w:val="0"/>
      <w:autoSpaceDN w:val="0"/>
      <w:adjustRightInd w:val="0"/>
      <w:spacing w:before="113" w:after="113" w:line="400" w:lineRule="atLeast"/>
      <w:textAlignment w:val="center"/>
    </w:pPr>
    <w:rPr>
      <w:rFonts w:ascii="Roboto-Bold" w:eastAsiaTheme="minorEastAsia" w:hAnsi="Roboto-Bold" w:cs="Roboto-Bold"/>
      <w:b/>
      <w:bCs/>
      <w:color w:val="103163"/>
      <w:sz w:val="36"/>
      <w:szCs w:val="36"/>
      <w:lang w:val="en-US" w:eastAsia="en-AU"/>
      <w14:ligatures w14:val="standardContextual"/>
    </w:rPr>
  </w:style>
  <w:style w:type="paragraph" w:customStyle="1" w:styleId="Bullet">
    <w:name w:val="Bullet"/>
    <w:basedOn w:val="Normal"/>
    <w:uiPriority w:val="99"/>
    <w:rsid w:val="00104911"/>
    <w:pPr>
      <w:widowControl w:val="0"/>
      <w:tabs>
        <w:tab w:val="clear" w:pos="1066"/>
        <w:tab w:val="left" w:pos="170"/>
        <w:tab w:val="left" w:pos="397"/>
      </w:tabs>
      <w:suppressAutoHyphens/>
      <w:autoSpaceDE w:val="0"/>
      <w:autoSpaceDN w:val="0"/>
      <w:adjustRightInd w:val="0"/>
      <w:spacing w:after="170" w:line="240" w:lineRule="atLeast"/>
      <w:ind w:left="170" w:hanging="170"/>
      <w:textAlignment w:val="center"/>
    </w:pPr>
    <w:rPr>
      <w:rFonts w:ascii="Roboto-Regular" w:eastAsiaTheme="minorEastAsia" w:hAnsi="Roboto-Regular" w:cs="Roboto-Regular"/>
      <w:color w:val="000000"/>
      <w:sz w:val="20"/>
      <w:szCs w:val="20"/>
      <w:lang w:val="en-US" w:eastAsia="en-AU"/>
      <w14:ligatures w14:val="standardContextual"/>
    </w:rPr>
  </w:style>
  <w:style w:type="paragraph" w:customStyle="1" w:styleId="Tableheading01">
    <w:name w:val="Table heading 01"/>
    <w:basedOn w:val="Normal"/>
    <w:uiPriority w:val="99"/>
    <w:rsid w:val="00104911"/>
    <w:pPr>
      <w:widowControl w:val="0"/>
      <w:tabs>
        <w:tab w:val="clear" w:pos="1066"/>
        <w:tab w:val="left" w:pos="170"/>
        <w:tab w:val="left" w:pos="397"/>
      </w:tabs>
      <w:suppressAutoHyphens/>
      <w:autoSpaceDE w:val="0"/>
      <w:autoSpaceDN w:val="0"/>
      <w:adjustRightInd w:val="0"/>
      <w:spacing w:line="240" w:lineRule="atLeast"/>
      <w:textAlignment w:val="center"/>
    </w:pPr>
    <w:rPr>
      <w:rFonts w:ascii="Roboto-Bold" w:eastAsiaTheme="minorEastAsia" w:hAnsi="Roboto-Bold" w:cs="Roboto-Bold"/>
      <w:b/>
      <w:bCs/>
      <w:color w:val="000000"/>
      <w:sz w:val="20"/>
      <w:szCs w:val="20"/>
      <w:lang w:val="en-US" w:eastAsia="en-AU"/>
      <w14:ligatures w14:val="standardContextual"/>
    </w:rPr>
  </w:style>
  <w:style w:type="paragraph" w:customStyle="1" w:styleId="Heading03">
    <w:name w:val="Heading 03"/>
    <w:basedOn w:val="Normal"/>
    <w:uiPriority w:val="99"/>
    <w:rsid w:val="00104911"/>
    <w:pPr>
      <w:widowControl w:val="0"/>
      <w:tabs>
        <w:tab w:val="clear" w:pos="1066"/>
        <w:tab w:val="left" w:pos="227"/>
      </w:tabs>
      <w:suppressAutoHyphens/>
      <w:autoSpaceDE w:val="0"/>
      <w:autoSpaceDN w:val="0"/>
      <w:adjustRightInd w:val="0"/>
      <w:spacing w:before="113" w:after="113" w:line="440" w:lineRule="atLeast"/>
      <w:textAlignment w:val="center"/>
    </w:pPr>
    <w:rPr>
      <w:rFonts w:ascii="Roboto-Medium" w:eastAsiaTheme="minorEastAsia" w:hAnsi="Roboto-Medium" w:cs="Roboto-Medium"/>
      <w:color w:val="000000"/>
      <w:sz w:val="32"/>
      <w:szCs w:val="32"/>
      <w:lang w:val="en-US" w:eastAsia="en-AU"/>
      <w14:ligatures w14:val="standardContextual"/>
    </w:rPr>
  </w:style>
  <w:style w:type="paragraph" w:customStyle="1" w:styleId="Number">
    <w:name w:val="Number"/>
    <w:basedOn w:val="Bullet"/>
    <w:uiPriority w:val="99"/>
    <w:rsid w:val="00104911"/>
  </w:style>
  <w:style w:type="paragraph" w:customStyle="1" w:styleId="Footnotes">
    <w:name w:val="Footnotes"/>
    <w:basedOn w:val="Normal"/>
    <w:uiPriority w:val="99"/>
    <w:rsid w:val="00104911"/>
    <w:pPr>
      <w:widowControl w:val="0"/>
      <w:tabs>
        <w:tab w:val="clear" w:pos="1066"/>
        <w:tab w:val="left" w:pos="170"/>
        <w:tab w:val="left" w:pos="397"/>
      </w:tabs>
      <w:suppressAutoHyphens/>
      <w:autoSpaceDE w:val="0"/>
      <w:autoSpaceDN w:val="0"/>
      <w:adjustRightInd w:val="0"/>
      <w:spacing w:after="113" w:line="200" w:lineRule="atLeast"/>
      <w:textAlignment w:val="center"/>
    </w:pPr>
    <w:rPr>
      <w:rFonts w:ascii="Roboto-Regular" w:eastAsiaTheme="minorEastAsia" w:hAnsi="Roboto-Regular" w:cs="Roboto-Regular"/>
      <w:color w:val="000000"/>
      <w:sz w:val="16"/>
      <w:szCs w:val="16"/>
      <w:lang w:val="en-US" w:eastAsia="en-AU"/>
      <w14:ligatures w14:val="standardContextual"/>
    </w:rPr>
  </w:style>
  <w:style w:type="paragraph" w:customStyle="1" w:styleId="TableBodyTablecellstyles">
    <w:name w:val="Table Body (Table cell styles)"/>
    <w:basedOn w:val="Normal"/>
    <w:uiPriority w:val="99"/>
    <w:rsid w:val="00104911"/>
    <w:pPr>
      <w:widowControl w:val="0"/>
      <w:tabs>
        <w:tab w:val="clear" w:pos="1066"/>
        <w:tab w:val="left" w:pos="170"/>
      </w:tabs>
      <w:suppressAutoHyphens/>
      <w:autoSpaceDE w:val="0"/>
      <w:autoSpaceDN w:val="0"/>
      <w:adjustRightInd w:val="0"/>
      <w:spacing w:after="340" w:line="260" w:lineRule="atLeast"/>
      <w:textAlignment w:val="center"/>
    </w:pPr>
    <w:rPr>
      <w:rFonts w:ascii="Roboto-Regular" w:eastAsiaTheme="minorEastAsia" w:hAnsi="Roboto-Regular" w:cs="Roboto-Regular"/>
      <w:color w:val="000000"/>
      <w:spacing w:val="-2"/>
      <w:sz w:val="20"/>
      <w:szCs w:val="20"/>
      <w:lang w:val="en-US" w:eastAsia="en-AU"/>
      <w14:ligatures w14:val="standardContextual"/>
    </w:rPr>
  </w:style>
  <w:style w:type="paragraph" w:customStyle="1" w:styleId="Heading04">
    <w:name w:val="Heading 04"/>
    <w:basedOn w:val="Normal"/>
    <w:uiPriority w:val="99"/>
    <w:rsid w:val="00104911"/>
    <w:pPr>
      <w:widowControl w:val="0"/>
      <w:tabs>
        <w:tab w:val="clear" w:pos="1066"/>
        <w:tab w:val="left" w:pos="170"/>
        <w:tab w:val="left" w:pos="397"/>
      </w:tabs>
      <w:autoSpaceDE w:val="0"/>
      <w:autoSpaceDN w:val="0"/>
      <w:adjustRightInd w:val="0"/>
      <w:spacing w:before="113" w:after="113" w:line="280" w:lineRule="atLeast"/>
      <w:textAlignment w:val="center"/>
    </w:pPr>
    <w:rPr>
      <w:rFonts w:ascii="Roboto-Bold" w:eastAsiaTheme="minorEastAsia" w:hAnsi="Roboto-Bold" w:cs="Roboto-Bold"/>
      <w:b/>
      <w:bCs/>
      <w:color w:val="000000"/>
      <w:lang w:val="en-US" w:eastAsia="en-AU"/>
      <w14:ligatures w14:val="standardContextual"/>
    </w:rPr>
  </w:style>
  <w:style w:type="character" w:customStyle="1" w:styleId="Bold">
    <w:name w:val="Bold"/>
    <w:uiPriority w:val="99"/>
    <w:rsid w:val="00104911"/>
    <w:rPr>
      <w:rFonts w:ascii="Roboto-Bold" w:hAnsi="Roboto-Bold" w:cs="Roboto-Bold"/>
      <w:b/>
      <w:bCs/>
    </w:rPr>
  </w:style>
  <w:style w:type="paragraph" w:customStyle="1" w:styleId="CallOutCopy01">
    <w:name w:val="Call Out Copy 01"/>
    <w:basedOn w:val="Normal"/>
    <w:uiPriority w:val="99"/>
    <w:rsid w:val="00D4415B"/>
    <w:pPr>
      <w:tabs>
        <w:tab w:val="clear" w:pos="1066"/>
        <w:tab w:val="left" w:pos="170"/>
        <w:tab w:val="left" w:pos="397"/>
      </w:tabs>
      <w:suppressAutoHyphens/>
      <w:autoSpaceDE w:val="0"/>
      <w:autoSpaceDN w:val="0"/>
      <w:adjustRightInd w:val="0"/>
      <w:spacing w:after="397" w:line="440" w:lineRule="atLeast"/>
      <w:textAlignment w:val="center"/>
    </w:pPr>
    <w:rPr>
      <w:rFonts w:ascii="Roboto" w:hAnsi="Roboto" w:cs="Roboto"/>
      <w:color w:val="000000"/>
      <w:sz w:val="36"/>
      <w:szCs w:val="36"/>
      <w:lang w:val="en-US" w:eastAsia="en-AU"/>
    </w:rPr>
  </w:style>
  <w:style w:type="paragraph" w:styleId="Header">
    <w:name w:val="header"/>
    <w:basedOn w:val="Normal"/>
    <w:link w:val="HeaderChar"/>
    <w:uiPriority w:val="99"/>
    <w:unhideWhenUsed/>
    <w:rsid w:val="00696B3B"/>
    <w:pPr>
      <w:tabs>
        <w:tab w:val="clear" w:pos="1066"/>
        <w:tab w:val="center" w:pos="4513"/>
        <w:tab w:val="right" w:pos="9026"/>
      </w:tabs>
    </w:pPr>
  </w:style>
  <w:style w:type="character" w:customStyle="1" w:styleId="HeaderChar">
    <w:name w:val="Header Char"/>
    <w:basedOn w:val="DefaultParagraphFont"/>
    <w:link w:val="Header"/>
    <w:uiPriority w:val="99"/>
    <w:rsid w:val="00696B3B"/>
    <w:rPr>
      <w:rFonts w:ascii="Arial" w:hAnsi="Arial"/>
      <w:sz w:val="24"/>
      <w:szCs w:val="24"/>
      <w:lang w:eastAsia="en-US"/>
    </w:rPr>
  </w:style>
  <w:style w:type="paragraph" w:styleId="Footer">
    <w:name w:val="footer"/>
    <w:basedOn w:val="Normal"/>
    <w:link w:val="FooterChar"/>
    <w:uiPriority w:val="99"/>
    <w:unhideWhenUsed/>
    <w:rsid w:val="00696B3B"/>
    <w:pPr>
      <w:tabs>
        <w:tab w:val="clear" w:pos="1066"/>
        <w:tab w:val="center" w:pos="4513"/>
        <w:tab w:val="right" w:pos="9026"/>
      </w:tabs>
    </w:pPr>
  </w:style>
  <w:style w:type="character" w:customStyle="1" w:styleId="FooterChar">
    <w:name w:val="Footer Char"/>
    <w:basedOn w:val="DefaultParagraphFont"/>
    <w:link w:val="Footer"/>
    <w:uiPriority w:val="99"/>
    <w:rsid w:val="00696B3B"/>
    <w:rPr>
      <w:rFonts w:ascii="Arial" w:hAnsi="Arial"/>
      <w:sz w:val="24"/>
      <w:szCs w:val="24"/>
      <w:lang w:eastAsia="en-US"/>
    </w:rPr>
  </w:style>
  <w:style w:type="paragraph" w:styleId="Revision">
    <w:name w:val="Revision"/>
    <w:hidden/>
    <w:uiPriority w:val="99"/>
    <w:semiHidden/>
    <w:rsid w:val="00C72EC8"/>
    <w:rPr>
      <w:rFonts w:ascii="Arial" w:hAnsi="Arial"/>
      <w:sz w:val="24"/>
      <w:szCs w:val="24"/>
      <w:lang w:eastAsia="en-US"/>
    </w:rPr>
  </w:style>
  <w:style w:type="character" w:styleId="CommentReference">
    <w:name w:val="annotation reference"/>
    <w:basedOn w:val="DefaultParagraphFont"/>
    <w:uiPriority w:val="99"/>
    <w:semiHidden/>
    <w:unhideWhenUsed/>
    <w:rsid w:val="00C72EC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esaustralia.gov.au/nominee" TargetMode="External"/><Relationship Id="rId13" Type="http://schemas.openxmlformats.org/officeDocument/2006/relationships/hyperlink" Target="http://servicesaustralia.gov.au/internation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rvicesaustralia.gov.au/asse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rvicesaustrali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work-bonus" TargetMode="External"/><Relationship Id="rId5" Type="http://schemas.openxmlformats.org/officeDocument/2006/relationships/webSettings" Target="webSettings.xml"/><Relationship Id="rId15" Type="http://schemas.openxmlformats.org/officeDocument/2006/relationships/hyperlink" Target="http://servicesaustralia.gov.au/customer/publications/int001" TargetMode="External"/><Relationship Id="rId10" Type="http://schemas.openxmlformats.org/officeDocument/2006/relationships/hyperlink" Target="https://www.servicesaustralia.gov.au/income" TargetMode="External"/><Relationship Id="rId4" Type="http://schemas.openxmlformats.org/officeDocument/2006/relationships/settings" Target="settings.xml"/><Relationship Id="rId9" Type="http://schemas.openxmlformats.org/officeDocument/2006/relationships/hyperlink" Target="https://www.servicesaustralia.gov.au/dsp" TargetMode="External"/><Relationship Id="rId14" Type="http://schemas.openxmlformats.org/officeDocument/2006/relationships/hyperlink" Target="https://www.servicesaustrali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27F11-4A34-4C8B-B358-BC0A4B2F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1780</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Australian Pension News</vt:lpstr>
    </vt:vector>
  </TitlesOfParts>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Pension News</dc:title>
  <dc:subject/>
  <dc:creator>Services Australia</dc:creator>
  <cp:keywords>INT001.2310</cp:keywords>
  <dc:description/>
  <cp:revision>3</cp:revision>
  <dcterms:created xsi:type="dcterms:W3CDTF">2023-10-09T00:18:00Z</dcterms:created>
  <dcterms:modified xsi:type="dcterms:W3CDTF">2023-10-09T00:19:00Z</dcterms:modified>
</cp:coreProperties>
</file>