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85" w:rsidRDefault="00E05B44" w:rsidP="005B4E85">
      <w:pPr>
        <w:pStyle w:val="Heading1"/>
      </w:pPr>
      <w:r w:rsidRPr="00E05B44">
        <w:t>Explaining class action settlement payment</w:t>
      </w:r>
      <w:r w:rsidR="00617E4A">
        <w:t>s</w:t>
      </w:r>
      <w:bookmarkStart w:id="0" w:name="_GoBack"/>
      <w:bookmarkEnd w:id="0"/>
    </w:p>
    <w:p w:rsidR="00E05B44" w:rsidRPr="00027F95" w:rsidRDefault="00E05B44" w:rsidP="002B5DF2">
      <w:pPr>
        <w:pStyle w:val="BodyText"/>
      </w:pPr>
      <w:r w:rsidRPr="00027F95">
        <w:t xml:space="preserve">Eligible group members of the ‘Robodebt’ (Social Security Debt Collection) class action (VID1252/2019) are getting settlement payments from the agreed $112 million settlement sum. </w:t>
      </w:r>
    </w:p>
    <w:p w:rsidR="00E05B44" w:rsidRPr="00E05B44" w:rsidRDefault="00E05B44" w:rsidP="00027F95">
      <w:pPr>
        <w:pStyle w:val="BodyText"/>
        <w:rPr>
          <w:lang w:val="en-US" w:eastAsia="en-AU"/>
        </w:rPr>
      </w:pPr>
      <w:r w:rsidRPr="00E05B44">
        <w:rPr>
          <w:lang w:val="en-US" w:eastAsia="en-AU"/>
        </w:rPr>
        <w:t xml:space="preserve">The Commonwealth and the applicants (represented by Gordon Legal) agreed to settle the class action. The Federal Court approved the way settlement payments were calculated for eligible group members. </w:t>
      </w:r>
    </w:p>
    <w:p w:rsidR="00E05B44" w:rsidRPr="00E05B44" w:rsidRDefault="00E05B44" w:rsidP="00027F95">
      <w:pPr>
        <w:pStyle w:val="Heading2"/>
        <w:rPr>
          <w:lang w:val="en-US" w:eastAsia="en-AU"/>
        </w:rPr>
      </w:pPr>
      <w:r w:rsidRPr="00E05B44">
        <w:rPr>
          <w:lang w:val="en-US" w:eastAsia="en-AU"/>
        </w:rPr>
        <w:t>How were settlement payments worked out?</w:t>
      </w:r>
    </w:p>
    <w:p w:rsidR="00E05B44" w:rsidRPr="00E05B44" w:rsidRDefault="00E05B44" w:rsidP="00027F95">
      <w:pPr>
        <w:pStyle w:val="BodyText"/>
        <w:rPr>
          <w:lang w:val="en-US" w:eastAsia="en-AU"/>
        </w:rPr>
      </w:pPr>
      <w:r w:rsidRPr="00E05B44">
        <w:rPr>
          <w:lang w:val="en-US" w:eastAsia="en-AU"/>
        </w:rPr>
        <w:t>The amount each eligible group member receives depends on:</w:t>
      </w:r>
    </w:p>
    <w:p w:rsidR="00E05B44" w:rsidRPr="00E05B44" w:rsidRDefault="00E05B44" w:rsidP="00027F95">
      <w:pPr>
        <w:pStyle w:val="ListBullet"/>
        <w:rPr>
          <w:lang w:val="en-US" w:eastAsia="en-AU"/>
        </w:rPr>
      </w:pPr>
      <w:r w:rsidRPr="00E05B44">
        <w:rPr>
          <w:lang w:val="en-US" w:eastAsia="en-AU"/>
        </w:rPr>
        <w:t>When they repaid money towards eligible debts</w:t>
      </w:r>
    </w:p>
    <w:p w:rsidR="00E05B44" w:rsidRPr="00E05B44" w:rsidRDefault="00E05B44" w:rsidP="00027F95">
      <w:pPr>
        <w:pStyle w:val="ListBullet"/>
        <w:rPr>
          <w:lang w:val="en-US" w:eastAsia="en-AU"/>
        </w:rPr>
      </w:pPr>
      <w:r w:rsidRPr="00E05B44">
        <w:rPr>
          <w:lang w:val="en-US" w:eastAsia="en-AU"/>
        </w:rPr>
        <w:t>How much they repaid</w:t>
      </w:r>
    </w:p>
    <w:p w:rsidR="00E05B44" w:rsidRPr="00E05B44" w:rsidRDefault="00E05B44" w:rsidP="00027F95">
      <w:pPr>
        <w:pStyle w:val="ListBullet"/>
        <w:rPr>
          <w:lang w:val="en-US" w:eastAsia="en-AU"/>
        </w:rPr>
      </w:pPr>
      <w:r w:rsidRPr="00E05B44">
        <w:rPr>
          <w:lang w:val="en-US" w:eastAsia="en-AU"/>
        </w:rPr>
        <w:t>When they were refunded</w:t>
      </w:r>
    </w:p>
    <w:p w:rsidR="00E05B44" w:rsidRPr="00E05B44" w:rsidRDefault="00E05B44" w:rsidP="00027F95">
      <w:pPr>
        <w:pStyle w:val="ListBullet"/>
        <w:rPr>
          <w:lang w:val="en-US" w:eastAsia="en-AU"/>
        </w:rPr>
      </w:pPr>
      <w:r w:rsidRPr="00E05B44">
        <w:rPr>
          <w:lang w:val="en-US" w:eastAsia="en-AU"/>
        </w:rPr>
        <w:t>How many eligible group members registered for a settlement payment</w:t>
      </w:r>
    </w:p>
    <w:p w:rsidR="00E05B44" w:rsidRPr="00E05B44" w:rsidRDefault="00E05B44" w:rsidP="00027F95">
      <w:pPr>
        <w:pStyle w:val="BodyText"/>
        <w:rPr>
          <w:lang w:val="en-US" w:eastAsia="en-AU"/>
        </w:rPr>
      </w:pPr>
      <w:r w:rsidRPr="00E05B44">
        <w:rPr>
          <w:lang w:val="en-US" w:eastAsia="en-AU"/>
        </w:rPr>
        <w:t>People who paid back more, and were without their money for longer, will get larger settlement payments.</w:t>
      </w:r>
    </w:p>
    <w:p w:rsidR="00E05B44" w:rsidRPr="00E05B44" w:rsidRDefault="00E05B44" w:rsidP="00027F95">
      <w:pPr>
        <w:pStyle w:val="Heading3"/>
        <w:rPr>
          <w:lang w:val="en-US" w:eastAsia="en-AU"/>
        </w:rPr>
      </w:pPr>
      <w:r w:rsidRPr="00E05B44">
        <w:rPr>
          <w:lang w:val="en-US" w:eastAsia="en-AU"/>
        </w:rPr>
        <w:t>Step 1: Working out the settlement distribution</w:t>
      </w:r>
    </w:p>
    <w:p w:rsidR="00E05B44" w:rsidRPr="00E05B44" w:rsidRDefault="00E05B44" w:rsidP="00027F95">
      <w:pPr>
        <w:pStyle w:val="BodyText"/>
        <w:rPr>
          <w:lang w:val="en-US" w:eastAsia="en-AU"/>
        </w:rPr>
      </w:pPr>
      <w:r w:rsidRPr="00E05B44">
        <w:rPr>
          <w:lang w:val="en-US" w:eastAsia="en-AU"/>
        </w:rPr>
        <w:t>The Federal Court approved the agreed settlement sum of $112 million.</w:t>
      </w:r>
    </w:p>
    <w:p w:rsidR="00E05B44" w:rsidRPr="00E05B44" w:rsidRDefault="00E05B44" w:rsidP="00027F95">
      <w:pPr>
        <w:pStyle w:val="BodyText"/>
        <w:rPr>
          <w:lang w:val="en-US" w:eastAsia="en-AU"/>
        </w:rPr>
      </w:pPr>
      <w:r w:rsidRPr="00E05B44">
        <w:rPr>
          <w:lang w:val="en-US" w:eastAsia="en-AU"/>
        </w:rPr>
        <w:t>First, Gordon Legal’s costs of $10.3 million were deducted from the settlement sum. These costs were approved by the Court.</w:t>
      </w:r>
    </w:p>
    <w:p w:rsidR="00E05B44" w:rsidRPr="00E05B44" w:rsidRDefault="00E05B44" w:rsidP="00027F95">
      <w:pPr>
        <w:pStyle w:val="BodyText"/>
        <w:rPr>
          <w:lang w:val="en-US" w:eastAsia="en-AU"/>
        </w:rPr>
      </w:pPr>
      <w:r w:rsidRPr="00E05B44">
        <w:rPr>
          <w:lang w:val="en-US" w:eastAsia="en-AU"/>
        </w:rPr>
        <w:t>This left $101.7 million to be distributed among eligible group members. This amount is known as the ‘distribution sum’. Eligible group members get settlement payments from this amount.</w:t>
      </w:r>
    </w:p>
    <w:p w:rsidR="00E05B44" w:rsidRPr="00E05B44" w:rsidRDefault="00E05B44" w:rsidP="00027F95">
      <w:pPr>
        <w:pStyle w:val="Heading3"/>
        <w:rPr>
          <w:lang w:val="en-US" w:eastAsia="en-AU"/>
        </w:rPr>
      </w:pPr>
      <w:r w:rsidRPr="00E05B44">
        <w:rPr>
          <w:lang w:val="en-US" w:eastAsia="en-AU"/>
        </w:rPr>
        <w:t>Step 2: Calculating interest</w:t>
      </w:r>
    </w:p>
    <w:p w:rsidR="00E05B44" w:rsidRPr="00E05B44" w:rsidRDefault="00E05B44" w:rsidP="00027F95">
      <w:pPr>
        <w:pStyle w:val="BodyText"/>
        <w:rPr>
          <w:lang w:val="en-US" w:eastAsia="en-AU"/>
        </w:rPr>
      </w:pPr>
      <w:r w:rsidRPr="00E05B44">
        <w:rPr>
          <w:lang w:val="en-US" w:eastAsia="en-AU"/>
        </w:rPr>
        <w:t>The second step is calculating the ‘simple interest’ on the money the group member repaid the agency.</w:t>
      </w:r>
    </w:p>
    <w:p w:rsidR="00E05B44" w:rsidRPr="00E05B44" w:rsidRDefault="00E05B44" w:rsidP="00027F95">
      <w:pPr>
        <w:pStyle w:val="BodyText"/>
        <w:rPr>
          <w:lang w:val="en-US" w:eastAsia="en-AU"/>
        </w:rPr>
      </w:pPr>
      <w:r w:rsidRPr="00E05B44">
        <w:rPr>
          <w:lang w:val="en-US" w:eastAsia="en-AU"/>
        </w:rPr>
        <w:t>For every day the group member was without the money they repaid on an eligible debt, an interest amount is calculated. The interest rates used for the calculation were set by the Federal Court.</w:t>
      </w:r>
    </w:p>
    <w:p w:rsidR="00E05B44" w:rsidRPr="00E05B44" w:rsidRDefault="00E05B44" w:rsidP="00027F95">
      <w:pPr>
        <w:pStyle w:val="BodyText"/>
        <w:rPr>
          <w:lang w:val="en-US" w:eastAsia="en-AU"/>
        </w:rPr>
      </w:pPr>
      <w:r w:rsidRPr="00E05B44">
        <w:rPr>
          <w:lang w:val="en-US" w:eastAsia="en-AU"/>
        </w:rPr>
        <w:t>Daily interest amounts are then added together to give a total interest amount for each eligible debt.</w:t>
      </w:r>
    </w:p>
    <w:p w:rsidR="00E05B44" w:rsidRPr="00E05B44" w:rsidRDefault="00E05B44" w:rsidP="00027F95">
      <w:pPr>
        <w:pStyle w:val="Heading3"/>
        <w:rPr>
          <w:lang w:val="en-US" w:eastAsia="en-AU"/>
        </w:rPr>
      </w:pPr>
      <w:r w:rsidRPr="00E05B44">
        <w:rPr>
          <w:lang w:val="en-US" w:eastAsia="en-AU"/>
        </w:rPr>
        <w:t>Step 3: Working out added amounts</w:t>
      </w:r>
    </w:p>
    <w:p w:rsidR="00E05B44" w:rsidRPr="00E05B44" w:rsidRDefault="00E05B44" w:rsidP="00027F95">
      <w:pPr>
        <w:pStyle w:val="BodyText"/>
        <w:rPr>
          <w:lang w:val="en-US" w:eastAsia="en-AU"/>
        </w:rPr>
      </w:pPr>
      <w:r w:rsidRPr="00E05B44">
        <w:rPr>
          <w:lang w:val="en-US" w:eastAsia="en-AU"/>
        </w:rPr>
        <w:t>After calculating interest for all eligible group members, there was money left from the distribution sum. Every eligible group member gets a portion of the left over amount, called the ‘added settlement amount’.</w:t>
      </w:r>
    </w:p>
    <w:p w:rsidR="00E05B44" w:rsidRPr="00E05B44" w:rsidRDefault="00E05B44" w:rsidP="00027F95">
      <w:pPr>
        <w:pStyle w:val="BodyText"/>
        <w:rPr>
          <w:lang w:val="en-US" w:eastAsia="en-AU"/>
        </w:rPr>
      </w:pPr>
      <w:r w:rsidRPr="00E05B44">
        <w:rPr>
          <w:lang w:val="en-US" w:eastAsia="en-AU"/>
        </w:rPr>
        <w:t>Added settlement amounts are proportional to each group member’s interest amount. The more interest they get, the larger their added settlement amount.</w:t>
      </w:r>
    </w:p>
    <w:p w:rsidR="00E05B44" w:rsidRPr="00E05B44" w:rsidRDefault="00E05B44" w:rsidP="00027F95">
      <w:pPr>
        <w:pStyle w:val="Heading3"/>
        <w:rPr>
          <w:lang w:val="en-US" w:eastAsia="en-AU"/>
        </w:rPr>
      </w:pPr>
      <w:r w:rsidRPr="00E05B44">
        <w:rPr>
          <w:lang w:val="en-US" w:eastAsia="en-AU"/>
        </w:rPr>
        <w:t>Step 4: Adding it up</w:t>
      </w:r>
    </w:p>
    <w:p w:rsidR="00E05B44" w:rsidRPr="00E05B44" w:rsidRDefault="00E05B44" w:rsidP="00027F95">
      <w:pPr>
        <w:pStyle w:val="BodyText"/>
        <w:rPr>
          <w:lang w:val="en-US" w:eastAsia="en-AU"/>
        </w:rPr>
      </w:pPr>
      <w:r w:rsidRPr="00E05B44">
        <w:rPr>
          <w:lang w:val="en-US" w:eastAsia="en-AU"/>
        </w:rPr>
        <w:t xml:space="preserve">The final step is adding the interest amount (step 2) and their ‘added settlement amount’ (step 3) together. The sum of their interest amount and ‘added settlement amount’ is their total settlement payment amount. </w:t>
      </w:r>
    </w:p>
    <w:p w:rsidR="00E05B44" w:rsidRPr="00E05B44" w:rsidRDefault="00E05B44" w:rsidP="00027F95">
      <w:pPr>
        <w:pStyle w:val="Heading1"/>
        <w:rPr>
          <w:lang w:val="en-US" w:eastAsia="en-AU"/>
        </w:rPr>
      </w:pPr>
      <w:r w:rsidRPr="00E05B44">
        <w:rPr>
          <w:lang w:val="en-US" w:eastAsia="en-AU"/>
        </w:rPr>
        <w:lastRenderedPageBreak/>
        <w:t>Settlement payment amounts</w:t>
      </w:r>
    </w:p>
    <w:p w:rsidR="00E05B44" w:rsidRPr="00E05B44" w:rsidRDefault="00E05B44" w:rsidP="00027F95">
      <w:pPr>
        <w:pStyle w:val="BodyText"/>
        <w:rPr>
          <w:lang w:val="en-US" w:eastAsia="en-AU"/>
        </w:rPr>
      </w:pPr>
      <w:r w:rsidRPr="00E05B44">
        <w:rPr>
          <w:lang w:val="en-US" w:eastAsia="en-AU"/>
        </w:rPr>
        <w:t xml:space="preserve">The amount each eligible group member receives will be different. Because settlement payments are calculated like interest, most people will not get large amounts of money. Around half of settlement payments will be between $50 and $300. </w:t>
      </w:r>
    </w:p>
    <w:p w:rsidR="00E05B44" w:rsidRPr="00E05B44" w:rsidRDefault="00E05B44" w:rsidP="00027F95">
      <w:pPr>
        <w:pStyle w:val="BodyText"/>
        <w:rPr>
          <w:lang w:val="en-US" w:eastAsia="en-AU"/>
        </w:rPr>
      </w:pPr>
      <w:r w:rsidRPr="00E05B44">
        <w:rPr>
          <w:lang w:val="en-US" w:eastAsia="en-AU"/>
        </w:rPr>
        <w:t>People who repaid small amounts or got a refund of the repayments soon after may get less than $50, and in some cases less than $10 as a settlement payment.</w:t>
      </w:r>
    </w:p>
    <w:p w:rsidR="00E05B44" w:rsidRPr="00E05B44" w:rsidRDefault="00E05B44" w:rsidP="00027F95">
      <w:pPr>
        <w:pStyle w:val="BodyText"/>
        <w:rPr>
          <w:lang w:val="en-US" w:eastAsia="en-AU"/>
        </w:rPr>
      </w:pPr>
      <w:r w:rsidRPr="00E05B44">
        <w:rPr>
          <w:lang w:val="en-US" w:eastAsia="en-AU"/>
        </w:rPr>
        <w:t>You can see a breakdown of how amounts have been distributed by payment ranges below.</w:t>
      </w:r>
    </w:p>
    <w:p w:rsidR="00E05B44" w:rsidRDefault="00E05B44" w:rsidP="00027F95">
      <w:pPr>
        <w:pStyle w:val="Heading2"/>
        <w:rPr>
          <w:lang w:val="en-US" w:eastAsia="en-AU"/>
        </w:rPr>
      </w:pPr>
      <w:r w:rsidRPr="00E05B44">
        <w:rPr>
          <w:lang w:val="en-US" w:eastAsia="en-AU"/>
        </w:rPr>
        <w:t>Breakdown by payment ranges</w:t>
      </w:r>
    </w:p>
    <w:tbl>
      <w:tblPr>
        <w:tblStyle w:val="TableGrid"/>
        <w:tblW w:w="0" w:type="auto"/>
        <w:tblLook w:val="04A0" w:firstRow="1" w:lastRow="0" w:firstColumn="1" w:lastColumn="0" w:noHBand="0" w:noVBand="1"/>
        <w:tblCaption w:val="Breakdown by payment ranges"/>
      </w:tblPr>
      <w:tblGrid>
        <w:gridCol w:w="5509"/>
        <w:gridCol w:w="5511"/>
      </w:tblGrid>
      <w:tr w:rsidR="00027F95" w:rsidTr="002B5DF2">
        <w:trPr>
          <w:trHeight w:val="850"/>
          <w:tblHeader/>
        </w:trPr>
        <w:tc>
          <w:tcPr>
            <w:tcW w:w="5509" w:type="dxa"/>
          </w:tcPr>
          <w:p w:rsidR="00027F95" w:rsidRPr="001020B3" w:rsidRDefault="00027F95" w:rsidP="001020B3">
            <w:pPr>
              <w:pStyle w:val="BodyText"/>
              <w:rPr>
                <w:b/>
              </w:rPr>
            </w:pPr>
            <w:r w:rsidRPr="001020B3">
              <w:rPr>
                <w:b/>
              </w:rPr>
              <w:t>Payment range</w:t>
            </w:r>
          </w:p>
        </w:tc>
        <w:tc>
          <w:tcPr>
            <w:tcW w:w="5511" w:type="dxa"/>
          </w:tcPr>
          <w:p w:rsidR="00027F95" w:rsidRPr="001020B3" w:rsidRDefault="00027F95" w:rsidP="001020B3">
            <w:pPr>
              <w:pStyle w:val="BodyText"/>
              <w:rPr>
                <w:b/>
              </w:rPr>
            </w:pPr>
            <w:r w:rsidRPr="001020B3">
              <w:rPr>
                <w:b/>
              </w:rPr>
              <w:t>Percentage of group members</w:t>
            </w:r>
          </w:p>
        </w:tc>
      </w:tr>
      <w:tr w:rsidR="00027F95" w:rsidTr="002B5DF2">
        <w:trPr>
          <w:trHeight w:val="560"/>
        </w:trPr>
        <w:tc>
          <w:tcPr>
            <w:tcW w:w="5509" w:type="dxa"/>
          </w:tcPr>
          <w:p w:rsidR="00027F95" w:rsidRDefault="00027F95" w:rsidP="00CA215A">
            <w:pPr>
              <w:pStyle w:val="BodyText"/>
            </w:pPr>
            <w:r w:rsidRPr="00027F95">
              <w:t>Under $1</w:t>
            </w:r>
          </w:p>
        </w:tc>
        <w:tc>
          <w:tcPr>
            <w:tcW w:w="5511" w:type="dxa"/>
          </w:tcPr>
          <w:p w:rsidR="00027F95" w:rsidRDefault="00027F95" w:rsidP="00027F95">
            <w:pPr>
              <w:pStyle w:val="BodyText"/>
            </w:pPr>
            <w:r w:rsidRPr="00027F95">
              <w:t>1.1%</w:t>
            </w:r>
          </w:p>
        </w:tc>
      </w:tr>
      <w:tr w:rsidR="00027F95" w:rsidTr="002B5DF2">
        <w:trPr>
          <w:trHeight w:val="570"/>
        </w:trPr>
        <w:tc>
          <w:tcPr>
            <w:tcW w:w="5509" w:type="dxa"/>
          </w:tcPr>
          <w:p w:rsidR="00027F95" w:rsidRDefault="00027F95" w:rsidP="00027F95">
            <w:pPr>
              <w:pStyle w:val="BodyText"/>
            </w:pPr>
            <w:r w:rsidRPr="00027F95">
              <w:t>$1 – $10</w:t>
            </w:r>
          </w:p>
        </w:tc>
        <w:tc>
          <w:tcPr>
            <w:tcW w:w="5511" w:type="dxa"/>
          </w:tcPr>
          <w:p w:rsidR="00027F95" w:rsidRDefault="00027F95" w:rsidP="00027F95">
            <w:pPr>
              <w:pStyle w:val="BodyText"/>
            </w:pPr>
            <w:r w:rsidRPr="00027F95">
              <w:t>4.6%</w:t>
            </w:r>
          </w:p>
        </w:tc>
      </w:tr>
      <w:tr w:rsidR="00027F95" w:rsidTr="002B5DF2">
        <w:trPr>
          <w:trHeight w:val="560"/>
        </w:trPr>
        <w:tc>
          <w:tcPr>
            <w:tcW w:w="5509" w:type="dxa"/>
          </w:tcPr>
          <w:p w:rsidR="00027F95" w:rsidRDefault="00027F95" w:rsidP="00027F95">
            <w:pPr>
              <w:pStyle w:val="BodyText"/>
            </w:pPr>
            <w:r w:rsidRPr="00027F95">
              <w:t>$10.01 – $50</w:t>
            </w:r>
          </w:p>
        </w:tc>
        <w:tc>
          <w:tcPr>
            <w:tcW w:w="5511" w:type="dxa"/>
          </w:tcPr>
          <w:p w:rsidR="00027F95" w:rsidRDefault="00027F95" w:rsidP="00027F95">
            <w:pPr>
              <w:pStyle w:val="BodyText"/>
            </w:pPr>
            <w:r w:rsidRPr="00027F95">
              <w:t>20.7%</w:t>
            </w:r>
          </w:p>
        </w:tc>
      </w:tr>
      <w:tr w:rsidR="00027F95" w:rsidTr="002B5DF2">
        <w:trPr>
          <w:trHeight w:val="560"/>
        </w:trPr>
        <w:tc>
          <w:tcPr>
            <w:tcW w:w="5509" w:type="dxa"/>
          </w:tcPr>
          <w:p w:rsidR="00027F95" w:rsidRDefault="00027F95" w:rsidP="00027F95">
            <w:pPr>
              <w:pStyle w:val="BodyText"/>
            </w:pPr>
            <w:r w:rsidRPr="00027F95">
              <w:t>$50.01 – $100</w:t>
            </w:r>
          </w:p>
        </w:tc>
        <w:tc>
          <w:tcPr>
            <w:tcW w:w="5511" w:type="dxa"/>
          </w:tcPr>
          <w:p w:rsidR="00027F95" w:rsidRDefault="00A63218" w:rsidP="00027F95">
            <w:pPr>
              <w:pStyle w:val="BodyText"/>
            </w:pPr>
            <w:r w:rsidRPr="00A63218">
              <w:t>17.9%</w:t>
            </w:r>
          </w:p>
        </w:tc>
      </w:tr>
      <w:tr w:rsidR="00027F95" w:rsidTr="002B5DF2">
        <w:trPr>
          <w:trHeight w:val="570"/>
        </w:trPr>
        <w:tc>
          <w:tcPr>
            <w:tcW w:w="5509" w:type="dxa"/>
          </w:tcPr>
          <w:p w:rsidR="00027F95" w:rsidRDefault="00A63218" w:rsidP="00027F95">
            <w:pPr>
              <w:pStyle w:val="BodyText"/>
            </w:pPr>
            <w:r w:rsidRPr="00A63218">
              <w:t>$100.01 – $300</w:t>
            </w:r>
          </w:p>
        </w:tc>
        <w:tc>
          <w:tcPr>
            <w:tcW w:w="5511" w:type="dxa"/>
          </w:tcPr>
          <w:p w:rsidR="00027F95" w:rsidRDefault="00A63218" w:rsidP="00027F95">
            <w:pPr>
              <w:pStyle w:val="BodyText"/>
            </w:pPr>
            <w:r w:rsidRPr="00A63218">
              <w:t>30.8%</w:t>
            </w:r>
          </w:p>
        </w:tc>
      </w:tr>
      <w:tr w:rsidR="00027F95" w:rsidTr="002B5DF2">
        <w:trPr>
          <w:trHeight w:val="560"/>
        </w:trPr>
        <w:tc>
          <w:tcPr>
            <w:tcW w:w="5509" w:type="dxa"/>
          </w:tcPr>
          <w:p w:rsidR="00027F95" w:rsidRDefault="00A63218" w:rsidP="00027F95">
            <w:pPr>
              <w:pStyle w:val="BodyText"/>
            </w:pPr>
            <w:r w:rsidRPr="00A63218">
              <w:t>$300.01 – $500</w:t>
            </w:r>
          </w:p>
        </w:tc>
        <w:tc>
          <w:tcPr>
            <w:tcW w:w="5511" w:type="dxa"/>
          </w:tcPr>
          <w:p w:rsidR="00027F95" w:rsidRDefault="00A63218" w:rsidP="00027F95">
            <w:pPr>
              <w:pStyle w:val="BodyText"/>
            </w:pPr>
            <w:r w:rsidRPr="00A63218">
              <w:t>10.6%</w:t>
            </w:r>
          </w:p>
        </w:tc>
      </w:tr>
      <w:tr w:rsidR="00027F95" w:rsidTr="002B5DF2">
        <w:trPr>
          <w:trHeight w:val="570"/>
        </w:trPr>
        <w:tc>
          <w:tcPr>
            <w:tcW w:w="5509" w:type="dxa"/>
          </w:tcPr>
          <w:p w:rsidR="00027F95" w:rsidRDefault="00A63218" w:rsidP="00027F95">
            <w:pPr>
              <w:pStyle w:val="BodyText"/>
            </w:pPr>
            <w:r w:rsidRPr="00A63218">
              <w:t>$500.01 – $1000</w:t>
            </w:r>
          </w:p>
        </w:tc>
        <w:tc>
          <w:tcPr>
            <w:tcW w:w="5511" w:type="dxa"/>
          </w:tcPr>
          <w:p w:rsidR="00027F95" w:rsidRDefault="00A63218" w:rsidP="00027F95">
            <w:pPr>
              <w:pStyle w:val="BodyText"/>
            </w:pPr>
            <w:r w:rsidRPr="00A63218">
              <w:t>9.1%</w:t>
            </w:r>
          </w:p>
        </w:tc>
      </w:tr>
      <w:tr w:rsidR="00A63218" w:rsidTr="002B5DF2">
        <w:trPr>
          <w:trHeight w:val="570"/>
        </w:trPr>
        <w:tc>
          <w:tcPr>
            <w:tcW w:w="5509" w:type="dxa"/>
          </w:tcPr>
          <w:p w:rsidR="00A63218" w:rsidRDefault="00A63218" w:rsidP="00027F95">
            <w:pPr>
              <w:pStyle w:val="BodyText"/>
            </w:pPr>
            <w:r w:rsidRPr="00A63218">
              <w:t>Over $1000</w:t>
            </w:r>
          </w:p>
        </w:tc>
        <w:tc>
          <w:tcPr>
            <w:tcW w:w="5511" w:type="dxa"/>
          </w:tcPr>
          <w:p w:rsidR="00A63218" w:rsidRDefault="00A63218" w:rsidP="00027F95">
            <w:pPr>
              <w:pStyle w:val="BodyText"/>
            </w:pPr>
            <w:r w:rsidRPr="00A63218">
              <w:t>5.2%</w:t>
            </w:r>
          </w:p>
        </w:tc>
      </w:tr>
    </w:tbl>
    <w:p w:rsidR="00E05B44" w:rsidRPr="00E05B44" w:rsidRDefault="00E05B44" w:rsidP="00027F95">
      <w:pPr>
        <w:pStyle w:val="Heading2"/>
        <w:rPr>
          <w:lang w:val="en-US" w:eastAsia="en-AU"/>
        </w:rPr>
      </w:pPr>
      <w:r w:rsidRPr="00E05B44">
        <w:rPr>
          <w:lang w:val="en-US" w:eastAsia="en-AU"/>
        </w:rPr>
        <w:t>Where can group members get more information?</w:t>
      </w:r>
    </w:p>
    <w:p w:rsidR="00E05B44" w:rsidRPr="00E05B44" w:rsidRDefault="00E05B44" w:rsidP="00027F95">
      <w:pPr>
        <w:pStyle w:val="BodyText"/>
        <w:rPr>
          <w:lang w:val="en-US" w:eastAsia="en-AU"/>
        </w:rPr>
      </w:pPr>
      <w:r w:rsidRPr="00E05B44">
        <w:rPr>
          <w:lang w:val="en-US" w:eastAsia="en-AU"/>
        </w:rPr>
        <w:t>People can view details of their individual settlement calculation in their settlement statement.</w:t>
      </w:r>
    </w:p>
    <w:p w:rsidR="00E05B44" w:rsidRPr="00E05B44" w:rsidRDefault="00E05B44" w:rsidP="00027F95">
      <w:pPr>
        <w:pStyle w:val="BodyText"/>
        <w:rPr>
          <w:lang w:val="en-US" w:eastAsia="en-AU"/>
        </w:rPr>
      </w:pPr>
      <w:r w:rsidRPr="00E05B44">
        <w:rPr>
          <w:lang w:val="en-US" w:eastAsia="en-AU"/>
        </w:rPr>
        <w:t xml:space="preserve">To get a settlement statement, they should: </w:t>
      </w:r>
    </w:p>
    <w:p w:rsidR="00E05B44" w:rsidRPr="00E05B44" w:rsidRDefault="00E05B44" w:rsidP="00027F95">
      <w:pPr>
        <w:pStyle w:val="ListBullet"/>
        <w:rPr>
          <w:lang w:val="en-US" w:eastAsia="en-AU"/>
        </w:rPr>
      </w:pPr>
      <w:r w:rsidRPr="00E05B44">
        <w:rPr>
          <w:lang w:val="en-US" w:eastAsia="en-AU"/>
        </w:rPr>
        <w:t xml:space="preserve">Go to </w:t>
      </w:r>
      <w:r w:rsidRPr="00E05B44">
        <w:rPr>
          <w:b/>
          <w:bCs/>
          <w:lang w:val="en-US" w:eastAsia="en-AU"/>
        </w:rPr>
        <w:t>my.gov.au</w:t>
      </w:r>
      <w:r w:rsidRPr="00E05B44">
        <w:rPr>
          <w:lang w:val="en-US" w:eastAsia="en-AU"/>
        </w:rPr>
        <w:t xml:space="preserve"> and sign in</w:t>
      </w:r>
    </w:p>
    <w:p w:rsidR="00E05B44" w:rsidRPr="00E05B44" w:rsidRDefault="00E05B44" w:rsidP="00027F95">
      <w:pPr>
        <w:pStyle w:val="ListBullet"/>
        <w:rPr>
          <w:lang w:val="en-US" w:eastAsia="en-AU"/>
        </w:rPr>
      </w:pPr>
      <w:r w:rsidRPr="00E05B44">
        <w:rPr>
          <w:lang w:val="en-US" w:eastAsia="en-AU"/>
        </w:rPr>
        <w:t>Select Centrelink</w:t>
      </w:r>
    </w:p>
    <w:p w:rsidR="00E05B44" w:rsidRPr="00E05B44" w:rsidRDefault="00E05B44" w:rsidP="00027F95">
      <w:pPr>
        <w:pStyle w:val="ListBullet"/>
        <w:rPr>
          <w:lang w:val="en-US" w:eastAsia="en-AU"/>
        </w:rPr>
      </w:pPr>
      <w:r w:rsidRPr="00E05B44">
        <w:rPr>
          <w:lang w:val="en-US" w:eastAsia="en-AU"/>
        </w:rPr>
        <w:t>Go to ‘Income Compliance’ in the menu</w:t>
      </w:r>
    </w:p>
    <w:p w:rsidR="00E05B44" w:rsidRPr="00E05B44" w:rsidRDefault="00E05B44" w:rsidP="00027F95">
      <w:pPr>
        <w:pStyle w:val="ListBullet"/>
        <w:rPr>
          <w:lang w:val="en-US" w:eastAsia="en-AU"/>
        </w:rPr>
      </w:pPr>
      <w:r w:rsidRPr="00E05B44">
        <w:rPr>
          <w:lang w:val="en-US" w:eastAsia="en-AU"/>
        </w:rPr>
        <w:t>Select ‘Class action settlement statement’.</w:t>
      </w:r>
    </w:p>
    <w:p w:rsidR="00E05B44" w:rsidRPr="00E05B44" w:rsidRDefault="00E05B44" w:rsidP="00027F95">
      <w:pPr>
        <w:pStyle w:val="BodyText"/>
        <w:rPr>
          <w:lang w:val="en-US" w:eastAsia="en-AU"/>
        </w:rPr>
      </w:pPr>
      <w:r w:rsidRPr="00E05B44">
        <w:rPr>
          <w:lang w:val="en-US" w:eastAsia="en-AU"/>
        </w:rPr>
        <w:t xml:space="preserve">They can also call the Income Compliance line and ask for a settlement statement to be sent by post. If people think their calculation is incorrect, they can ask for a review of their settlement payment amount. </w:t>
      </w:r>
    </w:p>
    <w:p w:rsidR="00E05B44" w:rsidRPr="00E05B44" w:rsidRDefault="00E05B44" w:rsidP="00027F95">
      <w:pPr>
        <w:pStyle w:val="BodyText"/>
        <w:rPr>
          <w:lang w:val="en-US" w:eastAsia="en-AU"/>
        </w:rPr>
      </w:pPr>
      <w:r w:rsidRPr="00E05B44">
        <w:rPr>
          <w:lang w:val="en-US" w:eastAsia="en-AU"/>
        </w:rPr>
        <w:t>They’ll find the steps for asking for a review on their settlement payment outcome letter.</w:t>
      </w:r>
    </w:p>
    <w:p w:rsidR="00E05B44" w:rsidRPr="00E05B44" w:rsidRDefault="00E05B44" w:rsidP="00A63218">
      <w:pPr>
        <w:pStyle w:val="BodyText"/>
        <w:rPr>
          <w:lang w:val="en-US" w:eastAsia="en-AU"/>
        </w:rPr>
      </w:pPr>
      <w:r w:rsidRPr="00E05B44">
        <w:rPr>
          <w:lang w:val="en-US" w:eastAsia="en-AU"/>
        </w:rPr>
        <w:t>For more information on the class action, settleme</w:t>
      </w:r>
      <w:r w:rsidR="002A6C69">
        <w:rPr>
          <w:lang w:val="en-US" w:eastAsia="en-AU"/>
        </w:rPr>
        <w:t xml:space="preserve">nt payments and reviews, go to </w:t>
      </w:r>
      <w:r w:rsidRPr="00A63218">
        <w:rPr>
          <w:b/>
          <w:lang w:val="en-US" w:eastAsia="en-AU"/>
        </w:rPr>
        <w:t>servicesaustralia.gov.au/classaction</w:t>
      </w:r>
    </w:p>
    <w:p w:rsidR="00E05B44" w:rsidRPr="00E05B44" w:rsidRDefault="00E05B44" w:rsidP="00A63218">
      <w:pPr>
        <w:pStyle w:val="BodyText"/>
        <w:rPr>
          <w:lang w:val="en-US" w:eastAsia="en-AU"/>
        </w:rPr>
      </w:pPr>
      <w:r w:rsidRPr="00E05B44">
        <w:rPr>
          <w:lang w:val="en-US" w:eastAsia="en-AU"/>
        </w:rPr>
        <w:lastRenderedPageBreak/>
        <w:t xml:space="preserve">People can phone </w:t>
      </w:r>
      <w:r w:rsidRPr="00A63218">
        <w:rPr>
          <w:b/>
          <w:lang w:val="en-US" w:eastAsia="en-AU"/>
        </w:rPr>
        <w:t>1800 171 846</w:t>
      </w:r>
      <w:r w:rsidRPr="00E05B44">
        <w:rPr>
          <w:lang w:val="en-US" w:eastAsia="en-AU"/>
        </w:rPr>
        <w:t xml:space="preserve"> to speak with a staff member. They should tell us if they need an interpreter and we will arrange one for free. This includes Aboriginal and Torres Strait Islander languages.</w:t>
      </w:r>
    </w:p>
    <w:p w:rsidR="00E05B44" w:rsidRPr="00E05B44" w:rsidRDefault="00E05B44" w:rsidP="00A63218">
      <w:pPr>
        <w:pStyle w:val="BodyText"/>
      </w:pPr>
      <w:r w:rsidRPr="00E05B44">
        <w:rPr>
          <w:lang w:val="en-US" w:eastAsia="en-AU"/>
        </w:rPr>
        <w:t xml:space="preserve">If they want advice on the Settlement Distribution Scheme, they can contact Gordon Legal at </w:t>
      </w:r>
      <w:r w:rsidRPr="00A63218">
        <w:rPr>
          <w:b/>
        </w:rPr>
        <w:t>robodebtclassaction.com.au</w:t>
      </w:r>
      <w:r w:rsidRPr="00E05B44">
        <w:rPr>
          <w:lang w:val="en-US" w:eastAsia="en-AU"/>
        </w:rPr>
        <w:t xml:space="preserve"> or phone </w:t>
      </w:r>
      <w:r w:rsidRPr="00A63218">
        <w:rPr>
          <w:b/>
          <w:lang w:val="en-US" w:eastAsia="en-AU"/>
        </w:rPr>
        <w:t>1300 001 356</w:t>
      </w:r>
      <w:r w:rsidRPr="00E05B44">
        <w:rPr>
          <w:lang w:val="en-US" w:eastAsia="en-AU"/>
        </w:rPr>
        <w:t>.</w:t>
      </w:r>
    </w:p>
    <w:p w:rsidR="005B4E85" w:rsidRDefault="002A6C69" w:rsidP="005B4E85">
      <w:pPr>
        <w:pStyle w:val="ProductCode"/>
      </w:pPr>
      <w:bookmarkStart w:id="1" w:name="ColumnTitle_Schedule"/>
      <w:bookmarkEnd w:id="1"/>
      <w:r>
        <w:t>15792.2208</w:t>
      </w:r>
    </w:p>
    <w:sectPr w:rsidR="005B4E85"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B44" w:rsidRDefault="00E05B44" w:rsidP="00C77FE4">
      <w:r>
        <w:separator/>
      </w:r>
    </w:p>
  </w:endnote>
  <w:endnote w:type="continuationSeparator" w:id="0">
    <w:p w:rsidR="00E05B44" w:rsidRDefault="00E05B44"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Roboto Lt">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B44" w:rsidRDefault="00E05B44" w:rsidP="00C77FE4">
      <w:r>
        <w:separator/>
      </w:r>
    </w:p>
  </w:footnote>
  <w:footnote w:type="continuationSeparator" w:id="0">
    <w:p w:rsidR="00E05B44" w:rsidRDefault="00E05B44"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44"/>
    <w:rsid w:val="000076F8"/>
    <w:rsid w:val="00015456"/>
    <w:rsid w:val="000156A2"/>
    <w:rsid w:val="00015AE7"/>
    <w:rsid w:val="00027F95"/>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20B3"/>
    <w:rsid w:val="00105ADB"/>
    <w:rsid w:val="00106CBE"/>
    <w:rsid w:val="00111E1D"/>
    <w:rsid w:val="00120212"/>
    <w:rsid w:val="0012437B"/>
    <w:rsid w:val="00132C19"/>
    <w:rsid w:val="00140AB3"/>
    <w:rsid w:val="001678AC"/>
    <w:rsid w:val="001718F2"/>
    <w:rsid w:val="00182E3D"/>
    <w:rsid w:val="001859C2"/>
    <w:rsid w:val="001A7379"/>
    <w:rsid w:val="001A7D06"/>
    <w:rsid w:val="001C0E50"/>
    <w:rsid w:val="001E5563"/>
    <w:rsid w:val="001E55A2"/>
    <w:rsid w:val="001F312C"/>
    <w:rsid w:val="00211456"/>
    <w:rsid w:val="00244B07"/>
    <w:rsid w:val="00251E3F"/>
    <w:rsid w:val="002556F0"/>
    <w:rsid w:val="00256A48"/>
    <w:rsid w:val="00280896"/>
    <w:rsid w:val="002A6C69"/>
    <w:rsid w:val="002B5DF2"/>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B4E85"/>
    <w:rsid w:val="005C6CB9"/>
    <w:rsid w:val="005E6C88"/>
    <w:rsid w:val="005F00EB"/>
    <w:rsid w:val="005F107D"/>
    <w:rsid w:val="005F1D36"/>
    <w:rsid w:val="005F5542"/>
    <w:rsid w:val="00604426"/>
    <w:rsid w:val="00606393"/>
    <w:rsid w:val="00617E4A"/>
    <w:rsid w:val="006225D9"/>
    <w:rsid w:val="00642687"/>
    <w:rsid w:val="00665C7F"/>
    <w:rsid w:val="00677137"/>
    <w:rsid w:val="00677713"/>
    <w:rsid w:val="0069046E"/>
    <w:rsid w:val="006B07C6"/>
    <w:rsid w:val="006C762C"/>
    <w:rsid w:val="006D08E2"/>
    <w:rsid w:val="006D2988"/>
    <w:rsid w:val="006D35B7"/>
    <w:rsid w:val="006D53B6"/>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63218"/>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64F8D"/>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02B2"/>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5B44"/>
    <w:rsid w:val="00E075E7"/>
    <w:rsid w:val="00E22EB2"/>
    <w:rsid w:val="00E24639"/>
    <w:rsid w:val="00E24EC1"/>
    <w:rsid w:val="00E352AC"/>
    <w:rsid w:val="00E454C6"/>
    <w:rsid w:val="00E66C20"/>
    <w:rsid w:val="00E80126"/>
    <w:rsid w:val="00E84A72"/>
    <w:rsid w:val="00E85228"/>
    <w:rsid w:val="00EA1575"/>
    <w:rsid w:val="00EA5F4C"/>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19F7"/>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92B75"/>
  <w15:chartTrackingRefBased/>
  <w15:docId w15:val="{5DF00728-5646-4A32-BC71-C3919FFF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5B4E85"/>
    <w:pPr>
      <w:tabs>
        <w:tab w:val="left" w:pos="1066"/>
      </w:tabs>
    </w:pPr>
    <w:rPr>
      <w:rFonts w:ascii="Arial" w:hAnsi="Arial"/>
      <w:sz w:val="24"/>
      <w:szCs w:val="24"/>
      <w:lang w:eastAsia="en-US"/>
    </w:rPr>
  </w:style>
  <w:style w:type="paragraph" w:styleId="Heading1">
    <w:name w:val="heading 1"/>
    <w:basedOn w:val="Normal"/>
    <w:next w:val="Normal"/>
    <w:autoRedefine/>
    <w:qFormat/>
    <w:rsid w:val="00B64F8D"/>
    <w:pPr>
      <w:keepNext/>
      <w:spacing w:after="120"/>
      <w:outlineLvl w:val="0"/>
    </w:pPr>
    <w:rPr>
      <w:rFonts w:cs="Arial"/>
      <w:b/>
      <w:bCs/>
      <w:kern w:val="32"/>
      <w:sz w:val="44"/>
      <w:szCs w:val="32"/>
    </w:rPr>
  </w:style>
  <w:style w:type="paragraph" w:styleId="Heading2">
    <w:name w:val="heading 2"/>
    <w:basedOn w:val="Normal"/>
    <w:next w:val="Normal"/>
    <w:autoRedefine/>
    <w:qFormat/>
    <w:rsid w:val="00B64F8D"/>
    <w:pPr>
      <w:keepNext/>
      <w:spacing w:before="360" w:after="120"/>
      <w:outlineLvl w:val="1"/>
    </w:pPr>
    <w:rPr>
      <w:rFonts w:cs="Arial"/>
      <w:b/>
      <w:bCs/>
      <w:iCs/>
      <w:sz w:val="36"/>
      <w:szCs w:val="28"/>
    </w:rPr>
  </w:style>
  <w:style w:type="paragraph" w:styleId="Heading3">
    <w:name w:val="heading 3"/>
    <w:basedOn w:val="Normal"/>
    <w:next w:val="Normal"/>
    <w:autoRedefine/>
    <w:qFormat/>
    <w:rsid w:val="00B64F8D"/>
    <w:pPr>
      <w:keepNext/>
      <w:tabs>
        <w:tab w:val="left" w:pos="0"/>
      </w:tabs>
      <w:spacing w:before="360" w:after="120"/>
      <w:outlineLvl w:val="2"/>
    </w:pPr>
    <w:rPr>
      <w:rFonts w:cs="Arial"/>
      <w:b/>
      <w:bCs/>
      <w:sz w:val="32"/>
      <w:szCs w:val="26"/>
    </w:rPr>
  </w:style>
  <w:style w:type="paragraph" w:styleId="Heading4">
    <w:name w:val="heading 4"/>
    <w:basedOn w:val="Normal"/>
    <w:next w:val="Normal"/>
    <w:qFormat/>
    <w:rsid w:val="00EA5F4C"/>
    <w:pPr>
      <w:keepNext/>
      <w:spacing w:before="200" w:after="80"/>
      <w:outlineLvl w:val="3"/>
    </w:pPr>
    <w:rPr>
      <w:b/>
      <w:bCs/>
      <w:sz w:val="28"/>
      <w:szCs w:val="28"/>
    </w:rPr>
  </w:style>
  <w:style w:type="paragraph" w:styleId="Heading5">
    <w:name w:val="heading 5"/>
    <w:basedOn w:val="Normal"/>
    <w:next w:val="Normal"/>
    <w:qFormat/>
    <w:rsid w:val="00EA5F4C"/>
    <w:pPr>
      <w:spacing w:before="200" w:after="80"/>
      <w:outlineLvl w:val="4"/>
    </w:pPr>
    <w:rPr>
      <w:b/>
      <w:bCs/>
      <w:i/>
      <w:iCs/>
      <w:sz w:val="26"/>
      <w:szCs w:val="26"/>
    </w:rPr>
  </w:style>
  <w:style w:type="paragraph" w:styleId="Heading6">
    <w:name w:val="heading 6"/>
    <w:basedOn w:val="Normal"/>
    <w:next w:val="Normal"/>
    <w:qFormat/>
    <w:rsid w:val="00EA5F4C"/>
    <w:pPr>
      <w:spacing w:before="200" w:after="8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B64F8D"/>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DocumentTitle2">
    <w:name w:val="Document Title 2"/>
    <w:basedOn w:val="Normal"/>
    <w:uiPriority w:val="99"/>
    <w:rsid w:val="00FD19F7"/>
    <w:pPr>
      <w:widowControl w:val="0"/>
      <w:tabs>
        <w:tab w:val="clear" w:pos="1066"/>
      </w:tabs>
      <w:suppressAutoHyphens/>
      <w:autoSpaceDE w:val="0"/>
      <w:autoSpaceDN w:val="0"/>
      <w:adjustRightInd w:val="0"/>
      <w:spacing w:after="227" w:line="629" w:lineRule="atLeast"/>
      <w:textAlignment w:val="center"/>
    </w:pPr>
    <w:rPr>
      <w:rFonts w:ascii="Roboto-Medium" w:eastAsiaTheme="minorEastAsia" w:hAnsi="Roboto-Medium" w:cs="Roboto-Medium"/>
      <w:caps/>
      <w:color w:val="777B83"/>
      <w:sz w:val="22"/>
      <w:szCs w:val="22"/>
      <w:lang w:val="en-US" w:eastAsia="en-AU"/>
    </w:rPr>
  </w:style>
  <w:style w:type="paragraph" w:customStyle="1" w:styleId="Bullet">
    <w:name w:val="Bullet"/>
    <w:basedOn w:val="BodyText"/>
    <w:uiPriority w:val="99"/>
    <w:rsid w:val="00FD19F7"/>
    <w:pPr>
      <w:widowControl w:val="0"/>
      <w:tabs>
        <w:tab w:val="clear" w:pos="1066"/>
      </w:tabs>
      <w:suppressAutoHyphens/>
      <w:autoSpaceDE w:val="0"/>
      <w:autoSpaceDN w:val="0"/>
      <w:adjustRightInd w:val="0"/>
      <w:spacing w:before="0"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paragraph" w:customStyle="1" w:styleId="Bulletlast">
    <w:name w:val="Bullet last"/>
    <w:basedOn w:val="Bullet"/>
    <w:uiPriority w:val="99"/>
    <w:rsid w:val="00FD19F7"/>
    <w:pPr>
      <w:spacing w:after="170"/>
    </w:pPr>
  </w:style>
  <w:style w:type="paragraph" w:customStyle="1" w:styleId="CallOutCopy01">
    <w:name w:val="Call Out Copy 01"/>
    <w:basedOn w:val="Normal"/>
    <w:uiPriority w:val="99"/>
    <w:rsid w:val="00E05B44"/>
    <w:pPr>
      <w:tabs>
        <w:tab w:val="clear" w:pos="1066"/>
        <w:tab w:val="left" w:pos="170"/>
        <w:tab w:val="left" w:pos="397"/>
      </w:tabs>
      <w:suppressAutoHyphens/>
      <w:autoSpaceDE w:val="0"/>
      <w:autoSpaceDN w:val="0"/>
      <w:adjustRightInd w:val="0"/>
      <w:spacing w:after="397" w:line="440" w:lineRule="atLeast"/>
      <w:textAlignment w:val="center"/>
    </w:pPr>
    <w:rPr>
      <w:rFonts w:ascii="Roboto" w:hAnsi="Roboto" w:cs="Roboto"/>
      <w:color w:val="000000"/>
      <w:sz w:val="36"/>
      <w:szCs w:val="36"/>
      <w:lang w:val="en-US" w:eastAsia="en-AU"/>
    </w:rPr>
  </w:style>
  <w:style w:type="paragraph" w:customStyle="1" w:styleId="Heading02">
    <w:name w:val="Heading 02"/>
    <w:basedOn w:val="Normal"/>
    <w:uiPriority w:val="99"/>
    <w:rsid w:val="00E05B44"/>
    <w:pPr>
      <w:tabs>
        <w:tab w:val="clear" w:pos="1066"/>
        <w:tab w:val="left" w:pos="227"/>
      </w:tabs>
      <w:suppressAutoHyphens/>
      <w:autoSpaceDE w:val="0"/>
      <w:autoSpaceDN w:val="0"/>
      <w:adjustRightInd w:val="0"/>
      <w:spacing w:before="170" w:after="113" w:line="440" w:lineRule="atLeast"/>
      <w:textAlignment w:val="center"/>
    </w:pPr>
    <w:rPr>
      <w:rFonts w:ascii="Roboto" w:hAnsi="Roboto" w:cs="Roboto"/>
      <w:b/>
      <w:bCs/>
      <w:color w:val="103163"/>
      <w:sz w:val="36"/>
      <w:szCs w:val="36"/>
      <w:lang w:val="en-US" w:eastAsia="en-AU"/>
    </w:rPr>
  </w:style>
  <w:style w:type="paragraph" w:customStyle="1" w:styleId="Heading03">
    <w:name w:val="Heading 03"/>
    <w:basedOn w:val="Normal"/>
    <w:uiPriority w:val="99"/>
    <w:rsid w:val="00E05B44"/>
    <w:pPr>
      <w:tabs>
        <w:tab w:val="clear" w:pos="1066"/>
        <w:tab w:val="left" w:pos="227"/>
      </w:tabs>
      <w:suppressAutoHyphens/>
      <w:autoSpaceDE w:val="0"/>
      <w:autoSpaceDN w:val="0"/>
      <w:adjustRightInd w:val="0"/>
      <w:spacing w:before="113" w:after="113" w:line="360" w:lineRule="atLeast"/>
      <w:textAlignment w:val="center"/>
    </w:pPr>
    <w:rPr>
      <w:rFonts w:ascii="Roboto Lt" w:hAnsi="Roboto Lt" w:cs="Roboto Lt"/>
      <w:color w:val="000000"/>
      <w:sz w:val="32"/>
      <w:szCs w:val="32"/>
      <w:lang w:val="en-US" w:eastAsia="en-AU"/>
    </w:rPr>
  </w:style>
  <w:style w:type="character" w:customStyle="1" w:styleId="Bold">
    <w:name w:val="Bold"/>
    <w:uiPriority w:val="99"/>
    <w:rsid w:val="00E05B44"/>
    <w:rPr>
      <w:rFonts w:ascii="Roboto" w:hAnsi="Roboto" w:cs="Robo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R:\NAT\COMMDIVISION\CORPCOMMS\CREATEDESIGN\_ADMIN%20CDS\SA_templates_2021\accessible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3" ma:contentTypeDescription="Create a new document." ma:contentTypeScope="" ma:versionID="4715d6cf6001453b831cff0b94bbab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dce7f16bf3323d5bfd24ddc032a5818a"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ea463d-0dc8-4d9c-b640-61f152bd204b" xsi:nil="true"/>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C192A4-2A70-4199-920A-C380439BA255}"/>
</file>

<file path=customXml/itemProps2.xml><?xml version="1.0" encoding="utf-8"?>
<ds:datastoreItem xmlns:ds="http://schemas.openxmlformats.org/officeDocument/2006/customXml" ds:itemID="{7A73E492-8334-4827-B19B-F7C6420A7CA6}"/>
</file>

<file path=customXml/itemProps3.xml><?xml version="1.0" encoding="utf-8"?>
<ds:datastoreItem xmlns:ds="http://schemas.openxmlformats.org/officeDocument/2006/customXml" ds:itemID="{049ECAF1-09F9-4BC0-96E9-E2630D381E9D}"/>
</file>

<file path=docProps/app.xml><?xml version="1.0" encoding="utf-8"?>
<Properties xmlns="http://schemas.openxmlformats.org/officeDocument/2006/extended-properties" xmlns:vt="http://schemas.openxmlformats.org/officeDocument/2006/docPropsVTypes">
  <Template>accessible_word_template</Template>
  <TotalTime>57</TotalTime>
  <Pages>3</Pages>
  <Words>643</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Explaining Settlement Payment</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Explaining Settlement Payment</dc:title>
  <dc:subject/>
  <dc:creator>Services Australia</dc:creator>
  <cp:keywords>15792.2208</cp:keywords>
  <dc:description/>
  <dcterms:created xsi:type="dcterms:W3CDTF">2022-08-26T06:09:00Z</dcterms:created>
  <dcterms:modified xsi:type="dcterms:W3CDTF">2022-09-01T06:41:00Z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Book-title">
    <vt:lpwstr>AU Physics 101 Course Syllabus</vt:lpwstr>
  </property>
  <property fmtid="{D5CDD505-2E9C-101B-9397-08002B2CF9AE}" pid="3" name="eBook-author">
    <vt:lpwstr>AccessIT</vt:lpwstr>
  </property>
  <property fmtid="{D5CDD505-2E9C-101B-9397-08002B2CF9AE}" pid="4" name="eBook-filename">
    <vt:lpwstr>syllabus_accessible.lit</vt:lpwstr>
  </property>
  <property fmtid="{D5CDD505-2E9C-101B-9397-08002B2CF9AE}" pid="5" name="eBook-ThumbPath">
    <vt:lpwstr/>
  </property>
  <property fmtid="{D5CDD505-2E9C-101B-9397-08002B2CF9AE}" pid="6" name="eBook-CoverPath">
    <vt:lpwstr/>
  </property>
  <property fmtid="{D5CDD505-2E9C-101B-9397-08002B2CF9AE}" pid="7" name="eBook-SpinePath">
    <vt:lpwstr/>
  </property>
  <property fmtid="{D5CDD505-2E9C-101B-9397-08002B2CF9AE}" pid="8" name="eBook-PPCThumbPath">
    <vt:lpwstr/>
  </property>
  <property fmtid="{D5CDD505-2E9C-101B-9397-08002B2CF9AE}" pid="9" name="eBook-PPCCoverPath">
    <vt:lpwstr/>
  </property>
  <property fmtid="{D5CDD505-2E9C-101B-9397-08002B2CF9AE}" pid="10" name="ContentTypeId">
    <vt:lpwstr>0x0101006B49B920F161E74D913AE39DCCFFE862</vt:lpwstr>
  </property>
</Properties>
</file>