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2E9" w:rsidRPr="008F7A8B" w:rsidRDefault="00DA72E9">
      <w:pPr>
        <w:spacing w:after="0" w:line="259" w:lineRule="auto"/>
        <w:ind w:left="-1440" w:right="10466" w:firstLine="0"/>
        <w:rPr>
          <w:rFonts w:ascii="Arial" w:hAnsi="Arial" w:cs="Arial"/>
          <w:sz w:val="22"/>
        </w:rPr>
      </w:pPr>
      <w:bookmarkStart w:id="0" w:name="_GoBack"/>
      <w:bookmarkEnd w:id="0"/>
    </w:p>
    <w:p w:rsidR="00613D8B" w:rsidRPr="008F7A8B" w:rsidRDefault="00613D8B" w:rsidP="00AC0B3B">
      <w:pPr>
        <w:pStyle w:val="Title"/>
        <w:rPr>
          <w:rFonts w:ascii="Arial" w:hAnsi="Arial" w:cs="Arial"/>
          <w:sz w:val="40"/>
          <w:szCs w:val="40"/>
        </w:rPr>
      </w:pPr>
      <w:r w:rsidRPr="008F7A8B">
        <w:rPr>
          <w:rFonts w:ascii="Arial" w:hAnsi="Arial" w:cs="Arial"/>
          <w:sz w:val="40"/>
          <w:szCs w:val="40"/>
        </w:rPr>
        <w:t>Practice I</w:t>
      </w:r>
      <w:r w:rsidR="00341DD3" w:rsidRPr="008F7A8B">
        <w:rPr>
          <w:rFonts w:ascii="Arial" w:hAnsi="Arial" w:cs="Arial"/>
          <w:sz w:val="40"/>
          <w:szCs w:val="40"/>
        </w:rPr>
        <w:t>ncentives Program Rural Loading</w:t>
      </w:r>
    </w:p>
    <w:p w:rsidR="00341DD3" w:rsidRPr="008F7A8B" w:rsidRDefault="00341DD3" w:rsidP="00341DD3">
      <w:pPr>
        <w:rPr>
          <w:rFonts w:ascii="Arial" w:hAnsi="Arial" w:cs="Arial"/>
          <w:sz w:val="22"/>
          <w:szCs w:val="20"/>
        </w:rPr>
      </w:pPr>
      <w:r w:rsidRPr="008F7A8B">
        <w:rPr>
          <w:rFonts w:ascii="Arial" w:hAnsi="Arial" w:cs="Arial"/>
          <w:sz w:val="22"/>
          <w:szCs w:val="20"/>
        </w:rPr>
        <w:t>Effective November 2013.</w:t>
      </w:r>
    </w:p>
    <w:p w:rsidR="00DA72E9" w:rsidRPr="008F7A8B" w:rsidRDefault="00D64823">
      <w:pPr>
        <w:pStyle w:val="Heading1"/>
        <w:ind w:left="-5"/>
        <w:rPr>
          <w:rFonts w:ascii="Arial" w:hAnsi="Arial" w:cs="Arial"/>
          <w:sz w:val="32"/>
        </w:rPr>
      </w:pPr>
      <w:r w:rsidRPr="008F7A8B">
        <w:rPr>
          <w:rFonts w:ascii="Arial" w:hAnsi="Arial" w:cs="Arial"/>
          <w:sz w:val="32"/>
        </w:rPr>
        <w:t>Introduction</w:t>
      </w:r>
    </w:p>
    <w:p w:rsidR="00DA72E9" w:rsidRPr="008F7A8B" w:rsidRDefault="00D64823" w:rsidP="00AC0B3B">
      <w:pPr>
        <w:rPr>
          <w:rFonts w:ascii="Arial" w:hAnsi="Arial" w:cs="Arial"/>
          <w:sz w:val="22"/>
        </w:rPr>
      </w:pPr>
      <w:r w:rsidRPr="008F7A8B">
        <w:rPr>
          <w:rFonts w:ascii="Arial" w:hAnsi="Arial" w:cs="Arial"/>
          <w:sz w:val="22"/>
        </w:rPr>
        <w:t>The Practice Incentives Program (PIP) is aimed at supporting general practice activities that encourage continuing improvements and quality care, enhance capacity, and improve access and health outcomes for patients.</w:t>
      </w:r>
    </w:p>
    <w:p w:rsidR="00DA72E9" w:rsidRPr="008F7A8B" w:rsidRDefault="00D64823" w:rsidP="00AC0B3B">
      <w:pPr>
        <w:rPr>
          <w:rFonts w:ascii="Arial" w:hAnsi="Arial" w:cs="Arial"/>
          <w:sz w:val="22"/>
        </w:rPr>
      </w:pPr>
      <w:r w:rsidRPr="008F7A8B">
        <w:rPr>
          <w:rFonts w:ascii="Arial" w:hAnsi="Arial" w:cs="Arial"/>
          <w:sz w:val="22"/>
        </w:rPr>
        <w:t xml:space="preserve">For more information on the incentives that the PIP offers and overall PIP eligibility, go the PIP guidelines at </w:t>
      </w:r>
      <w:r w:rsidRPr="008F7A8B">
        <w:rPr>
          <w:rFonts w:ascii="Arial" w:hAnsi="Arial" w:cs="Arial"/>
          <w:b/>
          <w:sz w:val="22"/>
        </w:rPr>
        <w:t>humanservices.gov.au/healthprofessionals</w:t>
      </w:r>
      <w:r w:rsidRPr="008F7A8B">
        <w:rPr>
          <w:rFonts w:ascii="Arial" w:hAnsi="Arial" w:cs="Arial"/>
          <w:sz w:val="22"/>
        </w:rPr>
        <w:t xml:space="preserve"> then </w:t>
      </w:r>
      <w:r w:rsidRPr="008F7A8B">
        <w:rPr>
          <w:rFonts w:ascii="Arial" w:hAnsi="Arial" w:cs="Arial"/>
          <w:b/>
          <w:sz w:val="22"/>
        </w:rPr>
        <w:t>Incentives and Allowances</w:t>
      </w:r>
      <w:r w:rsidRPr="008F7A8B">
        <w:rPr>
          <w:rFonts w:ascii="Arial" w:hAnsi="Arial" w:cs="Arial"/>
          <w:sz w:val="22"/>
        </w:rPr>
        <w:t xml:space="preserve"> &gt; </w:t>
      </w:r>
      <w:r w:rsidRPr="008F7A8B">
        <w:rPr>
          <w:rFonts w:ascii="Arial" w:hAnsi="Arial" w:cs="Arial"/>
          <w:b/>
          <w:sz w:val="22"/>
        </w:rPr>
        <w:t>Practice Incentives Program</w:t>
      </w:r>
      <w:r w:rsidRPr="008F7A8B">
        <w:rPr>
          <w:rFonts w:ascii="Arial" w:hAnsi="Arial" w:cs="Arial"/>
          <w:sz w:val="22"/>
        </w:rPr>
        <w:t xml:space="preserve"> &gt; </w:t>
      </w:r>
      <w:r w:rsidRPr="008F7A8B">
        <w:rPr>
          <w:rFonts w:ascii="Arial" w:hAnsi="Arial" w:cs="Arial"/>
          <w:b/>
          <w:sz w:val="22"/>
        </w:rPr>
        <w:t>Forms and guidelines.</w:t>
      </w:r>
    </w:p>
    <w:p w:rsidR="00DA72E9" w:rsidRPr="008F7A8B" w:rsidRDefault="00D64823">
      <w:pPr>
        <w:pStyle w:val="Heading1"/>
        <w:ind w:left="-5"/>
        <w:rPr>
          <w:rFonts w:ascii="Arial" w:hAnsi="Arial" w:cs="Arial"/>
          <w:sz w:val="32"/>
        </w:rPr>
      </w:pPr>
      <w:r w:rsidRPr="008F7A8B">
        <w:rPr>
          <w:rFonts w:ascii="Arial" w:hAnsi="Arial" w:cs="Arial"/>
          <w:sz w:val="32"/>
        </w:rPr>
        <w:t xml:space="preserve">Eligibility </w:t>
      </w:r>
    </w:p>
    <w:p w:rsidR="00DA72E9" w:rsidRPr="008F7A8B" w:rsidRDefault="00D64823" w:rsidP="00AC0B3B">
      <w:pPr>
        <w:rPr>
          <w:rFonts w:ascii="Arial" w:hAnsi="Arial" w:cs="Arial"/>
          <w:sz w:val="22"/>
        </w:rPr>
      </w:pPr>
      <w:r w:rsidRPr="008F7A8B">
        <w:rPr>
          <w:rFonts w:ascii="Arial" w:hAnsi="Arial" w:cs="Arial"/>
          <w:sz w:val="22"/>
        </w:rPr>
        <w:t>To be eligible for the PIP rural loading, the main practice location must:</w:t>
      </w:r>
    </w:p>
    <w:p w:rsidR="00DA72E9" w:rsidRPr="008F7A8B" w:rsidRDefault="00D64823" w:rsidP="00AC0B3B">
      <w:pPr>
        <w:pStyle w:val="ListParagraph"/>
        <w:rPr>
          <w:rFonts w:ascii="Arial" w:hAnsi="Arial" w:cs="Arial"/>
          <w:sz w:val="22"/>
        </w:rPr>
      </w:pPr>
      <w:r w:rsidRPr="008F7A8B">
        <w:rPr>
          <w:rFonts w:ascii="Arial" w:hAnsi="Arial" w:cs="Arial"/>
          <w:sz w:val="22"/>
        </w:rPr>
        <w:t>participate in the PIP, and</w:t>
      </w:r>
    </w:p>
    <w:p w:rsidR="00DA72E9" w:rsidRPr="008F7A8B" w:rsidRDefault="00D64823" w:rsidP="00AC0B3B">
      <w:pPr>
        <w:pStyle w:val="ListParagraph"/>
        <w:rPr>
          <w:rFonts w:ascii="Arial" w:hAnsi="Arial" w:cs="Arial"/>
          <w:sz w:val="22"/>
        </w:rPr>
      </w:pPr>
      <w:r w:rsidRPr="008F7A8B">
        <w:rPr>
          <w:rFonts w:ascii="Arial" w:hAnsi="Arial" w:cs="Arial"/>
          <w:sz w:val="22"/>
        </w:rPr>
        <w:t>be located in RRMA 3 –7.</w:t>
      </w:r>
    </w:p>
    <w:p w:rsidR="00DA72E9" w:rsidRPr="008F7A8B" w:rsidRDefault="00D64823">
      <w:pPr>
        <w:pStyle w:val="Heading1"/>
        <w:ind w:left="-5"/>
        <w:rPr>
          <w:rFonts w:ascii="Arial" w:hAnsi="Arial" w:cs="Arial"/>
          <w:sz w:val="32"/>
        </w:rPr>
      </w:pPr>
      <w:r w:rsidRPr="008F7A8B">
        <w:rPr>
          <w:rFonts w:ascii="Arial" w:hAnsi="Arial" w:cs="Arial"/>
          <w:sz w:val="32"/>
        </w:rPr>
        <w:t xml:space="preserve">Applying </w:t>
      </w:r>
    </w:p>
    <w:p w:rsidR="00DA72E9" w:rsidRPr="008F7A8B" w:rsidRDefault="00D64823" w:rsidP="00AC0B3B">
      <w:pPr>
        <w:rPr>
          <w:rFonts w:ascii="Arial" w:hAnsi="Arial" w:cs="Arial"/>
          <w:sz w:val="22"/>
        </w:rPr>
      </w:pPr>
      <w:r w:rsidRPr="008F7A8B">
        <w:rPr>
          <w:rFonts w:ascii="Arial" w:hAnsi="Arial" w:cs="Arial"/>
          <w:sz w:val="22"/>
        </w:rPr>
        <w:t>Practices registered for the PIP don’t need to apply for this incentive. If your practice isn’t currently in the PIP, you can apply:</w:t>
      </w:r>
    </w:p>
    <w:p w:rsidR="00DA72E9" w:rsidRPr="008F7A8B" w:rsidRDefault="00D64823" w:rsidP="00583AB9">
      <w:pPr>
        <w:pStyle w:val="ListParagraph"/>
        <w:rPr>
          <w:rFonts w:ascii="Arial" w:hAnsi="Arial" w:cs="Arial"/>
          <w:sz w:val="22"/>
        </w:rPr>
      </w:pPr>
      <w:r w:rsidRPr="008F7A8B">
        <w:rPr>
          <w:rFonts w:ascii="Arial" w:hAnsi="Arial" w:cs="Arial"/>
          <w:sz w:val="22"/>
        </w:rPr>
        <w:t xml:space="preserve">through Health Professional Online Service (HPOS), at </w:t>
      </w:r>
      <w:r w:rsidRPr="008F7A8B">
        <w:rPr>
          <w:rFonts w:ascii="Arial" w:hAnsi="Arial" w:cs="Arial"/>
          <w:b/>
          <w:sz w:val="22"/>
        </w:rPr>
        <w:t>humanservices.gov.au/HPOS</w:t>
      </w:r>
    </w:p>
    <w:p w:rsidR="00DA72E9" w:rsidRPr="008F7A8B" w:rsidRDefault="00D64823" w:rsidP="0060130A">
      <w:pPr>
        <w:pStyle w:val="ListParagraph"/>
        <w:rPr>
          <w:rFonts w:ascii="Arial" w:hAnsi="Arial" w:cs="Arial"/>
          <w:sz w:val="22"/>
        </w:rPr>
      </w:pPr>
      <w:r w:rsidRPr="008F7A8B">
        <w:rPr>
          <w:rFonts w:ascii="Arial" w:hAnsi="Arial" w:cs="Arial"/>
          <w:sz w:val="22"/>
        </w:rPr>
        <w:t xml:space="preserve">by completing the PIP application form, at </w:t>
      </w:r>
      <w:r w:rsidRPr="008F7A8B">
        <w:rPr>
          <w:rFonts w:ascii="Arial" w:hAnsi="Arial" w:cs="Arial"/>
          <w:b/>
          <w:sz w:val="22"/>
        </w:rPr>
        <w:t>humanservices.gov.au/healthprofessionals</w:t>
      </w:r>
      <w:r w:rsidRPr="008F7A8B">
        <w:rPr>
          <w:rFonts w:ascii="Arial" w:hAnsi="Arial" w:cs="Arial"/>
          <w:sz w:val="22"/>
        </w:rPr>
        <w:t xml:space="preserve"> then </w:t>
      </w:r>
      <w:r w:rsidRPr="008F7A8B">
        <w:rPr>
          <w:rFonts w:ascii="Arial" w:hAnsi="Arial" w:cs="Arial"/>
          <w:b/>
          <w:sz w:val="22"/>
        </w:rPr>
        <w:t>Incentives and Allowances</w:t>
      </w:r>
      <w:r w:rsidRPr="008F7A8B">
        <w:rPr>
          <w:rFonts w:ascii="Arial" w:hAnsi="Arial" w:cs="Arial"/>
          <w:sz w:val="22"/>
        </w:rPr>
        <w:t xml:space="preserve"> &gt; </w:t>
      </w:r>
      <w:r w:rsidRPr="008F7A8B">
        <w:rPr>
          <w:rFonts w:ascii="Arial" w:hAnsi="Arial" w:cs="Arial"/>
          <w:b/>
          <w:sz w:val="22"/>
        </w:rPr>
        <w:t>Practice Incentives Programs</w:t>
      </w:r>
      <w:r w:rsidRPr="008F7A8B">
        <w:rPr>
          <w:rFonts w:ascii="Arial" w:hAnsi="Arial" w:cs="Arial"/>
          <w:sz w:val="22"/>
        </w:rPr>
        <w:t xml:space="preserve"> &gt; </w:t>
      </w:r>
      <w:r w:rsidRPr="008F7A8B">
        <w:rPr>
          <w:rFonts w:ascii="Arial" w:hAnsi="Arial" w:cs="Arial"/>
          <w:b/>
          <w:sz w:val="22"/>
        </w:rPr>
        <w:t>Forms and guidelines</w:t>
      </w:r>
      <w:r w:rsidRPr="008F7A8B">
        <w:rPr>
          <w:rFonts w:ascii="Arial" w:hAnsi="Arial" w:cs="Arial"/>
          <w:sz w:val="22"/>
        </w:rPr>
        <w:t xml:space="preserve"> and sending it along with the required supporting documentation, to:</w:t>
      </w:r>
    </w:p>
    <w:p w:rsidR="00AC0B3B" w:rsidRPr="008F7A8B" w:rsidRDefault="00AC0B3B" w:rsidP="00AC0B3B">
      <w:pPr>
        <w:rPr>
          <w:rFonts w:ascii="Arial" w:hAnsi="Arial" w:cs="Arial"/>
          <w:sz w:val="22"/>
        </w:rPr>
      </w:pPr>
      <w:r w:rsidRPr="008F7A8B">
        <w:rPr>
          <w:rFonts w:ascii="Arial" w:hAnsi="Arial" w:cs="Arial"/>
          <w:b/>
          <w:sz w:val="22"/>
        </w:rPr>
        <w:t>Mail</w:t>
      </w:r>
      <w:r w:rsidRPr="008F7A8B">
        <w:rPr>
          <w:rFonts w:ascii="Arial" w:hAnsi="Arial" w:cs="Arial"/>
          <w:sz w:val="22"/>
        </w:rPr>
        <w:t xml:space="preserve">: </w:t>
      </w:r>
      <w:r w:rsidRPr="008F7A8B">
        <w:rPr>
          <w:rFonts w:ascii="Arial" w:hAnsi="Arial" w:cs="Arial"/>
          <w:sz w:val="22"/>
        </w:rPr>
        <w:tab/>
        <w:t>Incentive Programs</w:t>
      </w:r>
    </w:p>
    <w:p w:rsidR="00AC0B3B" w:rsidRPr="008F7A8B" w:rsidRDefault="00AC0B3B" w:rsidP="00AC0B3B">
      <w:pPr>
        <w:ind w:left="728"/>
        <w:rPr>
          <w:rFonts w:ascii="Arial" w:hAnsi="Arial" w:cs="Arial"/>
          <w:sz w:val="22"/>
        </w:rPr>
      </w:pPr>
      <w:r w:rsidRPr="008F7A8B">
        <w:rPr>
          <w:rFonts w:ascii="Arial" w:hAnsi="Arial" w:cs="Arial"/>
          <w:sz w:val="22"/>
        </w:rPr>
        <w:t>Department of Human Services</w:t>
      </w:r>
    </w:p>
    <w:p w:rsidR="00AC0B3B" w:rsidRPr="008F7A8B" w:rsidRDefault="00AC0B3B" w:rsidP="00AC0B3B">
      <w:pPr>
        <w:ind w:left="728"/>
        <w:rPr>
          <w:rFonts w:ascii="Arial" w:hAnsi="Arial" w:cs="Arial"/>
          <w:sz w:val="22"/>
        </w:rPr>
      </w:pPr>
      <w:r w:rsidRPr="008F7A8B">
        <w:rPr>
          <w:rFonts w:ascii="Arial" w:hAnsi="Arial" w:cs="Arial"/>
          <w:sz w:val="22"/>
        </w:rPr>
        <w:t>GPO Box 2572</w:t>
      </w:r>
    </w:p>
    <w:p w:rsidR="00AC0B3B" w:rsidRPr="008F7A8B" w:rsidRDefault="00AC0B3B" w:rsidP="00AC0B3B">
      <w:pPr>
        <w:ind w:left="728"/>
        <w:rPr>
          <w:rFonts w:ascii="Arial" w:hAnsi="Arial" w:cs="Arial"/>
          <w:sz w:val="22"/>
        </w:rPr>
      </w:pPr>
      <w:r w:rsidRPr="008F7A8B">
        <w:rPr>
          <w:rFonts w:ascii="Arial" w:hAnsi="Arial" w:cs="Arial"/>
          <w:sz w:val="22"/>
        </w:rPr>
        <w:t>ADELAIDE SA 5001</w:t>
      </w:r>
    </w:p>
    <w:p w:rsidR="00AC0B3B" w:rsidRPr="008F7A8B" w:rsidRDefault="00AC0B3B" w:rsidP="00AC0B3B">
      <w:pPr>
        <w:rPr>
          <w:rFonts w:ascii="Arial" w:hAnsi="Arial" w:cs="Arial"/>
          <w:sz w:val="22"/>
        </w:rPr>
      </w:pPr>
      <w:r w:rsidRPr="008F7A8B">
        <w:rPr>
          <w:rFonts w:ascii="Arial" w:hAnsi="Arial" w:cs="Arial"/>
          <w:b/>
          <w:sz w:val="22"/>
        </w:rPr>
        <w:t>Fax</w:t>
      </w:r>
      <w:r w:rsidRPr="008F7A8B">
        <w:rPr>
          <w:rFonts w:ascii="Arial" w:hAnsi="Arial" w:cs="Arial"/>
          <w:sz w:val="22"/>
        </w:rPr>
        <w:t xml:space="preserve">: </w:t>
      </w:r>
      <w:r w:rsidRPr="008F7A8B">
        <w:rPr>
          <w:rFonts w:ascii="Arial" w:hAnsi="Arial" w:cs="Arial"/>
          <w:sz w:val="22"/>
        </w:rPr>
        <w:tab/>
        <w:t>1300 587 696</w:t>
      </w:r>
    </w:p>
    <w:p w:rsidR="00DA72E9" w:rsidRPr="008F7A8B" w:rsidRDefault="00D64823" w:rsidP="00AC0B3B">
      <w:pPr>
        <w:rPr>
          <w:rFonts w:ascii="Arial" w:hAnsi="Arial" w:cs="Arial"/>
          <w:sz w:val="22"/>
        </w:rPr>
      </w:pPr>
      <w:r w:rsidRPr="008F7A8B">
        <w:rPr>
          <w:rFonts w:ascii="Arial" w:hAnsi="Arial" w:cs="Arial"/>
          <w:sz w:val="22"/>
        </w:rPr>
        <w:t>The rural loading is automatically applied to the PIP payments of practices in rural and remote areas.</w:t>
      </w:r>
    </w:p>
    <w:p w:rsidR="00DA72E9" w:rsidRPr="008F7A8B" w:rsidRDefault="00D64823">
      <w:pPr>
        <w:pStyle w:val="Heading1"/>
        <w:ind w:left="-5"/>
        <w:rPr>
          <w:rFonts w:ascii="Arial" w:hAnsi="Arial" w:cs="Arial"/>
          <w:sz w:val="32"/>
        </w:rPr>
      </w:pPr>
      <w:r w:rsidRPr="008F7A8B">
        <w:rPr>
          <w:rFonts w:ascii="Arial" w:hAnsi="Arial" w:cs="Arial"/>
          <w:sz w:val="32"/>
        </w:rPr>
        <w:t>PIP Rural Loading</w:t>
      </w:r>
    </w:p>
    <w:p w:rsidR="00DA72E9" w:rsidRPr="008F7A8B" w:rsidRDefault="00D64823" w:rsidP="00AC0B3B">
      <w:pPr>
        <w:rPr>
          <w:rFonts w:ascii="Arial" w:hAnsi="Arial" w:cs="Arial"/>
          <w:sz w:val="22"/>
        </w:rPr>
      </w:pPr>
      <w:r w:rsidRPr="008F7A8B">
        <w:rPr>
          <w:rFonts w:ascii="Arial" w:hAnsi="Arial" w:cs="Arial"/>
          <w:sz w:val="22"/>
        </w:rPr>
        <w:t>Practices participating in the PIP, with a main practice located outside capital cities and other major metropolitan centres, are automatically paid a rural loading. The rural loading recognises the difficulties of providing care, often with little professional support, in rural and remote areas. The PIP rural loading is higher for practices in more remote areas, in recognition of the added difficulties of providing medical care.</w:t>
      </w:r>
    </w:p>
    <w:p w:rsidR="00DA72E9" w:rsidRPr="008F7A8B" w:rsidRDefault="00D64823" w:rsidP="00AC0B3B">
      <w:pPr>
        <w:rPr>
          <w:rFonts w:ascii="Arial" w:hAnsi="Arial" w:cs="Arial"/>
          <w:sz w:val="22"/>
        </w:rPr>
      </w:pPr>
      <w:r w:rsidRPr="008F7A8B">
        <w:rPr>
          <w:rFonts w:ascii="Arial" w:hAnsi="Arial" w:cs="Arial"/>
          <w:sz w:val="22"/>
        </w:rPr>
        <w:lastRenderedPageBreak/>
        <w:t>The PIP rural loading is added to PIP practice payments. Service Incentive Payments (SIPs) don’t attract a rural loading.</w:t>
      </w:r>
    </w:p>
    <w:p w:rsidR="00DA72E9" w:rsidRPr="008F7A8B" w:rsidRDefault="00D64823" w:rsidP="00AC0B3B">
      <w:pPr>
        <w:rPr>
          <w:rFonts w:ascii="Arial" w:hAnsi="Arial" w:cs="Arial"/>
          <w:sz w:val="22"/>
        </w:rPr>
      </w:pPr>
      <w:r w:rsidRPr="008F7A8B">
        <w:rPr>
          <w:rFonts w:ascii="Arial" w:hAnsi="Arial" w:cs="Arial"/>
          <w:sz w:val="22"/>
        </w:rPr>
        <w:t>The rural loading is calculated by multiplying the practice’s PIP payments by a percentage loading (see Table 1).</w:t>
      </w:r>
    </w:p>
    <w:p w:rsidR="00DA72E9" w:rsidRPr="008F7A8B" w:rsidRDefault="00D64823" w:rsidP="00AC0B3B">
      <w:pPr>
        <w:rPr>
          <w:rFonts w:ascii="Arial" w:hAnsi="Arial" w:cs="Arial"/>
          <w:sz w:val="22"/>
        </w:rPr>
      </w:pPr>
      <w:r w:rsidRPr="008F7A8B">
        <w:rPr>
          <w:rFonts w:ascii="Arial" w:hAnsi="Arial" w:cs="Arial"/>
          <w:sz w:val="22"/>
        </w:rPr>
        <w:t xml:space="preserve">The rural loading varies with the remoteness of the practice, and is based on the classification of the practice using the </w:t>
      </w:r>
      <w:r w:rsidRPr="008F7A8B">
        <w:rPr>
          <w:rFonts w:ascii="Arial" w:hAnsi="Arial" w:cs="Arial"/>
          <w:i/>
          <w:sz w:val="22"/>
        </w:rPr>
        <w:t>Rural, Remote and Metropolitan Areas (RRMA) Classification, 1991 Census Edition</w:t>
      </w:r>
      <w:r w:rsidRPr="008F7A8B">
        <w:rPr>
          <w:rFonts w:ascii="Arial" w:hAnsi="Arial" w:cs="Arial"/>
          <w:sz w:val="22"/>
        </w:rPr>
        <w:t xml:space="preserve"> (Department of Primary Industries and Energy and Department of Human Services and Health, November 1994). Where a practice with multiple locations is eligible for a rural loading, the loading will be calculated based on</w:t>
      </w:r>
      <w:r w:rsidR="00E66A35" w:rsidRPr="008F7A8B">
        <w:rPr>
          <w:rFonts w:ascii="Arial" w:hAnsi="Arial" w:cs="Arial"/>
          <w:sz w:val="22"/>
        </w:rPr>
        <w:t xml:space="preserve"> the RRMA classification of the</w:t>
      </w:r>
      <w:r w:rsidR="00804571" w:rsidRPr="008F7A8B">
        <w:rPr>
          <w:rFonts w:ascii="Arial" w:hAnsi="Arial" w:cs="Arial"/>
          <w:sz w:val="22"/>
        </w:rPr>
        <w:t xml:space="preserve"> </w:t>
      </w:r>
      <w:r w:rsidRPr="008F7A8B">
        <w:rPr>
          <w:rFonts w:ascii="Arial" w:hAnsi="Arial" w:cs="Arial"/>
          <w:sz w:val="22"/>
        </w:rPr>
        <w:t>main practice location.</w:t>
      </w:r>
    </w:p>
    <w:p w:rsidR="00AC0B3B" w:rsidRPr="008F7A8B" w:rsidRDefault="00AC0B3B" w:rsidP="00AC0B3B">
      <w:pPr>
        <w:rPr>
          <w:rFonts w:ascii="Arial" w:hAnsi="Arial" w:cs="Arial"/>
          <w:sz w:val="22"/>
        </w:rPr>
      </w:pPr>
      <w:r w:rsidRPr="008F7A8B">
        <w:rPr>
          <w:rFonts w:ascii="Arial" w:hAnsi="Arial" w:cs="Arial"/>
          <w:b/>
          <w:sz w:val="22"/>
        </w:rPr>
        <w:t>Table 1:</w:t>
      </w:r>
      <w:r w:rsidRPr="008F7A8B">
        <w:rPr>
          <w:rFonts w:ascii="Arial" w:hAnsi="Arial" w:cs="Arial"/>
          <w:sz w:val="22"/>
        </w:rPr>
        <w:t xml:space="preserve"> Practice Incentives Program Rural Loading for each RRMA category</w:t>
      </w:r>
    </w:p>
    <w:tbl>
      <w:tblPr>
        <w:tblStyle w:val="GridTable1Light"/>
        <w:tblW w:w="0" w:type="auto"/>
        <w:tblLook w:val="04A0" w:firstRow="1" w:lastRow="0" w:firstColumn="1" w:lastColumn="0" w:noHBand="0" w:noVBand="1"/>
      </w:tblPr>
      <w:tblGrid>
        <w:gridCol w:w="3539"/>
        <w:gridCol w:w="3686"/>
        <w:gridCol w:w="2854"/>
      </w:tblGrid>
      <w:tr w:rsidR="00AC0B3B" w:rsidRPr="008F7A8B" w:rsidTr="00D60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AC0B3B" w:rsidRPr="008F7A8B" w:rsidRDefault="00AC0B3B" w:rsidP="00154CCF">
            <w:pPr>
              <w:ind w:left="0" w:right="45" w:firstLine="0"/>
              <w:rPr>
                <w:rFonts w:ascii="Arial" w:hAnsi="Arial" w:cs="Arial"/>
                <w:color w:val="auto"/>
                <w:sz w:val="22"/>
              </w:rPr>
            </w:pPr>
            <w:r w:rsidRPr="008F7A8B">
              <w:rPr>
                <w:rFonts w:ascii="Arial" w:hAnsi="Arial" w:cs="Arial"/>
                <w:color w:val="auto"/>
                <w:sz w:val="22"/>
              </w:rPr>
              <w:t>RRMA classification and category</w:t>
            </w:r>
          </w:p>
        </w:tc>
        <w:tc>
          <w:tcPr>
            <w:tcW w:w="3686" w:type="dxa"/>
          </w:tcPr>
          <w:p w:rsidR="00AC0B3B" w:rsidRPr="008F7A8B" w:rsidRDefault="00AC0B3B" w:rsidP="00154CCF">
            <w:pPr>
              <w:ind w:left="0" w:right="45"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color w:val="auto"/>
                <w:sz w:val="22"/>
              </w:rPr>
              <w:t>Examples of locations</w:t>
            </w:r>
          </w:p>
        </w:tc>
        <w:tc>
          <w:tcPr>
            <w:tcW w:w="2854" w:type="dxa"/>
          </w:tcPr>
          <w:p w:rsidR="00AC0B3B" w:rsidRPr="008F7A8B" w:rsidRDefault="00AC0B3B" w:rsidP="00154CCF">
            <w:pPr>
              <w:ind w:left="0" w:right="45"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color w:val="auto"/>
                <w:sz w:val="22"/>
              </w:rPr>
              <w:t>Rural Loading</w:t>
            </w:r>
          </w:p>
        </w:tc>
      </w:tr>
      <w:tr w:rsidR="00AC0B3B" w:rsidRPr="008F7A8B" w:rsidTr="00D60273">
        <w:tc>
          <w:tcPr>
            <w:cnfStyle w:val="001000000000" w:firstRow="0" w:lastRow="0" w:firstColumn="1" w:lastColumn="0" w:oddVBand="0" w:evenVBand="0" w:oddHBand="0" w:evenHBand="0" w:firstRowFirstColumn="0" w:firstRowLastColumn="0" w:lastRowFirstColumn="0" w:lastRowLastColumn="0"/>
            <w:tcW w:w="3539" w:type="dxa"/>
          </w:tcPr>
          <w:p w:rsidR="00AC0B3B" w:rsidRPr="008F7A8B" w:rsidRDefault="00AC0B3B" w:rsidP="00154CCF">
            <w:pPr>
              <w:ind w:left="0" w:right="45" w:firstLine="0"/>
              <w:rPr>
                <w:rFonts w:ascii="Arial" w:hAnsi="Arial" w:cs="Arial"/>
                <w:color w:val="auto"/>
                <w:sz w:val="22"/>
              </w:rPr>
            </w:pPr>
            <w:r w:rsidRPr="008F7A8B">
              <w:rPr>
                <w:rFonts w:ascii="Arial" w:hAnsi="Arial" w:cs="Arial"/>
                <w:sz w:val="22"/>
              </w:rPr>
              <w:t>1. Capital city</w:t>
            </w:r>
          </w:p>
        </w:tc>
        <w:tc>
          <w:tcPr>
            <w:tcW w:w="3686"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Brisbane, Canberra</w:t>
            </w:r>
          </w:p>
        </w:tc>
        <w:tc>
          <w:tcPr>
            <w:tcW w:w="2854"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0%</w:t>
            </w:r>
          </w:p>
        </w:tc>
      </w:tr>
      <w:tr w:rsidR="00AC0B3B" w:rsidRPr="008F7A8B" w:rsidTr="00D60273">
        <w:trPr>
          <w:trHeight w:val="1043"/>
        </w:trPr>
        <w:tc>
          <w:tcPr>
            <w:cnfStyle w:val="001000000000" w:firstRow="0" w:lastRow="0" w:firstColumn="1" w:lastColumn="0" w:oddVBand="0" w:evenVBand="0" w:oddHBand="0" w:evenHBand="0" w:firstRowFirstColumn="0" w:firstRowLastColumn="0" w:lastRowFirstColumn="0" w:lastRowLastColumn="0"/>
            <w:tcW w:w="3539" w:type="dxa"/>
          </w:tcPr>
          <w:p w:rsidR="00AC0B3B" w:rsidRPr="008F7A8B" w:rsidRDefault="00AC0B3B" w:rsidP="00154CCF">
            <w:pPr>
              <w:ind w:left="171" w:right="45" w:firstLine="0"/>
              <w:rPr>
                <w:rFonts w:ascii="Arial" w:hAnsi="Arial" w:cs="Arial"/>
                <w:b w:val="0"/>
                <w:bCs w:val="0"/>
                <w:color w:val="auto"/>
                <w:sz w:val="22"/>
              </w:rPr>
            </w:pPr>
            <w:r w:rsidRPr="008F7A8B">
              <w:rPr>
                <w:rFonts w:ascii="Arial" w:hAnsi="Arial" w:cs="Arial"/>
                <w:sz w:val="22"/>
              </w:rPr>
              <w:t>2. Other metropolitan centre (&gt; 100 000</w:t>
            </w:r>
          </w:p>
          <w:p w:rsidR="00AC0B3B" w:rsidRPr="008F7A8B" w:rsidRDefault="00AC0B3B" w:rsidP="00154CCF">
            <w:pPr>
              <w:spacing w:before="0" w:after="17" w:line="248" w:lineRule="auto"/>
              <w:ind w:left="171" w:right="45"/>
              <w:rPr>
                <w:rFonts w:ascii="Arial" w:hAnsi="Arial" w:cs="Arial"/>
                <w:color w:val="auto"/>
                <w:sz w:val="22"/>
              </w:rPr>
            </w:pPr>
            <w:r w:rsidRPr="008F7A8B">
              <w:rPr>
                <w:rFonts w:ascii="Arial" w:hAnsi="Arial" w:cs="Arial"/>
                <w:sz w:val="22"/>
              </w:rPr>
              <w:t>3. Large rural centre (pop 25 000-99 999</w:t>
            </w:r>
          </w:p>
        </w:tc>
        <w:tc>
          <w:tcPr>
            <w:tcW w:w="3686"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8F7A8B">
              <w:rPr>
                <w:rFonts w:ascii="Arial" w:hAnsi="Arial" w:cs="Arial"/>
                <w:sz w:val="22"/>
              </w:rPr>
              <w:t>Townsville, Newcastle, Geelong</w:t>
            </w:r>
          </w:p>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p w:rsidR="00AC0B3B" w:rsidRPr="008F7A8B" w:rsidRDefault="00AC0B3B" w:rsidP="00154CCF">
            <w:pPr>
              <w:spacing w:before="0" w:after="17" w:line="248" w:lineRule="auto"/>
              <w:ind w:left="0" w:right="45"/>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Cairns, Mackay, Launceston</w:t>
            </w:r>
          </w:p>
        </w:tc>
        <w:tc>
          <w:tcPr>
            <w:tcW w:w="2854"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8F7A8B">
              <w:rPr>
                <w:rFonts w:ascii="Arial" w:hAnsi="Arial" w:cs="Arial"/>
                <w:sz w:val="22"/>
              </w:rPr>
              <w:t>0%</w:t>
            </w:r>
          </w:p>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p>
          <w:p w:rsidR="00AC0B3B" w:rsidRPr="008F7A8B" w:rsidRDefault="00AC0B3B" w:rsidP="00154CCF">
            <w:pPr>
              <w:spacing w:before="0" w:after="17" w:line="248" w:lineRule="auto"/>
              <w:ind w:left="0" w:right="45"/>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15%</w:t>
            </w:r>
          </w:p>
        </w:tc>
      </w:tr>
      <w:tr w:rsidR="00AC0B3B" w:rsidRPr="008F7A8B" w:rsidTr="00D60273">
        <w:tc>
          <w:tcPr>
            <w:cnfStyle w:val="001000000000" w:firstRow="0" w:lastRow="0" w:firstColumn="1" w:lastColumn="0" w:oddVBand="0" w:evenVBand="0" w:oddHBand="0" w:evenHBand="0" w:firstRowFirstColumn="0" w:firstRowLastColumn="0" w:lastRowFirstColumn="0" w:lastRowLastColumn="0"/>
            <w:tcW w:w="3539" w:type="dxa"/>
          </w:tcPr>
          <w:p w:rsidR="00AC0B3B" w:rsidRPr="008F7A8B" w:rsidRDefault="00AC0B3B" w:rsidP="00154CCF">
            <w:pPr>
              <w:ind w:left="0" w:right="45" w:firstLine="0"/>
              <w:rPr>
                <w:rFonts w:ascii="Arial" w:hAnsi="Arial" w:cs="Arial"/>
                <w:color w:val="auto"/>
                <w:sz w:val="22"/>
              </w:rPr>
            </w:pPr>
            <w:r w:rsidRPr="008F7A8B">
              <w:rPr>
                <w:rFonts w:ascii="Arial" w:hAnsi="Arial" w:cs="Arial"/>
                <w:sz w:val="22"/>
              </w:rPr>
              <w:t>4. Small rural centre (pop 10 000–24 999)</w:t>
            </w:r>
          </w:p>
        </w:tc>
        <w:tc>
          <w:tcPr>
            <w:tcW w:w="3686"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Gympie, Maryborough (QLD), Port Pirie</w:t>
            </w:r>
          </w:p>
        </w:tc>
        <w:tc>
          <w:tcPr>
            <w:tcW w:w="2854"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20%</w:t>
            </w:r>
          </w:p>
        </w:tc>
      </w:tr>
      <w:tr w:rsidR="00AC0B3B" w:rsidRPr="008F7A8B" w:rsidTr="00D60273">
        <w:tc>
          <w:tcPr>
            <w:cnfStyle w:val="001000000000" w:firstRow="0" w:lastRow="0" w:firstColumn="1" w:lastColumn="0" w:oddVBand="0" w:evenVBand="0" w:oddHBand="0" w:evenHBand="0" w:firstRowFirstColumn="0" w:firstRowLastColumn="0" w:lastRowFirstColumn="0" w:lastRowLastColumn="0"/>
            <w:tcW w:w="3539" w:type="dxa"/>
          </w:tcPr>
          <w:p w:rsidR="00AC0B3B" w:rsidRPr="008F7A8B" w:rsidRDefault="00AC0B3B" w:rsidP="00154CCF">
            <w:pPr>
              <w:ind w:left="0" w:right="45" w:firstLine="0"/>
              <w:rPr>
                <w:rFonts w:ascii="Arial" w:hAnsi="Arial" w:cs="Arial"/>
                <w:color w:val="auto"/>
                <w:sz w:val="22"/>
              </w:rPr>
            </w:pPr>
            <w:r w:rsidRPr="008F7A8B">
              <w:rPr>
                <w:rFonts w:ascii="Arial" w:hAnsi="Arial" w:cs="Arial"/>
                <w:sz w:val="22"/>
              </w:rPr>
              <w:t>5. Other rural area (pop &lt; 10 000)</w:t>
            </w:r>
          </w:p>
        </w:tc>
        <w:tc>
          <w:tcPr>
            <w:tcW w:w="3686"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Ingham, Atherton, Byron Bay</w:t>
            </w:r>
          </w:p>
        </w:tc>
        <w:tc>
          <w:tcPr>
            <w:tcW w:w="2854"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40%</w:t>
            </w:r>
          </w:p>
        </w:tc>
      </w:tr>
      <w:tr w:rsidR="00AC0B3B" w:rsidRPr="008F7A8B" w:rsidTr="00D60273">
        <w:trPr>
          <w:trHeight w:val="549"/>
        </w:trPr>
        <w:tc>
          <w:tcPr>
            <w:cnfStyle w:val="001000000000" w:firstRow="0" w:lastRow="0" w:firstColumn="1" w:lastColumn="0" w:oddVBand="0" w:evenVBand="0" w:oddHBand="0" w:evenHBand="0" w:firstRowFirstColumn="0" w:firstRowLastColumn="0" w:lastRowFirstColumn="0" w:lastRowLastColumn="0"/>
            <w:tcW w:w="3539" w:type="dxa"/>
          </w:tcPr>
          <w:p w:rsidR="00AC0B3B" w:rsidRPr="008F7A8B" w:rsidRDefault="00AC0B3B" w:rsidP="00154CCF">
            <w:pPr>
              <w:ind w:left="171" w:right="45" w:firstLine="0"/>
              <w:rPr>
                <w:rFonts w:ascii="Arial" w:hAnsi="Arial" w:cs="Arial"/>
                <w:b w:val="0"/>
                <w:bCs w:val="0"/>
                <w:color w:val="auto"/>
                <w:sz w:val="22"/>
              </w:rPr>
            </w:pPr>
            <w:r w:rsidRPr="008F7A8B">
              <w:rPr>
                <w:rFonts w:ascii="Arial" w:hAnsi="Arial" w:cs="Arial"/>
                <w:color w:val="auto"/>
                <w:sz w:val="22"/>
              </w:rPr>
              <w:t>6. Remote centre (pop&gt; 5000</w:t>
            </w:r>
          </w:p>
          <w:p w:rsidR="00AC0B3B" w:rsidRPr="008F7A8B" w:rsidRDefault="00AC0B3B" w:rsidP="00154CCF">
            <w:pPr>
              <w:spacing w:before="0" w:after="17" w:line="248" w:lineRule="auto"/>
              <w:ind w:left="171" w:right="45"/>
              <w:rPr>
                <w:rFonts w:ascii="Arial" w:hAnsi="Arial" w:cs="Arial"/>
                <w:color w:val="auto"/>
                <w:sz w:val="22"/>
              </w:rPr>
            </w:pPr>
            <w:r w:rsidRPr="008F7A8B">
              <w:rPr>
                <w:rFonts w:ascii="Arial" w:hAnsi="Arial" w:cs="Arial"/>
                <w:color w:val="auto"/>
                <w:sz w:val="22"/>
              </w:rPr>
              <w:t>7. Other remote area (pop &lt; 5000)</w:t>
            </w:r>
          </w:p>
        </w:tc>
        <w:tc>
          <w:tcPr>
            <w:tcW w:w="3686"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Mt Isa, Roma, Alice Springs</w:t>
            </w:r>
          </w:p>
          <w:p w:rsidR="00AC0B3B" w:rsidRPr="008F7A8B" w:rsidRDefault="00AC0B3B" w:rsidP="00154CCF">
            <w:pPr>
              <w:spacing w:before="0" w:after="17" w:line="248" w:lineRule="auto"/>
              <w:ind w:left="0" w:right="45"/>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Normanton, Weipa, Yulara</w:t>
            </w:r>
          </w:p>
        </w:tc>
        <w:tc>
          <w:tcPr>
            <w:tcW w:w="2854" w:type="dxa"/>
          </w:tcPr>
          <w:p w:rsidR="00AC0B3B" w:rsidRPr="008F7A8B" w:rsidRDefault="00AC0B3B" w:rsidP="00154CCF">
            <w:pPr>
              <w:ind w:left="0" w:right="45"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25%</w:t>
            </w:r>
          </w:p>
          <w:p w:rsidR="00AC0B3B" w:rsidRPr="008F7A8B" w:rsidRDefault="00AC0B3B" w:rsidP="00154CCF">
            <w:pPr>
              <w:spacing w:before="0" w:after="17" w:line="248" w:lineRule="auto"/>
              <w:ind w:left="0" w:right="45"/>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8F7A8B">
              <w:rPr>
                <w:rFonts w:ascii="Arial" w:hAnsi="Arial" w:cs="Arial"/>
                <w:sz w:val="22"/>
              </w:rPr>
              <w:t>50%</w:t>
            </w:r>
          </w:p>
        </w:tc>
      </w:tr>
    </w:tbl>
    <w:p w:rsidR="00AC0B3B" w:rsidRPr="008F7A8B" w:rsidRDefault="00AC0B3B" w:rsidP="00AC0B3B">
      <w:pPr>
        <w:rPr>
          <w:rFonts w:ascii="Arial" w:hAnsi="Arial" w:cs="Arial"/>
          <w:sz w:val="22"/>
        </w:rPr>
      </w:pPr>
      <w:r w:rsidRPr="008F7A8B">
        <w:rPr>
          <w:rFonts w:ascii="Arial" w:hAnsi="Arial" w:cs="Arial"/>
          <w:sz w:val="22"/>
        </w:rPr>
        <w:t xml:space="preserve">We can provide the RRMA classification of your main practice location. Email </w:t>
      </w:r>
      <w:r w:rsidRPr="008F7A8B">
        <w:rPr>
          <w:rFonts w:ascii="Arial" w:hAnsi="Arial" w:cs="Arial"/>
          <w:b/>
          <w:sz w:val="22"/>
        </w:rPr>
        <w:t>pip@humanservices.gov.au or call 1800 222 032 **</w:t>
      </w:r>
    </w:p>
    <w:p w:rsidR="00DA72E9" w:rsidRPr="008F7A8B" w:rsidRDefault="00D64823">
      <w:pPr>
        <w:pStyle w:val="Heading1"/>
        <w:ind w:left="-5"/>
        <w:rPr>
          <w:rFonts w:ascii="Arial" w:hAnsi="Arial" w:cs="Arial"/>
          <w:sz w:val="32"/>
        </w:rPr>
      </w:pPr>
      <w:r w:rsidRPr="008F7A8B">
        <w:rPr>
          <w:rFonts w:ascii="Arial" w:hAnsi="Arial" w:cs="Arial"/>
          <w:sz w:val="32"/>
        </w:rPr>
        <w:t>Obligations of the practice</w:t>
      </w:r>
    </w:p>
    <w:p w:rsidR="00DA72E9" w:rsidRPr="008F7A8B" w:rsidRDefault="00D64823">
      <w:pPr>
        <w:spacing w:after="5" w:line="259" w:lineRule="auto"/>
        <w:ind w:left="0" w:right="0" w:firstLine="0"/>
        <w:rPr>
          <w:rFonts w:ascii="Arial" w:hAnsi="Arial" w:cs="Arial"/>
          <w:sz w:val="22"/>
        </w:rPr>
      </w:pPr>
      <w:r w:rsidRPr="008F7A8B">
        <w:rPr>
          <w:rFonts w:ascii="Arial" w:hAnsi="Arial" w:cs="Arial"/>
          <w:b/>
          <w:sz w:val="22"/>
        </w:rPr>
        <w:t>The practice must:</w:t>
      </w:r>
    </w:p>
    <w:p w:rsidR="00DA72E9" w:rsidRPr="008F7A8B" w:rsidRDefault="00D64823" w:rsidP="00583AB9">
      <w:pPr>
        <w:pStyle w:val="ListParagraph"/>
        <w:rPr>
          <w:rFonts w:ascii="Arial" w:hAnsi="Arial" w:cs="Arial"/>
          <w:sz w:val="22"/>
        </w:rPr>
      </w:pPr>
      <w:r w:rsidRPr="008F7A8B">
        <w:rPr>
          <w:rFonts w:ascii="Arial" w:hAnsi="Arial" w:cs="Arial"/>
          <w:sz w:val="22"/>
        </w:rPr>
        <w:t>give information to Human Services as part of the ongoing audit process to verify that the practice has met eligibility requirements</w:t>
      </w:r>
    </w:p>
    <w:p w:rsidR="00DA72E9" w:rsidRPr="008F7A8B" w:rsidRDefault="00D64823" w:rsidP="00583AB9">
      <w:pPr>
        <w:pStyle w:val="ListParagraph"/>
        <w:rPr>
          <w:rFonts w:ascii="Arial" w:hAnsi="Arial" w:cs="Arial"/>
          <w:sz w:val="22"/>
        </w:rPr>
      </w:pPr>
      <w:r w:rsidRPr="008F7A8B">
        <w:rPr>
          <w:rFonts w:ascii="Arial" w:hAnsi="Arial" w:cs="Arial"/>
          <w:sz w:val="22"/>
        </w:rPr>
        <w:t>make sure the information given to us is correct, and</w:t>
      </w:r>
    </w:p>
    <w:p w:rsidR="00DA72E9" w:rsidRPr="008F7A8B" w:rsidRDefault="00D64823" w:rsidP="00583AB9">
      <w:pPr>
        <w:pStyle w:val="ListParagraph"/>
        <w:rPr>
          <w:rFonts w:ascii="Arial" w:hAnsi="Arial" w:cs="Arial"/>
          <w:sz w:val="22"/>
        </w:rPr>
      </w:pPr>
      <w:r w:rsidRPr="008F7A8B">
        <w:rPr>
          <w:rFonts w:ascii="Arial" w:hAnsi="Arial" w:cs="Arial"/>
          <w:sz w:val="22"/>
        </w:rPr>
        <w:t>advise us of any changes to practice arrangements. This can be done:</w:t>
      </w:r>
    </w:p>
    <w:p w:rsidR="00DA72E9" w:rsidRPr="008F7A8B" w:rsidRDefault="00D64823" w:rsidP="00583AB9">
      <w:pPr>
        <w:pStyle w:val="ListParagraph"/>
        <w:numPr>
          <w:ilvl w:val="1"/>
          <w:numId w:val="5"/>
        </w:numPr>
        <w:ind w:left="728"/>
        <w:rPr>
          <w:rFonts w:ascii="Arial" w:hAnsi="Arial" w:cs="Arial"/>
          <w:sz w:val="22"/>
        </w:rPr>
      </w:pPr>
      <w:r w:rsidRPr="008F7A8B">
        <w:rPr>
          <w:rFonts w:ascii="Arial" w:hAnsi="Arial" w:cs="Arial"/>
          <w:sz w:val="22"/>
        </w:rPr>
        <w:t>online via HPOS. Changes made via HPOS are immediate and can be made up to, and on, the relevant point-in time date</w:t>
      </w:r>
    </w:p>
    <w:p w:rsidR="00DA72E9" w:rsidRPr="008F7A8B" w:rsidRDefault="00D64823" w:rsidP="00583AB9">
      <w:pPr>
        <w:pStyle w:val="ListParagraph"/>
        <w:numPr>
          <w:ilvl w:val="1"/>
          <w:numId w:val="5"/>
        </w:numPr>
        <w:ind w:left="728"/>
        <w:rPr>
          <w:rFonts w:ascii="Arial" w:hAnsi="Arial" w:cs="Arial"/>
          <w:sz w:val="22"/>
        </w:rPr>
      </w:pPr>
      <w:r w:rsidRPr="008F7A8B">
        <w:rPr>
          <w:rFonts w:ascii="Arial" w:hAnsi="Arial" w:cs="Arial"/>
          <w:sz w:val="22"/>
        </w:rPr>
        <w:t xml:space="preserve">by completing the </w:t>
      </w:r>
      <w:r w:rsidRPr="008F7A8B">
        <w:rPr>
          <w:rFonts w:ascii="Arial" w:hAnsi="Arial" w:cs="Arial"/>
          <w:i/>
          <w:sz w:val="22"/>
        </w:rPr>
        <w:t xml:space="preserve">PIP Change of Practice Details </w:t>
      </w:r>
      <w:r w:rsidRPr="008F7A8B">
        <w:rPr>
          <w:rFonts w:ascii="Arial" w:hAnsi="Arial" w:cs="Arial"/>
          <w:sz w:val="22"/>
        </w:rPr>
        <w:t>form, or</w:t>
      </w:r>
    </w:p>
    <w:p w:rsidR="00DA72E9" w:rsidRPr="008F7A8B" w:rsidRDefault="00D64823" w:rsidP="00583AB9">
      <w:pPr>
        <w:pStyle w:val="ListParagraph"/>
        <w:numPr>
          <w:ilvl w:val="1"/>
          <w:numId w:val="5"/>
        </w:numPr>
        <w:ind w:left="728"/>
        <w:rPr>
          <w:rFonts w:ascii="Arial" w:hAnsi="Arial" w:cs="Arial"/>
          <w:sz w:val="22"/>
        </w:rPr>
      </w:pPr>
      <w:r w:rsidRPr="008F7A8B">
        <w:rPr>
          <w:rFonts w:ascii="Arial" w:hAnsi="Arial" w:cs="Arial"/>
          <w:sz w:val="22"/>
        </w:rPr>
        <w:t>by advising us in writing no later than seven days prior to the relevant point-in-time date.</w:t>
      </w:r>
    </w:p>
    <w:p w:rsidR="00DA72E9" w:rsidRPr="008F7A8B" w:rsidRDefault="00D64823" w:rsidP="00AC0B3B">
      <w:pPr>
        <w:rPr>
          <w:rFonts w:ascii="Arial" w:hAnsi="Arial" w:cs="Arial"/>
          <w:sz w:val="22"/>
        </w:rPr>
      </w:pPr>
      <w:r w:rsidRPr="008F7A8B">
        <w:rPr>
          <w:rFonts w:ascii="Arial" w:hAnsi="Arial" w:cs="Arial"/>
          <w:sz w:val="22"/>
        </w:rPr>
        <w:t xml:space="preserve">Refer to the </w:t>
      </w:r>
      <w:r w:rsidRPr="008F7A8B">
        <w:rPr>
          <w:rFonts w:ascii="Arial" w:hAnsi="Arial" w:cs="Arial"/>
          <w:i/>
          <w:sz w:val="22"/>
        </w:rPr>
        <w:t>PIP guidelines</w:t>
      </w:r>
      <w:r w:rsidRPr="008F7A8B">
        <w:rPr>
          <w:rFonts w:ascii="Arial" w:hAnsi="Arial" w:cs="Arial"/>
          <w:sz w:val="22"/>
        </w:rPr>
        <w:t xml:space="preserve"> for more information.</w:t>
      </w:r>
    </w:p>
    <w:p w:rsidR="00DA72E9" w:rsidRPr="008F7A8B" w:rsidRDefault="00D64823" w:rsidP="00AC0B3B">
      <w:pPr>
        <w:rPr>
          <w:rFonts w:ascii="Arial" w:hAnsi="Arial" w:cs="Arial"/>
          <w:sz w:val="22"/>
        </w:rPr>
      </w:pPr>
      <w:r w:rsidRPr="008F7A8B">
        <w:rPr>
          <w:rFonts w:ascii="Arial" w:hAnsi="Arial" w:cs="Arial"/>
          <w:sz w:val="22"/>
        </w:rPr>
        <w:t>The point-in-time date corresponds to the last day of the month before the next PIP quarterly payment.</w:t>
      </w:r>
    </w:p>
    <w:p w:rsidR="00DA72E9" w:rsidRPr="008F7A8B" w:rsidRDefault="00D64823" w:rsidP="00AC0B3B">
      <w:pPr>
        <w:rPr>
          <w:rFonts w:ascii="Arial" w:hAnsi="Arial" w:cs="Arial"/>
          <w:sz w:val="22"/>
        </w:rPr>
      </w:pPr>
      <w:r w:rsidRPr="008F7A8B">
        <w:rPr>
          <w:rFonts w:ascii="Arial" w:hAnsi="Arial" w:cs="Arial"/>
          <w:sz w:val="22"/>
        </w:rPr>
        <w:lastRenderedPageBreak/>
        <w:t>On joining the PIP, practices must nominate an authorised contact person(s), who will confirm, on the practice’s behalf, any changes to information for PIP claims and payments.</w:t>
      </w:r>
    </w:p>
    <w:p w:rsidR="00DA72E9" w:rsidRPr="008F7A8B" w:rsidRDefault="00D64823">
      <w:pPr>
        <w:pStyle w:val="Heading1"/>
        <w:ind w:left="-5"/>
        <w:rPr>
          <w:rFonts w:ascii="Arial" w:hAnsi="Arial" w:cs="Arial"/>
          <w:sz w:val="32"/>
        </w:rPr>
      </w:pPr>
      <w:r w:rsidRPr="008F7A8B">
        <w:rPr>
          <w:rFonts w:ascii="Arial" w:hAnsi="Arial" w:cs="Arial"/>
          <w:sz w:val="32"/>
        </w:rPr>
        <w:t>Appeals process</w:t>
      </w:r>
    </w:p>
    <w:p w:rsidR="00DA72E9" w:rsidRPr="008F7A8B" w:rsidRDefault="00D64823" w:rsidP="00AC0B3B">
      <w:pPr>
        <w:rPr>
          <w:rFonts w:ascii="Arial" w:hAnsi="Arial" w:cs="Arial"/>
          <w:sz w:val="22"/>
        </w:rPr>
      </w:pPr>
      <w:r w:rsidRPr="008F7A8B">
        <w:rPr>
          <w:rFonts w:ascii="Arial" w:hAnsi="Arial" w:cs="Arial"/>
          <w:sz w:val="22"/>
        </w:rPr>
        <w:t>The PIP has an established appeals process. To ask for a review of a decision, the authorised contact person or the owners of the practice must write to us within 28 calendar days of the date of the letter informing the practice of the decision. Human Services will review the decision and advise the practice in writing of the outcome.</w:t>
      </w:r>
    </w:p>
    <w:p w:rsidR="00DA72E9" w:rsidRPr="008F7A8B" w:rsidRDefault="00D64823">
      <w:pPr>
        <w:pStyle w:val="Heading1"/>
        <w:ind w:left="-5"/>
        <w:rPr>
          <w:rFonts w:ascii="Arial" w:hAnsi="Arial" w:cs="Arial"/>
          <w:sz w:val="32"/>
        </w:rPr>
      </w:pPr>
      <w:r w:rsidRPr="008F7A8B">
        <w:rPr>
          <w:rFonts w:ascii="Arial" w:hAnsi="Arial" w:cs="Arial"/>
          <w:sz w:val="32"/>
        </w:rPr>
        <w:t>More information</w:t>
      </w:r>
    </w:p>
    <w:p w:rsidR="00DA72E9" w:rsidRPr="008F7A8B" w:rsidRDefault="00D64823" w:rsidP="00AC0B3B">
      <w:pPr>
        <w:rPr>
          <w:rFonts w:ascii="Arial" w:hAnsi="Arial" w:cs="Arial"/>
          <w:sz w:val="22"/>
        </w:rPr>
      </w:pPr>
      <w:r w:rsidRPr="008F7A8B">
        <w:rPr>
          <w:rFonts w:ascii="Arial" w:hAnsi="Arial" w:cs="Arial"/>
          <w:sz w:val="22"/>
        </w:rPr>
        <w:t>Online</w:t>
      </w:r>
      <w:r w:rsidR="00583AB9" w:rsidRPr="008F7A8B">
        <w:rPr>
          <w:rFonts w:ascii="Arial" w:hAnsi="Arial" w:cs="Arial"/>
          <w:sz w:val="22"/>
        </w:rPr>
        <w:t>:</w:t>
      </w:r>
      <w:r w:rsidR="00583AB9" w:rsidRPr="008F7A8B">
        <w:rPr>
          <w:rFonts w:ascii="Arial" w:hAnsi="Arial" w:cs="Arial"/>
          <w:sz w:val="22"/>
        </w:rPr>
        <w:tab/>
      </w:r>
      <w:r w:rsidRPr="008F7A8B">
        <w:rPr>
          <w:rFonts w:ascii="Arial" w:hAnsi="Arial" w:cs="Arial"/>
          <w:sz w:val="22"/>
        </w:rPr>
        <w:t>humanservi</w:t>
      </w:r>
      <w:r w:rsidR="00AC0B3B" w:rsidRPr="008F7A8B">
        <w:rPr>
          <w:rFonts w:ascii="Arial" w:hAnsi="Arial" w:cs="Arial"/>
          <w:sz w:val="22"/>
        </w:rPr>
        <w:t xml:space="preserve">ces.gov.au/healthprofessionals </w:t>
      </w:r>
      <w:r w:rsidRPr="008F7A8B">
        <w:rPr>
          <w:rFonts w:ascii="Arial" w:hAnsi="Arial" w:cs="Arial"/>
          <w:sz w:val="22"/>
        </w:rPr>
        <w:t>then Incentives and Allowances &gt; Practice Incentives Program</w:t>
      </w:r>
    </w:p>
    <w:p w:rsidR="00DA72E9" w:rsidRPr="008F7A8B" w:rsidRDefault="00D64823" w:rsidP="00AC0B3B">
      <w:pPr>
        <w:rPr>
          <w:rFonts w:ascii="Arial" w:hAnsi="Arial" w:cs="Arial"/>
          <w:sz w:val="22"/>
        </w:rPr>
      </w:pPr>
      <w:r w:rsidRPr="008F7A8B">
        <w:rPr>
          <w:rFonts w:ascii="Arial" w:hAnsi="Arial" w:cs="Arial"/>
          <w:sz w:val="22"/>
        </w:rPr>
        <w:t>Email</w:t>
      </w:r>
      <w:r w:rsidR="00583AB9" w:rsidRPr="008F7A8B">
        <w:rPr>
          <w:rFonts w:ascii="Arial" w:hAnsi="Arial" w:cs="Arial"/>
          <w:sz w:val="22"/>
        </w:rPr>
        <w:t>:</w:t>
      </w:r>
      <w:r w:rsidR="00A62BBC" w:rsidRPr="008F7A8B">
        <w:rPr>
          <w:rFonts w:ascii="Arial" w:hAnsi="Arial" w:cs="Arial"/>
          <w:sz w:val="22"/>
        </w:rPr>
        <w:t xml:space="preserve"> </w:t>
      </w:r>
      <w:r w:rsidR="00A62BBC" w:rsidRPr="008F7A8B">
        <w:rPr>
          <w:rFonts w:ascii="Arial" w:hAnsi="Arial" w:cs="Arial"/>
          <w:sz w:val="22"/>
        </w:rPr>
        <w:tab/>
      </w:r>
      <w:r w:rsidRPr="008F7A8B">
        <w:rPr>
          <w:rFonts w:ascii="Arial" w:hAnsi="Arial" w:cs="Arial"/>
          <w:sz w:val="22"/>
        </w:rPr>
        <w:t>pip@humanservices.gov.au</w:t>
      </w:r>
    </w:p>
    <w:p w:rsidR="00DA72E9" w:rsidRPr="008F7A8B" w:rsidRDefault="00D64823" w:rsidP="00AC0B3B">
      <w:pPr>
        <w:rPr>
          <w:rFonts w:ascii="Arial" w:hAnsi="Arial" w:cs="Arial"/>
          <w:sz w:val="22"/>
        </w:rPr>
      </w:pPr>
      <w:r w:rsidRPr="008F7A8B">
        <w:rPr>
          <w:rFonts w:ascii="Arial" w:hAnsi="Arial" w:cs="Arial"/>
          <w:sz w:val="22"/>
        </w:rPr>
        <w:t>Call</w:t>
      </w:r>
      <w:r w:rsidR="00583AB9" w:rsidRPr="008F7A8B">
        <w:rPr>
          <w:rFonts w:ascii="Arial" w:hAnsi="Arial" w:cs="Arial"/>
          <w:sz w:val="22"/>
        </w:rPr>
        <w:t>:</w:t>
      </w:r>
      <w:r w:rsidRPr="008F7A8B">
        <w:rPr>
          <w:rFonts w:ascii="Arial" w:hAnsi="Arial" w:cs="Arial"/>
          <w:sz w:val="22"/>
        </w:rPr>
        <w:tab/>
        <w:t>1800 222 032** between 8.30am to 5.00pm Monday to Friday Australian Central Standard Time.</w:t>
      </w:r>
    </w:p>
    <w:p w:rsidR="00DA72E9" w:rsidRPr="008F7A8B" w:rsidRDefault="00D64823" w:rsidP="00AC0B3B">
      <w:pPr>
        <w:rPr>
          <w:rFonts w:ascii="Arial" w:hAnsi="Arial" w:cs="Arial"/>
          <w:sz w:val="22"/>
        </w:rPr>
      </w:pPr>
      <w:r w:rsidRPr="008F7A8B">
        <w:rPr>
          <w:rFonts w:ascii="Arial" w:hAnsi="Arial" w:cs="Arial"/>
          <w:sz w:val="22"/>
        </w:rPr>
        <w:t>**Call charges apply from mobile and pay phones only.</w:t>
      </w:r>
    </w:p>
    <w:p w:rsidR="00DA72E9" w:rsidRPr="00D60273" w:rsidRDefault="00D64823">
      <w:pPr>
        <w:pStyle w:val="Heading2"/>
        <w:rPr>
          <w:rFonts w:ascii="Arial" w:hAnsi="Arial" w:cs="Arial"/>
          <w:color w:val="auto"/>
          <w:sz w:val="28"/>
        </w:rPr>
      </w:pPr>
      <w:r w:rsidRPr="00D60273">
        <w:rPr>
          <w:rFonts w:ascii="Arial" w:hAnsi="Arial" w:cs="Arial"/>
          <w:color w:val="auto"/>
          <w:sz w:val="28"/>
        </w:rPr>
        <w:t>Disclaimer</w:t>
      </w:r>
    </w:p>
    <w:p w:rsidR="00DA72E9" w:rsidRPr="008F7A8B" w:rsidRDefault="00D64823" w:rsidP="00AC0B3B">
      <w:pPr>
        <w:rPr>
          <w:rFonts w:ascii="Arial" w:hAnsi="Arial" w:cs="Arial"/>
          <w:sz w:val="22"/>
        </w:rPr>
      </w:pPr>
      <w:r w:rsidRPr="008F7A8B">
        <w:rPr>
          <w:rFonts w:ascii="Arial" w:hAnsi="Arial" w:cs="Arial"/>
          <w:sz w:val="22"/>
        </w:rPr>
        <w:t>These guidelines are for information purposes and provide the basis upon which PIP payments are made. While it is intended that the Australian Government will make payments as set out in these guidelines, the making of payments is at its sole discretion. The Australian Government may alter arrangements for the Practice Incentives Program at any time and without notice. The Australian Government does not accept any legal liability or responsibility for any injury, loss or damage incurred by the use of, reliance on, or interpretation of the information provided in these guidelines.</w:t>
      </w:r>
    </w:p>
    <w:p w:rsidR="00AC0B3B" w:rsidRPr="008F7A8B" w:rsidRDefault="00AC0B3B" w:rsidP="00AC0B3B">
      <w:pPr>
        <w:rPr>
          <w:rFonts w:ascii="Arial" w:hAnsi="Arial" w:cs="Arial"/>
          <w:sz w:val="22"/>
        </w:rPr>
      </w:pPr>
    </w:p>
    <w:sectPr w:rsidR="00AC0B3B" w:rsidRPr="008F7A8B" w:rsidSect="00613D8B">
      <w:type w:val="continuous"/>
      <w:pgSz w:w="11906" w:h="16838"/>
      <w:pgMar w:top="1296" w:right="910" w:bottom="1958" w:left="907" w:header="720" w:footer="720" w:gutter="0"/>
      <w:cols w:space="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99" w:rsidRDefault="00EE3C99" w:rsidP="00C71047">
      <w:pPr>
        <w:spacing w:before="0" w:after="0" w:line="240" w:lineRule="auto"/>
      </w:pPr>
      <w:r>
        <w:separator/>
      </w:r>
    </w:p>
  </w:endnote>
  <w:endnote w:type="continuationSeparator" w:id="0">
    <w:p w:rsidR="00EE3C99" w:rsidRDefault="00EE3C99" w:rsidP="00C710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99" w:rsidRDefault="00EE3C99" w:rsidP="00C71047">
      <w:pPr>
        <w:spacing w:before="0" w:after="0" w:line="240" w:lineRule="auto"/>
      </w:pPr>
      <w:r>
        <w:separator/>
      </w:r>
    </w:p>
  </w:footnote>
  <w:footnote w:type="continuationSeparator" w:id="0">
    <w:p w:rsidR="00EE3C99" w:rsidRDefault="00EE3C99" w:rsidP="00C7104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56B1"/>
    <w:multiLevelType w:val="hybridMultilevel"/>
    <w:tmpl w:val="383E24D8"/>
    <w:lvl w:ilvl="0" w:tplc="B8FE7922">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88CEAFF6">
      <w:start w:val="1"/>
      <w:numFmt w:val="bullet"/>
      <w:lvlText w:val="–"/>
      <w:lvlJc w:val="left"/>
      <w:pPr>
        <w:ind w:left="454"/>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EDC683D6">
      <w:start w:val="1"/>
      <w:numFmt w:val="bullet"/>
      <w:lvlText w:val="▪"/>
      <w:lvlJc w:val="left"/>
      <w:pPr>
        <w:ind w:left="13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3ED25E96">
      <w:start w:val="1"/>
      <w:numFmt w:val="bullet"/>
      <w:lvlText w:val="•"/>
      <w:lvlJc w:val="left"/>
      <w:pPr>
        <w:ind w:left="20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3B2EA688">
      <w:start w:val="1"/>
      <w:numFmt w:val="bullet"/>
      <w:lvlText w:val="o"/>
      <w:lvlJc w:val="left"/>
      <w:pPr>
        <w:ind w:left="274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344CC718">
      <w:start w:val="1"/>
      <w:numFmt w:val="bullet"/>
      <w:lvlText w:val="▪"/>
      <w:lvlJc w:val="left"/>
      <w:pPr>
        <w:ind w:left="346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7D7EB83C">
      <w:start w:val="1"/>
      <w:numFmt w:val="bullet"/>
      <w:lvlText w:val="•"/>
      <w:lvlJc w:val="left"/>
      <w:pPr>
        <w:ind w:left="418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4E940D1A">
      <w:start w:val="1"/>
      <w:numFmt w:val="bullet"/>
      <w:lvlText w:val="o"/>
      <w:lvlJc w:val="left"/>
      <w:pPr>
        <w:ind w:left="49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1752FFD4">
      <w:start w:val="1"/>
      <w:numFmt w:val="bullet"/>
      <w:lvlText w:val="▪"/>
      <w:lvlJc w:val="left"/>
      <w:pPr>
        <w:ind w:left="56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1" w15:restartNumberingAfterBreak="0">
    <w:nsid w:val="34F0284F"/>
    <w:multiLevelType w:val="hybridMultilevel"/>
    <w:tmpl w:val="201A02A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3EEB6EC5"/>
    <w:multiLevelType w:val="hybridMultilevel"/>
    <w:tmpl w:val="73B211FC"/>
    <w:lvl w:ilvl="0" w:tplc="6B0C1E94">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5EE28172">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71FE8210">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321831AE">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4B3E162E">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260CE4A2">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ACDAABF8">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F8D6DADC">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BDE0CECE">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 w15:restartNumberingAfterBreak="0">
    <w:nsid w:val="4F8E4739"/>
    <w:multiLevelType w:val="hybridMultilevel"/>
    <w:tmpl w:val="15A23380"/>
    <w:lvl w:ilvl="0" w:tplc="262A6C26">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8FA2BE54">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3A345D9A">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5CE2E594">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175450E0">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140674F4">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4F2A8A4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C436CC5E">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C270C192">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4" w15:restartNumberingAfterBreak="0">
    <w:nsid w:val="5BE23B41"/>
    <w:multiLevelType w:val="hybridMultilevel"/>
    <w:tmpl w:val="BE0C8286"/>
    <w:lvl w:ilvl="0" w:tplc="4A60B142">
      <w:numFmt w:val="bullet"/>
      <w:pStyle w:val="ListParagraph"/>
      <w:lvlText w:val="•"/>
      <w:lvlJc w:val="left"/>
      <w:pPr>
        <w:ind w:left="1429" w:hanging="360"/>
      </w:pPr>
      <w:rPr>
        <w:rFonts w:ascii="Calibri" w:eastAsia="Times New Roman" w:hAnsi="Calibri" w:cs="Times New Roman"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E9"/>
    <w:rsid w:val="001833DD"/>
    <w:rsid w:val="002D4DBE"/>
    <w:rsid w:val="00341DD3"/>
    <w:rsid w:val="0047140A"/>
    <w:rsid w:val="00583AB9"/>
    <w:rsid w:val="00613D8B"/>
    <w:rsid w:val="00804571"/>
    <w:rsid w:val="008F7A8B"/>
    <w:rsid w:val="009C6C12"/>
    <w:rsid w:val="00A62BBC"/>
    <w:rsid w:val="00AC0B3B"/>
    <w:rsid w:val="00C71047"/>
    <w:rsid w:val="00CA6D1C"/>
    <w:rsid w:val="00D60273"/>
    <w:rsid w:val="00D64823"/>
    <w:rsid w:val="00DA72E9"/>
    <w:rsid w:val="00E66A35"/>
    <w:rsid w:val="00EE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3BED4-9770-4CB8-9D5B-92597C58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3B"/>
    <w:pPr>
      <w:spacing w:before="120" w:after="120" w:line="247" w:lineRule="auto"/>
      <w:ind w:left="11" w:right="374" w:hanging="11"/>
    </w:pPr>
    <w:rPr>
      <w:rFonts w:ascii="Calibri" w:eastAsia="Calibri" w:hAnsi="Calibri" w:cs="Calibri"/>
      <w:color w:val="181717"/>
      <w:sz w:val="20"/>
    </w:rPr>
  </w:style>
  <w:style w:type="paragraph" w:styleId="Heading1">
    <w:name w:val="heading 1"/>
    <w:next w:val="Normal"/>
    <w:link w:val="Heading1Char"/>
    <w:autoRedefine/>
    <w:uiPriority w:val="9"/>
    <w:unhideWhenUsed/>
    <w:qFormat/>
    <w:rsid w:val="00AC0B3B"/>
    <w:pPr>
      <w:keepNext/>
      <w:keepLines/>
      <w:spacing w:before="240" w:after="240"/>
      <w:ind w:left="11" w:hanging="11"/>
      <w:outlineLvl w:val="0"/>
    </w:pPr>
    <w:rPr>
      <w:rFonts w:ascii="Times New Roman" w:eastAsia="Times New Roman" w:hAnsi="Times New Roman" w:cs="Times New Roman"/>
      <w:b/>
      <w:sz w:val="30"/>
    </w:rPr>
  </w:style>
  <w:style w:type="paragraph" w:styleId="Heading2">
    <w:name w:val="heading 2"/>
    <w:next w:val="Normal"/>
    <w:link w:val="Heading2Char"/>
    <w:uiPriority w:val="9"/>
    <w:unhideWhenUsed/>
    <w:qFormat/>
    <w:pPr>
      <w:keepNext/>
      <w:keepLines/>
      <w:spacing w:after="94"/>
      <w:outlineLvl w:val="1"/>
    </w:pPr>
    <w:rPr>
      <w:rFonts w:ascii="Calibri" w:eastAsia="Calibri" w:hAnsi="Calibri" w:cs="Calibri"/>
      <w:b/>
      <w:color w:val="005D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5D44"/>
      <w:sz w:val="24"/>
    </w:rPr>
  </w:style>
  <w:style w:type="character" w:customStyle="1" w:styleId="Heading1Char">
    <w:name w:val="Heading 1 Char"/>
    <w:link w:val="Heading1"/>
    <w:uiPriority w:val="9"/>
    <w:rsid w:val="00AC0B3B"/>
    <w:rPr>
      <w:rFonts w:ascii="Times New Roman" w:eastAsia="Times New Roman" w:hAnsi="Times New Roman" w:cs="Times New Roman"/>
      <w:b/>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62BBC"/>
    <w:rPr>
      <w:sz w:val="16"/>
      <w:szCs w:val="16"/>
    </w:rPr>
  </w:style>
  <w:style w:type="paragraph" w:styleId="CommentText">
    <w:name w:val="annotation text"/>
    <w:basedOn w:val="Normal"/>
    <w:link w:val="CommentTextChar"/>
    <w:uiPriority w:val="99"/>
    <w:semiHidden/>
    <w:unhideWhenUsed/>
    <w:rsid w:val="00A62BBC"/>
    <w:pPr>
      <w:spacing w:line="240" w:lineRule="auto"/>
    </w:pPr>
    <w:rPr>
      <w:szCs w:val="20"/>
    </w:rPr>
  </w:style>
  <w:style w:type="character" w:customStyle="1" w:styleId="CommentTextChar">
    <w:name w:val="Comment Text Char"/>
    <w:basedOn w:val="DefaultParagraphFont"/>
    <w:link w:val="CommentText"/>
    <w:uiPriority w:val="99"/>
    <w:semiHidden/>
    <w:rsid w:val="00A62BBC"/>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A62BBC"/>
    <w:rPr>
      <w:b/>
      <w:bCs/>
    </w:rPr>
  </w:style>
  <w:style w:type="character" w:customStyle="1" w:styleId="CommentSubjectChar">
    <w:name w:val="Comment Subject Char"/>
    <w:basedOn w:val="CommentTextChar"/>
    <w:link w:val="CommentSubject"/>
    <w:uiPriority w:val="99"/>
    <w:semiHidden/>
    <w:rsid w:val="00A62BBC"/>
    <w:rPr>
      <w:rFonts w:ascii="Calibri" w:eastAsia="Calibri" w:hAnsi="Calibri" w:cs="Calibri"/>
      <w:b/>
      <w:bCs/>
      <w:color w:val="181717"/>
      <w:sz w:val="20"/>
      <w:szCs w:val="20"/>
    </w:rPr>
  </w:style>
  <w:style w:type="paragraph" w:styleId="BalloonText">
    <w:name w:val="Balloon Text"/>
    <w:basedOn w:val="Normal"/>
    <w:link w:val="BalloonTextChar"/>
    <w:uiPriority w:val="99"/>
    <w:semiHidden/>
    <w:unhideWhenUsed/>
    <w:rsid w:val="00A62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BBC"/>
    <w:rPr>
      <w:rFonts w:ascii="Segoe UI" w:eastAsia="Calibri" w:hAnsi="Segoe UI" w:cs="Segoe UI"/>
      <w:color w:val="181717"/>
      <w:sz w:val="18"/>
      <w:szCs w:val="18"/>
    </w:rPr>
  </w:style>
  <w:style w:type="table" w:styleId="TableGrid0">
    <w:name w:val="Table Grid"/>
    <w:basedOn w:val="TableNormal"/>
    <w:uiPriority w:val="39"/>
    <w:rsid w:val="0061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13D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C0B3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C0B3B"/>
    <w:rPr>
      <w:rFonts w:asciiTheme="majorHAnsi" w:eastAsiaTheme="majorEastAsia" w:hAnsiTheme="majorHAnsi" w:cstheme="majorBidi"/>
      <w:spacing w:val="-10"/>
      <w:kern w:val="28"/>
      <w:sz w:val="56"/>
      <w:szCs w:val="56"/>
    </w:rPr>
  </w:style>
  <w:style w:type="paragraph" w:styleId="ListParagraph">
    <w:name w:val="List Paragraph"/>
    <w:basedOn w:val="Normal"/>
    <w:autoRedefine/>
    <w:uiPriority w:val="34"/>
    <w:qFormat/>
    <w:rsid w:val="00AC0B3B"/>
    <w:pPr>
      <w:numPr>
        <w:numId w:val="5"/>
      </w:numPr>
      <w:ind w:left="360"/>
      <w:contextualSpacing/>
    </w:pPr>
    <w:rPr>
      <w:color w:val="auto"/>
    </w:rPr>
  </w:style>
  <w:style w:type="paragraph" w:styleId="Header">
    <w:name w:val="header"/>
    <w:basedOn w:val="Normal"/>
    <w:link w:val="HeaderChar"/>
    <w:uiPriority w:val="99"/>
    <w:unhideWhenUsed/>
    <w:rsid w:val="00C7104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1047"/>
    <w:rPr>
      <w:rFonts w:ascii="Calibri" w:eastAsia="Calibri" w:hAnsi="Calibri" w:cs="Calibri"/>
      <w:color w:val="181717"/>
      <w:sz w:val="20"/>
    </w:rPr>
  </w:style>
  <w:style w:type="paragraph" w:styleId="Footer">
    <w:name w:val="footer"/>
    <w:basedOn w:val="Normal"/>
    <w:link w:val="FooterChar"/>
    <w:uiPriority w:val="99"/>
    <w:unhideWhenUsed/>
    <w:rsid w:val="00C7104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1047"/>
    <w:rPr>
      <w:rFonts w:ascii="Calibri" w:eastAsia="Calibri" w:hAnsi="Calibri" w:cs="Calibri"/>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Practice Incentives Program Rural Loading Guidelines</vt:lpstr>
    </vt:vector>
  </TitlesOfParts>
  <Company>Australian Government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Incentives Program Rural Loading Guidelines</dc:title>
  <dc:subject>Practice Incentives Program—Rural Loading Guidelines</dc:subject>
  <dc:creator>Department of Human Services</dc:creator>
  <cp:keywords>; 4375.1311</cp:keywords>
  <cp:lastModifiedBy>Strachan, Pam</cp:lastModifiedBy>
  <cp:revision>2</cp:revision>
  <dcterms:created xsi:type="dcterms:W3CDTF">2019-05-02T05:03:00Z</dcterms:created>
  <dcterms:modified xsi:type="dcterms:W3CDTF">2019-05-02T05:03:00Z</dcterms:modified>
</cp:coreProperties>
</file>