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B0" w:rsidRDefault="007B77B0" w:rsidP="007B77B0">
      <w:pPr>
        <w:pStyle w:val="BodyText"/>
      </w:pPr>
      <w:bookmarkStart w:id="0" w:name="_GoBack"/>
      <w:bookmarkEnd w:id="0"/>
      <w:r>
        <w:t>Issue 40</w:t>
      </w:r>
    </w:p>
    <w:p w:rsidR="007B77B0" w:rsidRDefault="007B77B0" w:rsidP="007B77B0">
      <w:pPr>
        <w:pStyle w:val="Heading1"/>
      </w:pPr>
      <w:r>
        <w:t>Australian Pension News</w:t>
      </w:r>
    </w:p>
    <w:p w:rsidR="00000000" w:rsidRPr="007B77B0" w:rsidRDefault="007B77B0" w:rsidP="007B77B0">
      <w:pPr>
        <w:pStyle w:val="Heading2"/>
      </w:pPr>
      <w:r w:rsidRPr="007B77B0">
        <w:t>Doing business with us overseas</w:t>
      </w:r>
    </w:p>
    <w:p w:rsidR="00000000" w:rsidRDefault="007B77B0" w:rsidP="007B77B0">
      <w:pPr>
        <w:pStyle w:val="BodyText"/>
      </w:pPr>
      <w:r>
        <w:t xml:space="preserve">There are many ways for you to do business with us while you’re overseas. You can call us during </w:t>
      </w:r>
      <w:r>
        <w:rPr>
          <w:spacing w:val="-10"/>
        </w:rPr>
        <w:t xml:space="preserve">business hours to talk to a staff member or go online. </w:t>
      </w:r>
    </w:p>
    <w:p w:rsidR="00000000" w:rsidRDefault="007B77B0" w:rsidP="007B77B0">
      <w:pPr>
        <w:pStyle w:val="BodyText"/>
      </w:pPr>
      <w:r>
        <w:t>We know that it’</w:t>
      </w:r>
      <w:r>
        <w:t>s not always easy to call us during business hours due to time differences. We also know that there are some things you can’t do using our online services. This is why we have other ways for you to do business with us.</w:t>
      </w:r>
    </w:p>
    <w:p w:rsidR="00000000" w:rsidRDefault="007B77B0" w:rsidP="007B77B0">
      <w:pPr>
        <w:pStyle w:val="BodyText"/>
      </w:pPr>
      <w:r>
        <w:t>It can be difficult for people outsid</w:t>
      </w:r>
      <w:r>
        <w:t xml:space="preserve">e Australia to provide us with the information we need to assess payments correctly. If you’re overseas, the main way for you to provide information to us is through our forms. </w:t>
      </w:r>
    </w:p>
    <w:p w:rsidR="00000000" w:rsidRPr="007B77B0" w:rsidRDefault="007B77B0" w:rsidP="007B77B0">
      <w:pPr>
        <w:pStyle w:val="BodyText"/>
        <w:rPr>
          <w:b/>
        </w:rPr>
      </w:pPr>
      <w:r>
        <w:t xml:space="preserve">You can find most of the forms you need at </w:t>
      </w:r>
      <w:r w:rsidRPr="007B77B0">
        <w:rPr>
          <w:b/>
        </w:rPr>
        <w:t>humanservices.gov.au/forms</w:t>
      </w:r>
    </w:p>
    <w:p w:rsidR="00000000" w:rsidRDefault="007B77B0" w:rsidP="007B77B0">
      <w:pPr>
        <w:pStyle w:val="BodyText"/>
      </w:pPr>
      <w:r>
        <w:t>For form</w:t>
      </w:r>
      <w:r>
        <w:t xml:space="preserve">s specific to people outside Australia, click on the ‘International forms’ link on the left hand menu. </w:t>
      </w:r>
    </w:p>
    <w:p w:rsidR="00000000" w:rsidRDefault="007B77B0" w:rsidP="007B77B0">
      <w:pPr>
        <w:pStyle w:val="BodyText"/>
      </w:pPr>
      <w:r>
        <w:t xml:space="preserve">You can use these forms to make a claim for a payment or to simply update your details at any time, this includes updating: </w:t>
      </w:r>
    </w:p>
    <w:p w:rsidR="00000000" w:rsidRDefault="007B77B0" w:rsidP="007B77B0">
      <w:pPr>
        <w:pStyle w:val="ListBullet"/>
      </w:pPr>
      <w:r>
        <w:t>bank account details</w:t>
      </w:r>
    </w:p>
    <w:p w:rsidR="00000000" w:rsidRDefault="007B77B0" w:rsidP="007B77B0">
      <w:pPr>
        <w:pStyle w:val="ListBullet"/>
      </w:pPr>
      <w:r>
        <w:t>ch</w:t>
      </w:r>
      <w:r>
        <w:t>anges to your income and assets, and</w:t>
      </w:r>
    </w:p>
    <w:p w:rsidR="00000000" w:rsidRDefault="007B77B0" w:rsidP="007B77B0">
      <w:pPr>
        <w:pStyle w:val="ListBullet"/>
      </w:pPr>
      <w:proofErr w:type="gramStart"/>
      <w:r>
        <w:t>changes</w:t>
      </w:r>
      <w:proofErr w:type="gramEnd"/>
      <w:r>
        <w:t xml:space="preserve"> to your partner’s details. </w:t>
      </w:r>
    </w:p>
    <w:p w:rsidR="00000000" w:rsidRDefault="007B77B0" w:rsidP="007B77B0">
      <w:pPr>
        <w:pStyle w:val="BodyText"/>
      </w:pPr>
      <w:r>
        <w:t>If you’re not looking to make a claim or update your details but you have a general question you can ask us on one of our social media accounts. One of our team members will respond</w:t>
      </w:r>
      <w:r>
        <w:t xml:space="preserve"> to you. Remember to also like and follows us. It’s a great way for you to keep up-to-date with the latest news and information from us.</w:t>
      </w:r>
    </w:p>
    <w:p w:rsidR="00000000" w:rsidRDefault="007B77B0" w:rsidP="007B77B0">
      <w:pPr>
        <w:pStyle w:val="BodyText"/>
        <w:rPr>
          <w:sz w:val="23"/>
          <w:szCs w:val="23"/>
        </w:rPr>
      </w:pPr>
      <w:r>
        <w:t xml:space="preserve">Go to </w:t>
      </w:r>
      <w:r>
        <w:rPr>
          <w:b/>
          <w:bCs/>
        </w:rPr>
        <w:t>humanservices.gov.au/</w:t>
      </w:r>
      <w:proofErr w:type="spellStart"/>
      <w:r>
        <w:rPr>
          <w:b/>
          <w:bCs/>
        </w:rPr>
        <w:t>socialmedia</w:t>
      </w:r>
      <w:proofErr w:type="spellEnd"/>
      <w:r>
        <w:t xml:space="preserve"> to find out more about our different accounts.</w:t>
      </w:r>
    </w:p>
    <w:p w:rsidR="00000000" w:rsidRPr="007B77B0" w:rsidRDefault="007B77B0" w:rsidP="007B77B0">
      <w:pPr>
        <w:pStyle w:val="Heading2"/>
      </w:pPr>
      <w:r w:rsidRPr="007B77B0">
        <w:t>Changes to payments while you are</w:t>
      </w:r>
      <w:r w:rsidRPr="007B77B0">
        <w:t xml:space="preserve"> outside Australia</w:t>
      </w:r>
    </w:p>
    <w:p w:rsidR="00000000" w:rsidRDefault="007B77B0" w:rsidP="007B77B0">
      <w:pPr>
        <w:pStyle w:val="BodyText"/>
      </w:pPr>
      <w:r>
        <w:t>Sometimes there are changes to our payments and services. These may apply to you if you return to Australia.</w:t>
      </w:r>
    </w:p>
    <w:p w:rsidR="00000000" w:rsidRDefault="007B77B0" w:rsidP="007B77B0">
      <w:pPr>
        <w:pStyle w:val="BodyText"/>
      </w:pPr>
      <w:r>
        <w:t xml:space="preserve">If you are thinking about returning to Australia, go to </w:t>
      </w:r>
      <w:r>
        <w:rPr>
          <w:b/>
          <w:bCs/>
        </w:rPr>
        <w:t>humanservices.gov.au/</w:t>
      </w:r>
      <w:proofErr w:type="spellStart"/>
      <w:r>
        <w:rPr>
          <w:b/>
          <w:bCs/>
        </w:rPr>
        <w:t>australiansoverseas</w:t>
      </w:r>
      <w:proofErr w:type="spellEnd"/>
      <w:r>
        <w:t xml:space="preserve"> to see the current rules for yo</w:t>
      </w:r>
      <w:r>
        <w:t>ur payments, including:</w:t>
      </w:r>
    </w:p>
    <w:p w:rsidR="00000000" w:rsidRDefault="007B77B0" w:rsidP="007B77B0">
      <w:pPr>
        <w:pStyle w:val="ListBullet"/>
      </w:pPr>
      <w:r>
        <w:t xml:space="preserve">Age Pension </w:t>
      </w:r>
    </w:p>
    <w:p w:rsidR="00000000" w:rsidRDefault="007B77B0" w:rsidP="007B77B0">
      <w:pPr>
        <w:pStyle w:val="ListBullet"/>
      </w:pPr>
      <w:r>
        <w:t xml:space="preserve">Disability Support Pension </w:t>
      </w:r>
    </w:p>
    <w:p w:rsidR="00000000" w:rsidRDefault="007B77B0" w:rsidP="007B77B0">
      <w:pPr>
        <w:pStyle w:val="ListBullet"/>
      </w:pPr>
      <w:r>
        <w:t xml:space="preserve">Wife Pension, and </w:t>
      </w:r>
    </w:p>
    <w:p w:rsidR="00000000" w:rsidRDefault="007B77B0" w:rsidP="007B77B0">
      <w:pPr>
        <w:pStyle w:val="ListBullet"/>
      </w:pPr>
      <w:r>
        <w:t>Widow Pension.</w:t>
      </w:r>
    </w:p>
    <w:p w:rsidR="00000000" w:rsidRDefault="007B77B0" w:rsidP="007B77B0">
      <w:pPr>
        <w:pStyle w:val="BodyText"/>
      </w:pPr>
      <w:r>
        <w:t xml:space="preserve">Go to </w:t>
      </w:r>
      <w:r w:rsidRPr="007B77B0">
        <w:rPr>
          <w:b/>
        </w:rPr>
        <w:t xml:space="preserve">humanservices.gov.au/budget </w:t>
      </w:r>
      <w:r>
        <w:t xml:space="preserve">to find out about Budget announcements that may affect your payments. </w:t>
      </w:r>
    </w:p>
    <w:p w:rsidR="00000000" w:rsidRDefault="007B77B0" w:rsidP="007B77B0">
      <w:pPr>
        <w:pStyle w:val="BodyText"/>
      </w:pPr>
      <w:r>
        <w:t>Budget measures are subject to passage of l</w:t>
      </w:r>
      <w:r>
        <w:t>egislation. Updates to the webpages may occur regularly, so you should continue to check for any new information that might be of interest.</w:t>
      </w:r>
    </w:p>
    <w:p w:rsidR="00000000" w:rsidRDefault="007B77B0" w:rsidP="007B77B0">
      <w:pPr>
        <w:pStyle w:val="BodyText"/>
      </w:pPr>
      <w:r>
        <w:t>Stay connected with us on social media. Follow Seniors Update on Facebook or Twitter to keep up with the latest depa</w:t>
      </w:r>
      <w:r>
        <w:t xml:space="preserve">rtment news, and have your general questions answered by staff. Go to </w:t>
      </w:r>
      <w:r>
        <w:rPr>
          <w:b/>
          <w:bCs/>
        </w:rPr>
        <w:t>humanservices.gov.au/</w:t>
      </w:r>
      <w:proofErr w:type="spellStart"/>
      <w:r>
        <w:rPr>
          <w:b/>
          <w:bCs/>
        </w:rPr>
        <w:t>socialmedia</w:t>
      </w:r>
      <w:proofErr w:type="spellEnd"/>
      <w:r>
        <w:t xml:space="preserve"> for more information.</w:t>
      </w:r>
    </w:p>
    <w:p w:rsidR="00000000" w:rsidRPr="007B77B0" w:rsidRDefault="007B77B0" w:rsidP="007B77B0">
      <w:pPr>
        <w:pStyle w:val="Heading2"/>
      </w:pPr>
      <w:r w:rsidRPr="007B77B0">
        <w:t>Rates</w:t>
      </w:r>
    </w:p>
    <w:p w:rsidR="00000000" w:rsidRDefault="007B77B0" w:rsidP="007B77B0">
      <w:pPr>
        <w:pStyle w:val="BodyText"/>
      </w:pPr>
      <w:r>
        <w:t>Outside Australia pension rates and thresholds are re-assessed in January, March, July and September each year.</w:t>
      </w:r>
    </w:p>
    <w:p w:rsidR="00000000" w:rsidRPr="007B77B0" w:rsidRDefault="007B77B0" w:rsidP="007B77B0">
      <w:pPr>
        <w:pStyle w:val="Heading3"/>
      </w:pPr>
      <w:r w:rsidRPr="007B77B0">
        <w:t>Rates and thr</w:t>
      </w:r>
      <w:r w:rsidRPr="007B77B0">
        <w:t>esholds</w:t>
      </w:r>
    </w:p>
    <w:p w:rsidR="00000000" w:rsidRDefault="007B77B0" w:rsidP="007B77B0">
      <w:pPr>
        <w:pStyle w:val="BodyText"/>
      </w:pPr>
      <w:r>
        <w:t>These Australian dollar (A$) figures are a guide only and are effective from 20 September 2017 unless otherwise stated.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8"/>
        <w:gridCol w:w="1865"/>
        <w:gridCol w:w="2149"/>
        <w:gridCol w:w="2070"/>
        <w:gridCol w:w="2142"/>
      </w:tblGrid>
      <w:tr w:rsidR="00000000" w:rsidRPr="007B77B0" w:rsidTr="007B77B0">
        <w:tblPrEx>
          <w:tblCellMar>
            <w:top w:w="0" w:type="dxa"/>
            <w:left w:w="0" w:type="dxa"/>
            <w:bottom w:w="0" w:type="dxa"/>
            <w:right w:w="0" w:type="dxa"/>
          </w:tblCellMar>
        </w:tblPrEx>
        <w:trPr>
          <w:trHeight w:val="907"/>
          <w:tblHeader/>
        </w:trPr>
        <w:tc>
          <w:tcPr>
            <w:tcW w:w="1443" w:type="pct"/>
            <w:shd w:val="clear" w:color="auto" w:fill="auto"/>
            <w:tcMar>
              <w:top w:w="113" w:type="dxa"/>
              <w:left w:w="113" w:type="dxa"/>
              <w:bottom w:w="113" w:type="dxa"/>
              <w:right w:w="113" w:type="dxa"/>
            </w:tcMar>
          </w:tcPr>
          <w:p w:rsidR="00000000" w:rsidRPr="007B77B0" w:rsidRDefault="007B77B0" w:rsidP="007B77B0">
            <w:pPr>
              <w:pStyle w:val="BodyText"/>
              <w:rPr>
                <w:b/>
              </w:rPr>
            </w:pPr>
            <w:r w:rsidRPr="007B77B0">
              <w:rPr>
                <w:b/>
              </w:rPr>
              <w:t>Outside Australia pension rates and thresholds</w:t>
            </w:r>
          </w:p>
        </w:tc>
        <w:tc>
          <w:tcPr>
            <w:tcW w:w="806" w:type="pct"/>
            <w:shd w:val="clear" w:color="auto" w:fill="auto"/>
            <w:tcMar>
              <w:top w:w="283" w:type="dxa"/>
              <w:left w:w="113" w:type="dxa"/>
              <w:bottom w:w="113" w:type="dxa"/>
              <w:right w:w="113" w:type="dxa"/>
            </w:tcMar>
          </w:tcPr>
          <w:p w:rsidR="00000000" w:rsidRPr="007B77B0" w:rsidRDefault="007B77B0" w:rsidP="007B77B0">
            <w:pPr>
              <w:pStyle w:val="BodyText"/>
              <w:rPr>
                <w:b/>
              </w:rPr>
            </w:pPr>
            <w:r w:rsidRPr="007B77B0">
              <w:rPr>
                <w:b/>
              </w:rPr>
              <w:t>SINGLE</w:t>
            </w:r>
          </w:p>
        </w:tc>
        <w:tc>
          <w:tcPr>
            <w:tcW w:w="929" w:type="pct"/>
            <w:shd w:val="clear" w:color="auto" w:fill="auto"/>
            <w:tcMar>
              <w:top w:w="113" w:type="dxa"/>
              <w:left w:w="113" w:type="dxa"/>
              <w:bottom w:w="113" w:type="dxa"/>
              <w:right w:w="113" w:type="dxa"/>
            </w:tcMar>
          </w:tcPr>
          <w:p w:rsidR="00000000" w:rsidRPr="007B77B0" w:rsidRDefault="007B77B0" w:rsidP="007B77B0">
            <w:pPr>
              <w:pStyle w:val="BodyText"/>
              <w:rPr>
                <w:b/>
              </w:rPr>
            </w:pPr>
            <w:r w:rsidRPr="007B77B0">
              <w:rPr>
                <w:b/>
              </w:rPr>
              <w:t>COUPLE both eligible</w:t>
            </w:r>
          </w:p>
        </w:tc>
        <w:tc>
          <w:tcPr>
            <w:tcW w:w="895" w:type="pct"/>
            <w:shd w:val="clear" w:color="auto" w:fill="auto"/>
            <w:tcMar>
              <w:top w:w="113" w:type="dxa"/>
              <w:left w:w="113" w:type="dxa"/>
              <w:bottom w:w="113" w:type="dxa"/>
              <w:right w:w="113" w:type="dxa"/>
            </w:tcMar>
          </w:tcPr>
          <w:p w:rsidR="00000000" w:rsidRPr="007B77B0" w:rsidRDefault="007B77B0" w:rsidP="007B77B0">
            <w:pPr>
              <w:pStyle w:val="BodyText"/>
              <w:rPr>
                <w:b/>
              </w:rPr>
            </w:pPr>
            <w:r w:rsidRPr="007B77B0">
              <w:rPr>
                <w:b/>
              </w:rPr>
              <w:t xml:space="preserve">COUPLE </w:t>
            </w:r>
            <w:r w:rsidRPr="007B77B0">
              <w:rPr>
                <w:b/>
              </w:rPr>
              <w:br/>
              <w:t>one eligible partner</w:t>
            </w:r>
          </w:p>
        </w:tc>
        <w:tc>
          <w:tcPr>
            <w:tcW w:w="926" w:type="pct"/>
            <w:shd w:val="clear" w:color="auto" w:fill="auto"/>
            <w:tcMar>
              <w:top w:w="113" w:type="dxa"/>
              <w:left w:w="113" w:type="dxa"/>
              <w:bottom w:w="113" w:type="dxa"/>
              <w:right w:w="113" w:type="dxa"/>
            </w:tcMar>
          </w:tcPr>
          <w:p w:rsidR="00000000" w:rsidRPr="007B77B0" w:rsidRDefault="007B77B0" w:rsidP="007B77B0">
            <w:pPr>
              <w:pStyle w:val="BodyText"/>
              <w:rPr>
                <w:b/>
              </w:rPr>
            </w:pPr>
            <w:r w:rsidRPr="007B77B0">
              <w:rPr>
                <w:b/>
              </w:rPr>
              <w:t>COUPLE separated due to ill health</w:t>
            </w:r>
          </w:p>
        </w:tc>
      </w:tr>
      <w:tr w:rsidR="00000000" w:rsidTr="007B77B0">
        <w:tblPrEx>
          <w:tblCellMar>
            <w:top w:w="0" w:type="dxa"/>
            <w:left w:w="0" w:type="dxa"/>
            <w:bottom w:w="0" w:type="dxa"/>
            <w:right w:w="0" w:type="dxa"/>
          </w:tblCellMar>
        </w:tblPrEx>
        <w:trPr>
          <w:trHeight w:val="453"/>
        </w:trPr>
        <w:tc>
          <w:tcPr>
            <w:tcW w:w="1443" w:type="pct"/>
            <w:shd w:val="clear" w:color="auto" w:fill="auto"/>
            <w:tcMar>
              <w:top w:w="113" w:type="dxa"/>
              <w:left w:w="113" w:type="dxa"/>
              <w:bottom w:w="113" w:type="dxa"/>
              <w:right w:w="113" w:type="dxa"/>
            </w:tcMar>
          </w:tcPr>
          <w:p w:rsidR="00000000" w:rsidRPr="007B77B0" w:rsidRDefault="007B77B0" w:rsidP="007B77B0">
            <w:pPr>
              <w:pStyle w:val="BodyText"/>
            </w:pPr>
            <w:r w:rsidRPr="007B77B0">
              <w:t>How much pension</w:t>
            </w:r>
            <w:r w:rsidRPr="007B77B0">
              <w:rPr>
                <w:spacing w:val="-32"/>
                <w:vertAlign w:val="superscript"/>
              </w:rPr>
              <w:t>1, 2, 3</w:t>
            </w:r>
          </w:p>
        </w:tc>
        <w:tc>
          <w:tcPr>
            <w:tcW w:w="806" w:type="pct"/>
            <w:shd w:val="clear" w:color="auto" w:fill="auto"/>
            <w:tcMar>
              <w:top w:w="113" w:type="dxa"/>
              <w:left w:w="113" w:type="dxa"/>
              <w:bottom w:w="113" w:type="dxa"/>
              <w:right w:w="113" w:type="dxa"/>
            </w:tcMar>
          </w:tcPr>
          <w:p w:rsidR="00000000" w:rsidRPr="007B77B0" w:rsidRDefault="007B77B0" w:rsidP="007B77B0">
            <w:pPr>
              <w:pStyle w:val="BodyText"/>
            </w:pPr>
            <w:r w:rsidRPr="007B77B0">
              <w:t>Per year</w:t>
            </w:r>
          </w:p>
        </w:tc>
        <w:tc>
          <w:tcPr>
            <w:tcW w:w="929" w:type="pct"/>
            <w:shd w:val="clear" w:color="auto" w:fill="auto"/>
            <w:tcMar>
              <w:top w:w="113" w:type="dxa"/>
              <w:left w:w="113" w:type="dxa"/>
              <w:bottom w:w="113" w:type="dxa"/>
              <w:right w:w="113" w:type="dxa"/>
            </w:tcMar>
          </w:tcPr>
          <w:p w:rsidR="00000000" w:rsidRPr="007B77B0" w:rsidRDefault="007B77B0" w:rsidP="007B77B0">
            <w:pPr>
              <w:pStyle w:val="BodyText"/>
            </w:pPr>
            <w:r w:rsidRPr="007B77B0">
              <w:t>Per year</w:t>
            </w:r>
          </w:p>
        </w:tc>
        <w:tc>
          <w:tcPr>
            <w:tcW w:w="895" w:type="pct"/>
            <w:shd w:val="clear" w:color="auto" w:fill="auto"/>
            <w:tcMar>
              <w:top w:w="113" w:type="dxa"/>
              <w:left w:w="113" w:type="dxa"/>
              <w:bottom w:w="113" w:type="dxa"/>
              <w:right w:w="113" w:type="dxa"/>
            </w:tcMar>
          </w:tcPr>
          <w:p w:rsidR="00000000" w:rsidRPr="007B77B0" w:rsidRDefault="007B77B0" w:rsidP="007B77B0">
            <w:pPr>
              <w:pStyle w:val="BodyText"/>
            </w:pPr>
            <w:r w:rsidRPr="007B77B0">
              <w:t>Per year</w:t>
            </w:r>
          </w:p>
        </w:tc>
        <w:tc>
          <w:tcPr>
            <w:tcW w:w="926" w:type="pct"/>
            <w:shd w:val="clear" w:color="auto" w:fill="auto"/>
            <w:tcMar>
              <w:top w:w="113" w:type="dxa"/>
              <w:left w:w="113" w:type="dxa"/>
              <w:bottom w:w="113" w:type="dxa"/>
              <w:right w:w="113" w:type="dxa"/>
            </w:tcMar>
          </w:tcPr>
          <w:p w:rsidR="00000000" w:rsidRPr="007B77B0" w:rsidRDefault="007B77B0" w:rsidP="007B77B0">
            <w:pPr>
              <w:pStyle w:val="BodyText"/>
            </w:pPr>
            <w:r w:rsidRPr="007B77B0">
              <w:t>Per year each</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Default="007B77B0" w:rsidP="007B77B0">
            <w:pPr>
              <w:pStyle w:val="BodyText"/>
            </w:pPr>
            <w:r>
              <w:t>Maximum basic rate</w:t>
            </w:r>
          </w:p>
        </w:tc>
        <w:tc>
          <w:tcPr>
            <w:tcW w:w="806" w:type="pct"/>
            <w:shd w:val="clear" w:color="auto" w:fill="auto"/>
            <w:tcMar>
              <w:top w:w="113" w:type="dxa"/>
              <w:left w:w="113" w:type="dxa"/>
              <w:bottom w:w="113" w:type="dxa"/>
              <w:right w:w="113" w:type="dxa"/>
            </w:tcMar>
          </w:tcPr>
          <w:p w:rsidR="00000000" w:rsidRDefault="007B77B0" w:rsidP="007B77B0">
            <w:pPr>
              <w:pStyle w:val="BodyText"/>
            </w:pPr>
            <w:r>
              <w:t xml:space="preserve">A$ 21,164 </w:t>
            </w:r>
          </w:p>
        </w:tc>
        <w:tc>
          <w:tcPr>
            <w:tcW w:w="929" w:type="pct"/>
            <w:shd w:val="clear" w:color="auto" w:fill="auto"/>
            <w:tcMar>
              <w:top w:w="113" w:type="dxa"/>
              <w:left w:w="113" w:type="dxa"/>
              <w:bottom w:w="113" w:type="dxa"/>
              <w:right w:w="113" w:type="dxa"/>
            </w:tcMar>
          </w:tcPr>
          <w:p w:rsidR="00000000" w:rsidRDefault="007B77B0" w:rsidP="007B77B0">
            <w:pPr>
              <w:pStyle w:val="BodyText"/>
            </w:pPr>
            <w:r>
              <w:t xml:space="preserve">A$ 31,907.20 </w:t>
            </w:r>
          </w:p>
        </w:tc>
        <w:tc>
          <w:tcPr>
            <w:tcW w:w="895" w:type="pct"/>
            <w:shd w:val="clear" w:color="auto" w:fill="auto"/>
            <w:tcMar>
              <w:top w:w="113" w:type="dxa"/>
              <w:left w:w="113" w:type="dxa"/>
              <w:bottom w:w="113" w:type="dxa"/>
              <w:right w:w="113" w:type="dxa"/>
            </w:tcMar>
          </w:tcPr>
          <w:p w:rsidR="00000000" w:rsidRDefault="007B77B0" w:rsidP="007B77B0">
            <w:pPr>
              <w:pStyle w:val="BodyText"/>
            </w:pPr>
            <w:r>
              <w:t xml:space="preserve">A$ 15,953.60 </w:t>
            </w:r>
          </w:p>
        </w:tc>
        <w:tc>
          <w:tcPr>
            <w:tcW w:w="926" w:type="pct"/>
            <w:shd w:val="clear" w:color="auto" w:fill="auto"/>
            <w:tcMar>
              <w:top w:w="113" w:type="dxa"/>
              <w:left w:w="113" w:type="dxa"/>
              <w:bottom w:w="113" w:type="dxa"/>
              <w:right w:w="113" w:type="dxa"/>
            </w:tcMar>
          </w:tcPr>
          <w:p w:rsidR="00000000" w:rsidRDefault="007B77B0" w:rsidP="007B77B0">
            <w:pPr>
              <w:pStyle w:val="BodyText"/>
            </w:pPr>
            <w:r>
              <w:t xml:space="preserve">A$ 21,164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Default="007B77B0" w:rsidP="007B77B0">
            <w:pPr>
              <w:pStyle w:val="BodyText"/>
            </w:pPr>
            <w:r>
              <w:t>Basic Pension Supplement</w:t>
            </w:r>
          </w:p>
        </w:tc>
        <w:tc>
          <w:tcPr>
            <w:tcW w:w="806" w:type="pct"/>
            <w:shd w:val="clear" w:color="auto" w:fill="auto"/>
            <w:tcMar>
              <w:top w:w="113" w:type="dxa"/>
              <w:left w:w="113" w:type="dxa"/>
              <w:bottom w:w="113" w:type="dxa"/>
              <w:right w:w="113" w:type="dxa"/>
            </w:tcMar>
          </w:tcPr>
          <w:p w:rsidR="00000000" w:rsidRDefault="007B77B0" w:rsidP="007B77B0">
            <w:pPr>
              <w:pStyle w:val="BodyText"/>
            </w:pPr>
            <w:r>
              <w:t xml:space="preserve">A$ 600.60 </w:t>
            </w:r>
          </w:p>
        </w:tc>
        <w:tc>
          <w:tcPr>
            <w:tcW w:w="929" w:type="pct"/>
            <w:shd w:val="clear" w:color="auto" w:fill="auto"/>
            <w:tcMar>
              <w:top w:w="113" w:type="dxa"/>
              <w:left w:w="113" w:type="dxa"/>
              <w:bottom w:w="113" w:type="dxa"/>
              <w:right w:w="113" w:type="dxa"/>
            </w:tcMar>
          </w:tcPr>
          <w:p w:rsidR="00000000" w:rsidRDefault="007B77B0" w:rsidP="007B77B0">
            <w:pPr>
              <w:pStyle w:val="BodyText"/>
            </w:pPr>
            <w:r>
              <w:t xml:space="preserve">A$ 988 </w:t>
            </w:r>
          </w:p>
        </w:tc>
        <w:tc>
          <w:tcPr>
            <w:tcW w:w="895" w:type="pct"/>
            <w:shd w:val="clear" w:color="auto" w:fill="auto"/>
            <w:tcMar>
              <w:top w:w="113" w:type="dxa"/>
              <w:left w:w="113" w:type="dxa"/>
              <w:bottom w:w="113" w:type="dxa"/>
              <w:right w:w="113" w:type="dxa"/>
            </w:tcMar>
          </w:tcPr>
          <w:p w:rsidR="00000000" w:rsidRDefault="007B77B0" w:rsidP="007B77B0">
            <w:pPr>
              <w:pStyle w:val="BodyText"/>
            </w:pPr>
            <w:r>
              <w:t xml:space="preserve">A$ 494 </w:t>
            </w:r>
          </w:p>
        </w:tc>
        <w:tc>
          <w:tcPr>
            <w:tcW w:w="926" w:type="pct"/>
            <w:shd w:val="clear" w:color="auto" w:fill="auto"/>
            <w:tcMar>
              <w:top w:w="113" w:type="dxa"/>
              <w:left w:w="113" w:type="dxa"/>
              <w:bottom w:w="113" w:type="dxa"/>
              <w:right w:w="113" w:type="dxa"/>
            </w:tcMar>
          </w:tcPr>
          <w:p w:rsidR="00000000" w:rsidRDefault="007B77B0" w:rsidP="007B77B0">
            <w:pPr>
              <w:pStyle w:val="BodyText"/>
            </w:pPr>
            <w:r>
              <w:t xml:space="preserve">A$ 600.60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Pr="007B77B0" w:rsidRDefault="007B77B0" w:rsidP="007B77B0">
            <w:pPr>
              <w:pStyle w:val="BodyText"/>
            </w:pPr>
            <w:r w:rsidRPr="007B77B0">
              <w:t>Total</w:t>
            </w:r>
          </w:p>
        </w:tc>
        <w:tc>
          <w:tcPr>
            <w:tcW w:w="806" w:type="pct"/>
            <w:shd w:val="clear" w:color="auto" w:fill="auto"/>
            <w:tcMar>
              <w:top w:w="113" w:type="dxa"/>
              <w:left w:w="57" w:type="dxa"/>
              <w:bottom w:w="113" w:type="dxa"/>
              <w:right w:w="113" w:type="dxa"/>
            </w:tcMar>
          </w:tcPr>
          <w:p w:rsidR="00000000" w:rsidRPr="007B77B0" w:rsidRDefault="007B77B0" w:rsidP="007B77B0">
            <w:pPr>
              <w:pStyle w:val="BodyText"/>
            </w:pPr>
            <w:r w:rsidRPr="007B77B0">
              <w:t xml:space="preserve">A$ 21,764.60 </w:t>
            </w:r>
          </w:p>
        </w:tc>
        <w:tc>
          <w:tcPr>
            <w:tcW w:w="929" w:type="pct"/>
            <w:shd w:val="clear" w:color="auto" w:fill="auto"/>
            <w:tcMar>
              <w:top w:w="113" w:type="dxa"/>
              <w:left w:w="113" w:type="dxa"/>
              <w:bottom w:w="113" w:type="dxa"/>
              <w:right w:w="113" w:type="dxa"/>
            </w:tcMar>
          </w:tcPr>
          <w:p w:rsidR="00000000" w:rsidRPr="007B77B0" w:rsidRDefault="007B77B0" w:rsidP="007B77B0">
            <w:pPr>
              <w:pStyle w:val="BodyText"/>
            </w:pPr>
            <w:r w:rsidRPr="007B77B0">
              <w:t xml:space="preserve">A$ 32,895.20 </w:t>
            </w:r>
          </w:p>
        </w:tc>
        <w:tc>
          <w:tcPr>
            <w:tcW w:w="895" w:type="pct"/>
            <w:shd w:val="clear" w:color="auto" w:fill="auto"/>
            <w:tcMar>
              <w:top w:w="113" w:type="dxa"/>
              <w:left w:w="113" w:type="dxa"/>
              <w:bottom w:w="113" w:type="dxa"/>
              <w:right w:w="113" w:type="dxa"/>
            </w:tcMar>
          </w:tcPr>
          <w:p w:rsidR="00000000" w:rsidRPr="007B77B0" w:rsidRDefault="007B77B0" w:rsidP="007B77B0">
            <w:pPr>
              <w:pStyle w:val="BodyText"/>
            </w:pPr>
            <w:r w:rsidRPr="007B77B0">
              <w:t xml:space="preserve">A$ 16,447.60 </w:t>
            </w:r>
          </w:p>
        </w:tc>
        <w:tc>
          <w:tcPr>
            <w:tcW w:w="926" w:type="pct"/>
            <w:shd w:val="clear" w:color="auto" w:fill="auto"/>
            <w:tcMar>
              <w:top w:w="113" w:type="dxa"/>
              <w:left w:w="113" w:type="dxa"/>
              <w:bottom w:w="113" w:type="dxa"/>
              <w:right w:w="113" w:type="dxa"/>
            </w:tcMar>
          </w:tcPr>
          <w:p w:rsidR="00000000" w:rsidRPr="007B77B0" w:rsidRDefault="007B77B0" w:rsidP="007B77B0">
            <w:pPr>
              <w:pStyle w:val="BodyText"/>
            </w:pPr>
            <w:r w:rsidRPr="007B77B0">
              <w:t xml:space="preserve">A$ 21,764.60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Pr="007B77B0" w:rsidRDefault="007B77B0" w:rsidP="007B77B0">
            <w:pPr>
              <w:pStyle w:val="BodyText"/>
            </w:pPr>
            <w:r w:rsidRPr="007B77B0">
              <w:t>Allowable Income</w:t>
            </w:r>
            <w:r w:rsidRPr="007B77B0">
              <w:rPr>
                <w:spacing w:val="-32"/>
                <w:vertAlign w:val="superscript"/>
              </w:rPr>
              <w:t>4</w:t>
            </w:r>
          </w:p>
        </w:tc>
        <w:tc>
          <w:tcPr>
            <w:tcW w:w="806" w:type="pct"/>
            <w:shd w:val="clear" w:color="auto" w:fill="auto"/>
            <w:tcMar>
              <w:top w:w="113" w:type="dxa"/>
              <w:left w:w="113" w:type="dxa"/>
              <w:bottom w:w="113" w:type="dxa"/>
              <w:right w:w="113" w:type="dxa"/>
            </w:tcMar>
          </w:tcPr>
          <w:p w:rsidR="00000000" w:rsidRPr="007B77B0" w:rsidRDefault="007B77B0" w:rsidP="007B77B0">
            <w:pPr>
              <w:pStyle w:val="BodyText"/>
            </w:pPr>
            <w:r w:rsidRPr="007B77B0">
              <w:t>Per year</w:t>
            </w:r>
          </w:p>
        </w:tc>
        <w:tc>
          <w:tcPr>
            <w:tcW w:w="929"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c>
          <w:tcPr>
            <w:tcW w:w="895"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c>
          <w:tcPr>
            <w:tcW w:w="926"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r>
      <w:tr w:rsidR="00000000" w:rsidTr="007B77B0">
        <w:tblPrEx>
          <w:tblCellMar>
            <w:top w:w="0" w:type="dxa"/>
            <w:left w:w="0" w:type="dxa"/>
            <w:bottom w:w="0" w:type="dxa"/>
            <w:right w:w="0" w:type="dxa"/>
          </w:tblCellMar>
        </w:tblPrEx>
        <w:trPr>
          <w:trHeight w:val="639"/>
        </w:trPr>
        <w:tc>
          <w:tcPr>
            <w:tcW w:w="1443" w:type="pct"/>
            <w:shd w:val="clear" w:color="auto" w:fill="auto"/>
            <w:tcMar>
              <w:top w:w="113" w:type="dxa"/>
              <w:left w:w="113" w:type="dxa"/>
              <w:bottom w:w="113" w:type="dxa"/>
              <w:right w:w="113" w:type="dxa"/>
            </w:tcMar>
          </w:tcPr>
          <w:p w:rsidR="00000000" w:rsidRDefault="007B77B0" w:rsidP="007B77B0">
            <w:pPr>
              <w:pStyle w:val="BodyText"/>
            </w:pPr>
            <w:r>
              <w:t>Full pension</w:t>
            </w:r>
          </w:p>
        </w:tc>
        <w:tc>
          <w:tcPr>
            <w:tcW w:w="806" w:type="pct"/>
            <w:shd w:val="clear" w:color="auto" w:fill="auto"/>
            <w:tcMar>
              <w:top w:w="113" w:type="dxa"/>
              <w:left w:w="113" w:type="dxa"/>
              <w:bottom w:w="113" w:type="dxa"/>
              <w:right w:w="113" w:type="dxa"/>
            </w:tcMar>
          </w:tcPr>
          <w:p w:rsidR="00000000" w:rsidRDefault="007B77B0" w:rsidP="007B77B0">
            <w:pPr>
              <w:pStyle w:val="BodyText"/>
            </w:pPr>
            <w:r>
              <w:t>Up to</w:t>
            </w:r>
            <w:r>
              <w:br/>
              <w:t xml:space="preserve">A$ 4,368 </w:t>
            </w:r>
          </w:p>
        </w:tc>
        <w:tc>
          <w:tcPr>
            <w:tcW w:w="929" w:type="pct"/>
            <w:shd w:val="clear" w:color="auto" w:fill="auto"/>
            <w:tcMar>
              <w:top w:w="113" w:type="dxa"/>
              <w:left w:w="113" w:type="dxa"/>
              <w:bottom w:w="113" w:type="dxa"/>
              <w:right w:w="113" w:type="dxa"/>
            </w:tcMar>
          </w:tcPr>
          <w:p w:rsidR="00000000" w:rsidRDefault="007B77B0" w:rsidP="007B77B0">
            <w:pPr>
              <w:pStyle w:val="BodyText"/>
            </w:pPr>
            <w:r>
              <w:t>Up to</w:t>
            </w:r>
            <w:r>
              <w:br/>
              <w:t xml:space="preserve">A$ 7,800 </w:t>
            </w:r>
          </w:p>
        </w:tc>
        <w:tc>
          <w:tcPr>
            <w:tcW w:w="895" w:type="pct"/>
            <w:shd w:val="clear" w:color="auto" w:fill="auto"/>
            <w:tcMar>
              <w:top w:w="113" w:type="dxa"/>
              <w:left w:w="113" w:type="dxa"/>
              <w:bottom w:w="113" w:type="dxa"/>
              <w:right w:w="113" w:type="dxa"/>
            </w:tcMar>
          </w:tcPr>
          <w:p w:rsidR="00000000" w:rsidRDefault="007B77B0" w:rsidP="007B77B0">
            <w:pPr>
              <w:pStyle w:val="BodyText"/>
            </w:pPr>
            <w:r>
              <w:t>Up to</w:t>
            </w:r>
            <w:r>
              <w:br/>
              <w:t xml:space="preserve">A$ 7,800 </w:t>
            </w:r>
          </w:p>
        </w:tc>
        <w:tc>
          <w:tcPr>
            <w:tcW w:w="926" w:type="pct"/>
            <w:shd w:val="clear" w:color="auto" w:fill="auto"/>
            <w:tcMar>
              <w:top w:w="113" w:type="dxa"/>
              <w:left w:w="113" w:type="dxa"/>
              <w:bottom w:w="113" w:type="dxa"/>
              <w:right w:w="113" w:type="dxa"/>
            </w:tcMar>
          </w:tcPr>
          <w:p w:rsidR="00000000" w:rsidRDefault="007B77B0" w:rsidP="007B77B0">
            <w:pPr>
              <w:pStyle w:val="BodyText"/>
            </w:pPr>
            <w:r>
              <w:t>Up to</w:t>
            </w:r>
            <w:r>
              <w:br/>
              <w:t>A$ 7,800</w:t>
            </w:r>
          </w:p>
        </w:tc>
      </w:tr>
      <w:tr w:rsidR="00000000" w:rsidTr="007B77B0">
        <w:tblPrEx>
          <w:tblCellMar>
            <w:top w:w="0" w:type="dxa"/>
            <w:left w:w="0" w:type="dxa"/>
            <w:bottom w:w="0" w:type="dxa"/>
            <w:right w:w="0" w:type="dxa"/>
          </w:tblCellMar>
        </w:tblPrEx>
        <w:trPr>
          <w:trHeight w:val="704"/>
        </w:trPr>
        <w:tc>
          <w:tcPr>
            <w:tcW w:w="1443" w:type="pct"/>
            <w:shd w:val="clear" w:color="auto" w:fill="auto"/>
            <w:tcMar>
              <w:top w:w="113" w:type="dxa"/>
              <w:left w:w="113" w:type="dxa"/>
              <w:bottom w:w="113" w:type="dxa"/>
              <w:right w:w="113" w:type="dxa"/>
            </w:tcMar>
          </w:tcPr>
          <w:p w:rsidR="00000000" w:rsidRDefault="007B77B0" w:rsidP="007B77B0">
            <w:pPr>
              <w:pStyle w:val="BodyText"/>
            </w:pPr>
            <w:r>
              <w:t>Part pension</w:t>
            </w:r>
          </w:p>
        </w:tc>
        <w:tc>
          <w:tcPr>
            <w:tcW w:w="80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A$ 47,897.20 </w:t>
            </w:r>
          </w:p>
        </w:tc>
        <w:tc>
          <w:tcPr>
            <w:tcW w:w="929"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A$ 73,590.40 </w:t>
            </w:r>
          </w:p>
        </w:tc>
        <w:tc>
          <w:tcPr>
            <w:tcW w:w="895" w:type="pct"/>
            <w:shd w:val="clear" w:color="auto" w:fill="auto"/>
            <w:tcMar>
              <w:top w:w="113" w:type="dxa"/>
              <w:left w:w="113" w:type="dxa"/>
              <w:bottom w:w="113" w:type="dxa"/>
              <w:right w:w="113" w:type="dxa"/>
            </w:tcMar>
          </w:tcPr>
          <w:p w:rsidR="00000000" w:rsidRDefault="007B77B0" w:rsidP="007B77B0">
            <w:pPr>
              <w:pStyle w:val="BodyText"/>
            </w:pPr>
            <w:r>
              <w:t>Less than</w:t>
            </w:r>
            <w:r>
              <w:br/>
            </w:r>
            <w:r>
              <w:t xml:space="preserve">A$ 73,590.40 </w:t>
            </w:r>
          </w:p>
        </w:tc>
        <w:tc>
          <w:tcPr>
            <w:tcW w:w="92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A$ 94,858.40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Pr="007B77B0" w:rsidRDefault="007B77B0" w:rsidP="007B77B0">
            <w:pPr>
              <w:pStyle w:val="BodyText"/>
            </w:pPr>
            <w:r w:rsidRPr="007B77B0">
              <w:t>Allowable Assets</w:t>
            </w:r>
            <w:r w:rsidRPr="007B77B0">
              <w:rPr>
                <w:spacing w:val="-32"/>
                <w:vertAlign w:val="superscript"/>
              </w:rPr>
              <w:t>5</w:t>
            </w:r>
          </w:p>
        </w:tc>
        <w:tc>
          <w:tcPr>
            <w:tcW w:w="806" w:type="pct"/>
            <w:shd w:val="clear" w:color="auto" w:fill="auto"/>
            <w:tcMar>
              <w:top w:w="113" w:type="dxa"/>
              <w:left w:w="113" w:type="dxa"/>
              <w:bottom w:w="113" w:type="dxa"/>
              <w:right w:w="113" w:type="dxa"/>
            </w:tcMar>
          </w:tcPr>
          <w:p w:rsidR="00000000" w:rsidRPr="007B77B0" w:rsidRDefault="007B77B0" w:rsidP="007B77B0">
            <w:pPr>
              <w:pStyle w:val="BodyText"/>
            </w:pPr>
            <w:r w:rsidRPr="007B77B0">
              <w:t>Single</w:t>
            </w:r>
          </w:p>
        </w:tc>
        <w:tc>
          <w:tcPr>
            <w:tcW w:w="929"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c>
          <w:tcPr>
            <w:tcW w:w="895"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c>
          <w:tcPr>
            <w:tcW w:w="926" w:type="pct"/>
            <w:shd w:val="clear" w:color="auto" w:fill="auto"/>
            <w:tcMar>
              <w:top w:w="113" w:type="dxa"/>
              <w:left w:w="113" w:type="dxa"/>
              <w:bottom w:w="113" w:type="dxa"/>
              <w:right w:w="113" w:type="dxa"/>
            </w:tcMar>
          </w:tcPr>
          <w:p w:rsidR="00000000" w:rsidRPr="007B77B0" w:rsidRDefault="007B77B0" w:rsidP="007B77B0">
            <w:pPr>
              <w:pStyle w:val="BodyText"/>
            </w:pPr>
            <w:r w:rsidRPr="007B77B0">
              <w:t>Combined</w:t>
            </w:r>
          </w:p>
        </w:tc>
      </w:tr>
      <w:tr w:rsidR="00000000" w:rsidTr="007B77B0">
        <w:tblPrEx>
          <w:tblCellMar>
            <w:top w:w="0" w:type="dxa"/>
            <w:left w:w="0" w:type="dxa"/>
            <w:bottom w:w="0" w:type="dxa"/>
            <w:right w:w="0" w:type="dxa"/>
          </w:tblCellMar>
        </w:tblPrEx>
        <w:trPr>
          <w:trHeight w:val="639"/>
        </w:trPr>
        <w:tc>
          <w:tcPr>
            <w:tcW w:w="1443" w:type="pct"/>
            <w:shd w:val="clear" w:color="auto" w:fill="auto"/>
            <w:tcMar>
              <w:top w:w="113" w:type="dxa"/>
              <w:left w:w="113" w:type="dxa"/>
              <w:bottom w:w="113" w:type="dxa"/>
              <w:right w:w="113" w:type="dxa"/>
            </w:tcMar>
          </w:tcPr>
          <w:p w:rsidR="00000000" w:rsidRDefault="007B77B0" w:rsidP="007B77B0">
            <w:pPr>
              <w:pStyle w:val="BodyText"/>
            </w:pPr>
            <w:r>
              <w:t>Full pension—</w:t>
            </w:r>
            <w:r>
              <w:br/>
              <w:t>Homeowner</w:t>
            </w:r>
          </w:p>
        </w:tc>
        <w:tc>
          <w:tcPr>
            <w:tcW w:w="806" w:type="pct"/>
            <w:shd w:val="clear" w:color="auto" w:fill="auto"/>
            <w:tcMar>
              <w:top w:w="113" w:type="dxa"/>
              <w:left w:w="113" w:type="dxa"/>
              <w:bottom w:w="113" w:type="dxa"/>
              <w:right w:w="113" w:type="dxa"/>
            </w:tcMar>
          </w:tcPr>
          <w:p w:rsidR="00000000" w:rsidRDefault="007B77B0" w:rsidP="007B77B0">
            <w:pPr>
              <w:pStyle w:val="BodyText"/>
            </w:pPr>
            <w:r>
              <w:t>A$ 253,750</w:t>
            </w:r>
          </w:p>
        </w:tc>
        <w:tc>
          <w:tcPr>
            <w:tcW w:w="929" w:type="pct"/>
            <w:shd w:val="clear" w:color="auto" w:fill="auto"/>
            <w:tcMar>
              <w:top w:w="113" w:type="dxa"/>
              <w:left w:w="113" w:type="dxa"/>
              <w:bottom w:w="113" w:type="dxa"/>
              <w:right w:w="113" w:type="dxa"/>
            </w:tcMar>
          </w:tcPr>
          <w:p w:rsidR="00000000" w:rsidRDefault="007B77B0" w:rsidP="007B77B0">
            <w:pPr>
              <w:pStyle w:val="BodyText"/>
            </w:pPr>
            <w:r>
              <w:t>A$ 380,500</w:t>
            </w:r>
          </w:p>
        </w:tc>
        <w:tc>
          <w:tcPr>
            <w:tcW w:w="895" w:type="pct"/>
            <w:shd w:val="clear" w:color="auto" w:fill="auto"/>
            <w:tcMar>
              <w:top w:w="113" w:type="dxa"/>
              <w:left w:w="113" w:type="dxa"/>
              <w:bottom w:w="113" w:type="dxa"/>
              <w:right w:w="113" w:type="dxa"/>
            </w:tcMar>
          </w:tcPr>
          <w:p w:rsidR="00000000" w:rsidRDefault="007B77B0" w:rsidP="007B77B0">
            <w:pPr>
              <w:pStyle w:val="BodyText"/>
            </w:pPr>
            <w:r>
              <w:t>A$ 380,500</w:t>
            </w:r>
          </w:p>
        </w:tc>
        <w:tc>
          <w:tcPr>
            <w:tcW w:w="926" w:type="pct"/>
            <w:shd w:val="clear" w:color="auto" w:fill="auto"/>
            <w:tcMar>
              <w:top w:w="113" w:type="dxa"/>
              <w:left w:w="113" w:type="dxa"/>
              <w:bottom w:w="113" w:type="dxa"/>
              <w:right w:w="113" w:type="dxa"/>
            </w:tcMar>
          </w:tcPr>
          <w:p w:rsidR="00000000" w:rsidRDefault="007B77B0" w:rsidP="007B77B0">
            <w:pPr>
              <w:pStyle w:val="BodyText"/>
            </w:pPr>
            <w:r>
              <w:t>A$ 380,500</w:t>
            </w:r>
          </w:p>
        </w:tc>
      </w:tr>
      <w:tr w:rsidR="00000000" w:rsidTr="007B77B0">
        <w:tblPrEx>
          <w:tblCellMar>
            <w:top w:w="0" w:type="dxa"/>
            <w:left w:w="0" w:type="dxa"/>
            <w:bottom w:w="0" w:type="dxa"/>
            <w:right w:w="0" w:type="dxa"/>
          </w:tblCellMar>
        </w:tblPrEx>
        <w:trPr>
          <w:trHeight w:hRule="exact" w:val="639"/>
        </w:trPr>
        <w:tc>
          <w:tcPr>
            <w:tcW w:w="1443" w:type="pct"/>
            <w:shd w:val="clear" w:color="auto" w:fill="auto"/>
            <w:tcMar>
              <w:top w:w="113" w:type="dxa"/>
              <w:left w:w="113" w:type="dxa"/>
              <w:bottom w:w="113" w:type="dxa"/>
              <w:right w:w="113" w:type="dxa"/>
            </w:tcMar>
          </w:tcPr>
          <w:p w:rsidR="00000000" w:rsidRDefault="007B77B0" w:rsidP="007B77B0">
            <w:pPr>
              <w:pStyle w:val="BodyText"/>
            </w:pPr>
            <w:r>
              <w:t>Full pension—</w:t>
            </w:r>
            <w:r>
              <w:br/>
              <w:t>Non-homeowner</w:t>
            </w:r>
          </w:p>
        </w:tc>
        <w:tc>
          <w:tcPr>
            <w:tcW w:w="806" w:type="pct"/>
            <w:shd w:val="clear" w:color="auto" w:fill="auto"/>
            <w:tcMar>
              <w:top w:w="113" w:type="dxa"/>
              <w:left w:w="113" w:type="dxa"/>
              <w:bottom w:w="113" w:type="dxa"/>
              <w:right w:w="113" w:type="dxa"/>
            </w:tcMar>
          </w:tcPr>
          <w:p w:rsidR="00000000" w:rsidRDefault="007B77B0" w:rsidP="007B77B0">
            <w:pPr>
              <w:pStyle w:val="BodyText"/>
            </w:pPr>
            <w:r>
              <w:t>A$ 456,750</w:t>
            </w:r>
          </w:p>
        </w:tc>
        <w:tc>
          <w:tcPr>
            <w:tcW w:w="929" w:type="pct"/>
            <w:shd w:val="clear" w:color="auto" w:fill="auto"/>
            <w:tcMar>
              <w:top w:w="113" w:type="dxa"/>
              <w:left w:w="113" w:type="dxa"/>
              <w:bottom w:w="113" w:type="dxa"/>
              <w:right w:w="113" w:type="dxa"/>
            </w:tcMar>
          </w:tcPr>
          <w:p w:rsidR="00000000" w:rsidRDefault="007B77B0" w:rsidP="007B77B0">
            <w:pPr>
              <w:pStyle w:val="BodyText"/>
            </w:pPr>
            <w:r>
              <w:t>A$ 583,500</w:t>
            </w:r>
          </w:p>
        </w:tc>
        <w:tc>
          <w:tcPr>
            <w:tcW w:w="895" w:type="pct"/>
            <w:shd w:val="clear" w:color="auto" w:fill="auto"/>
            <w:tcMar>
              <w:top w:w="113" w:type="dxa"/>
              <w:left w:w="113" w:type="dxa"/>
              <w:bottom w:w="113" w:type="dxa"/>
              <w:right w:w="113" w:type="dxa"/>
            </w:tcMar>
          </w:tcPr>
          <w:p w:rsidR="00000000" w:rsidRDefault="007B77B0" w:rsidP="007B77B0">
            <w:pPr>
              <w:pStyle w:val="BodyText"/>
            </w:pPr>
            <w:r>
              <w:t>A$ 583,500</w:t>
            </w:r>
          </w:p>
        </w:tc>
        <w:tc>
          <w:tcPr>
            <w:tcW w:w="926" w:type="pct"/>
            <w:shd w:val="clear" w:color="auto" w:fill="auto"/>
            <w:tcMar>
              <w:top w:w="113" w:type="dxa"/>
              <w:left w:w="113" w:type="dxa"/>
              <w:bottom w:w="113" w:type="dxa"/>
              <w:right w:w="113" w:type="dxa"/>
            </w:tcMar>
          </w:tcPr>
          <w:p w:rsidR="00000000" w:rsidRDefault="007B77B0" w:rsidP="007B77B0">
            <w:pPr>
              <w:pStyle w:val="BodyText"/>
            </w:pPr>
            <w:r>
              <w:t>A$ 583,500</w:t>
            </w:r>
          </w:p>
        </w:tc>
      </w:tr>
      <w:tr w:rsidR="00000000" w:rsidTr="007B77B0">
        <w:tblPrEx>
          <w:tblCellMar>
            <w:top w:w="0" w:type="dxa"/>
            <w:left w:w="0" w:type="dxa"/>
            <w:bottom w:w="0" w:type="dxa"/>
            <w:right w:w="0" w:type="dxa"/>
          </w:tblCellMar>
        </w:tblPrEx>
        <w:trPr>
          <w:trHeight w:val="689"/>
        </w:trPr>
        <w:tc>
          <w:tcPr>
            <w:tcW w:w="1443" w:type="pct"/>
            <w:shd w:val="clear" w:color="auto" w:fill="auto"/>
            <w:tcMar>
              <w:top w:w="113" w:type="dxa"/>
              <w:left w:w="113" w:type="dxa"/>
              <w:bottom w:w="113" w:type="dxa"/>
              <w:right w:w="113" w:type="dxa"/>
            </w:tcMar>
          </w:tcPr>
          <w:p w:rsidR="00000000" w:rsidRDefault="007B77B0" w:rsidP="007B77B0">
            <w:pPr>
              <w:pStyle w:val="BodyText"/>
            </w:pPr>
            <w:r>
              <w:t>Part pension—</w:t>
            </w:r>
            <w:r>
              <w:br/>
            </w:r>
            <w:r>
              <w:t>Homeowner</w:t>
            </w:r>
          </w:p>
        </w:tc>
        <w:tc>
          <w:tcPr>
            <w:tcW w:w="80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A$ 533,000 </w:t>
            </w:r>
          </w:p>
        </w:tc>
        <w:tc>
          <w:tcPr>
            <w:tcW w:w="929"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A$ 802,500 </w:t>
            </w:r>
          </w:p>
        </w:tc>
        <w:tc>
          <w:tcPr>
            <w:tcW w:w="895"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A$ 802,500 </w:t>
            </w:r>
          </w:p>
        </w:tc>
        <w:tc>
          <w:tcPr>
            <w:tcW w:w="92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A$ 939,000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Default="007B77B0" w:rsidP="007B77B0">
            <w:pPr>
              <w:pStyle w:val="BodyText"/>
            </w:pPr>
            <w:r>
              <w:t>Part pension—</w:t>
            </w:r>
            <w:r>
              <w:br/>
              <w:t>Non-homeowner</w:t>
            </w:r>
          </w:p>
        </w:tc>
        <w:tc>
          <w:tcPr>
            <w:tcW w:w="80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A$ 736,000 </w:t>
            </w:r>
          </w:p>
        </w:tc>
        <w:tc>
          <w:tcPr>
            <w:tcW w:w="929"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A$ 1,005,500 </w:t>
            </w:r>
          </w:p>
        </w:tc>
        <w:tc>
          <w:tcPr>
            <w:tcW w:w="895"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A$ 1,005,500 </w:t>
            </w:r>
          </w:p>
        </w:tc>
        <w:tc>
          <w:tcPr>
            <w:tcW w:w="926" w:type="pct"/>
            <w:shd w:val="clear" w:color="auto" w:fill="auto"/>
            <w:tcMar>
              <w:top w:w="113" w:type="dxa"/>
              <w:left w:w="113" w:type="dxa"/>
              <w:bottom w:w="113" w:type="dxa"/>
              <w:right w:w="113" w:type="dxa"/>
            </w:tcMar>
          </w:tcPr>
          <w:p w:rsidR="00000000" w:rsidRDefault="007B77B0" w:rsidP="007B77B0">
            <w:pPr>
              <w:pStyle w:val="BodyText"/>
            </w:pPr>
            <w:r>
              <w:t>Less than</w:t>
            </w:r>
            <w:r>
              <w:br/>
              <w:t xml:space="preserve">A$ 1,142,000 </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Pr="007B77B0" w:rsidRDefault="007B77B0" w:rsidP="007B77B0">
            <w:pPr>
              <w:pStyle w:val="BodyText"/>
            </w:pPr>
            <w:r w:rsidRPr="007B77B0">
              <w:t>Deeming rates and thresholds</w:t>
            </w:r>
          </w:p>
        </w:tc>
        <w:tc>
          <w:tcPr>
            <w:tcW w:w="806" w:type="pct"/>
            <w:shd w:val="clear" w:color="auto" w:fill="auto"/>
            <w:tcMar>
              <w:top w:w="227" w:type="dxa"/>
              <w:left w:w="113" w:type="dxa"/>
              <w:bottom w:w="113" w:type="dxa"/>
              <w:right w:w="113" w:type="dxa"/>
            </w:tcMar>
          </w:tcPr>
          <w:p w:rsidR="00000000" w:rsidRPr="007B77B0" w:rsidRDefault="007B77B0" w:rsidP="007B77B0">
            <w:pPr>
              <w:pStyle w:val="BodyText"/>
            </w:pPr>
            <w:r w:rsidRPr="007B77B0">
              <w:t>Single</w:t>
            </w:r>
          </w:p>
        </w:tc>
        <w:tc>
          <w:tcPr>
            <w:tcW w:w="929" w:type="pct"/>
            <w:shd w:val="clear" w:color="auto" w:fill="auto"/>
            <w:tcMar>
              <w:top w:w="227" w:type="dxa"/>
              <w:left w:w="113" w:type="dxa"/>
              <w:bottom w:w="113" w:type="dxa"/>
              <w:right w:w="113" w:type="dxa"/>
            </w:tcMar>
          </w:tcPr>
          <w:p w:rsidR="00000000" w:rsidRPr="007B77B0" w:rsidRDefault="007B77B0" w:rsidP="007B77B0">
            <w:pPr>
              <w:pStyle w:val="BodyText"/>
            </w:pPr>
            <w:r w:rsidRPr="007B77B0">
              <w:t>Combined</w:t>
            </w:r>
          </w:p>
        </w:tc>
        <w:tc>
          <w:tcPr>
            <w:tcW w:w="895" w:type="pct"/>
            <w:shd w:val="clear" w:color="auto" w:fill="auto"/>
            <w:tcMar>
              <w:top w:w="227" w:type="dxa"/>
              <w:left w:w="113" w:type="dxa"/>
              <w:bottom w:w="113" w:type="dxa"/>
              <w:right w:w="113" w:type="dxa"/>
            </w:tcMar>
          </w:tcPr>
          <w:p w:rsidR="00000000" w:rsidRPr="007B77B0" w:rsidRDefault="007B77B0" w:rsidP="007B77B0">
            <w:pPr>
              <w:pStyle w:val="BodyText"/>
            </w:pPr>
            <w:r w:rsidRPr="007B77B0">
              <w:t>Combined</w:t>
            </w:r>
          </w:p>
        </w:tc>
        <w:tc>
          <w:tcPr>
            <w:tcW w:w="926" w:type="pct"/>
            <w:shd w:val="clear" w:color="auto" w:fill="auto"/>
            <w:tcMar>
              <w:top w:w="227" w:type="dxa"/>
              <w:left w:w="113" w:type="dxa"/>
              <w:bottom w:w="113" w:type="dxa"/>
              <w:right w:w="113" w:type="dxa"/>
            </w:tcMar>
          </w:tcPr>
          <w:p w:rsidR="00000000" w:rsidRPr="007B77B0" w:rsidRDefault="007B77B0" w:rsidP="007B77B0">
            <w:pPr>
              <w:pStyle w:val="BodyText"/>
            </w:pPr>
            <w:r w:rsidRPr="007B77B0">
              <w:t>Combined</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Default="007B77B0" w:rsidP="007B77B0">
            <w:pPr>
              <w:pStyle w:val="BodyText"/>
            </w:pPr>
            <w:r>
              <w:t>Threshold</w:t>
            </w:r>
          </w:p>
        </w:tc>
        <w:tc>
          <w:tcPr>
            <w:tcW w:w="806" w:type="pct"/>
            <w:shd w:val="clear" w:color="auto" w:fill="auto"/>
            <w:tcMar>
              <w:top w:w="113" w:type="dxa"/>
              <w:left w:w="113" w:type="dxa"/>
              <w:bottom w:w="113" w:type="dxa"/>
              <w:right w:w="113" w:type="dxa"/>
            </w:tcMar>
          </w:tcPr>
          <w:p w:rsidR="00000000" w:rsidRDefault="007B77B0" w:rsidP="007B77B0">
            <w:pPr>
              <w:pStyle w:val="BodyText"/>
            </w:pPr>
            <w:r>
              <w:t>A$ 50,200</w:t>
            </w:r>
          </w:p>
        </w:tc>
        <w:tc>
          <w:tcPr>
            <w:tcW w:w="929" w:type="pct"/>
            <w:shd w:val="clear" w:color="auto" w:fill="auto"/>
            <w:tcMar>
              <w:top w:w="113" w:type="dxa"/>
              <w:left w:w="113" w:type="dxa"/>
              <w:bottom w:w="113" w:type="dxa"/>
              <w:right w:w="113" w:type="dxa"/>
            </w:tcMar>
          </w:tcPr>
          <w:p w:rsidR="00000000" w:rsidRDefault="007B77B0" w:rsidP="007B77B0">
            <w:pPr>
              <w:pStyle w:val="BodyText"/>
            </w:pPr>
            <w:r>
              <w:t>A$ 83,400</w:t>
            </w:r>
          </w:p>
        </w:tc>
        <w:tc>
          <w:tcPr>
            <w:tcW w:w="895" w:type="pct"/>
            <w:shd w:val="clear" w:color="auto" w:fill="auto"/>
            <w:tcMar>
              <w:top w:w="113" w:type="dxa"/>
              <w:left w:w="113" w:type="dxa"/>
              <w:bottom w:w="113" w:type="dxa"/>
              <w:right w:w="113" w:type="dxa"/>
            </w:tcMar>
          </w:tcPr>
          <w:p w:rsidR="00000000" w:rsidRDefault="007B77B0" w:rsidP="007B77B0">
            <w:pPr>
              <w:pStyle w:val="BodyText"/>
            </w:pPr>
            <w:r>
              <w:t>A$ 83,400</w:t>
            </w:r>
          </w:p>
        </w:tc>
        <w:tc>
          <w:tcPr>
            <w:tcW w:w="926" w:type="pct"/>
            <w:shd w:val="clear" w:color="auto" w:fill="auto"/>
            <w:tcMar>
              <w:top w:w="113" w:type="dxa"/>
              <w:left w:w="113" w:type="dxa"/>
              <w:bottom w:w="113" w:type="dxa"/>
              <w:right w:w="113" w:type="dxa"/>
            </w:tcMar>
          </w:tcPr>
          <w:p w:rsidR="00000000" w:rsidRDefault="007B77B0" w:rsidP="007B77B0">
            <w:pPr>
              <w:pStyle w:val="BodyText"/>
            </w:pPr>
            <w:r>
              <w:t>A$ 83,400</w:t>
            </w:r>
          </w:p>
        </w:tc>
      </w:tr>
      <w:tr w:rsidR="00000000" w:rsidTr="007B77B0">
        <w:tblPrEx>
          <w:tblCellMar>
            <w:top w:w="0" w:type="dxa"/>
            <w:left w:w="0" w:type="dxa"/>
            <w:bottom w:w="0" w:type="dxa"/>
            <w:right w:w="0" w:type="dxa"/>
          </w:tblCellMar>
        </w:tblPrEx>
        <w:trPr>
          <w:trHeight w:val="60"/>
        </w:trPr>
        <w:tc>
          <w:tcPr>
            <w:tcW w:w="1443" w:type="pct"/>
            <w:shd w:val="clear" w:color="auto" w:fill="auto"/>
            <w:tcMar>
              <w:top w:w="113" w:type="dxa"/>
              <w:left w:w="113" w:type="dxa"/>
              <w:bottom w:w="113" w:type="dxa"/>
              <w:right w:w="113" w:type="dxa"/>
            </w:tcMar>
          </w:tcPr>
          <w:p w:rsidR="00000000" w:rsidRDefault="007B77B0" w:rsidP="007B77B0">
            <w:pPr>
              <w:pStyle w:val="BodyText"/>
            </w:pPr>
            <w:r>
              <w:t>Rate below threshold</w:t>
            </w:r>
          </w:p>
        </w:tc>
        <w:tc>
          <w:tcPr>
            <w:tcW w:w="806" w:type="pct"/>
            <w:shd w:val="clear" w:color="auto" w:fill="auto"/>
            <w:tcMar>
              <w:top w:w="113" w:type="dxa"/>
              <w:left w:w="113" w:type="dxa"/>
              <w:bottom w:w="113" w:type="dxa"/>
              <w:right w:w="113" w:type="dxa"/>
            </w:tcMar>
          </w:tcPr>
          <w:p w:rsidR="00000000" w:rsidRDefault="007B77B0" w:rsidP="007B77B0">
            <w:pPr>
              <w:pStyle w:val="BodyText"/>
            </w:pPr>
            <w:r>
              <w:t>1.75%</w:t>
            </w:r>
          </w:p>
        </w:tc>
        <w:tc>
          <w:tcPr>
            <w:tcW w:w="929" w:type="pct"/>
            <w:shd w:val="clear" w:color="auto" w:fill="auto"/>
            <w:tcMar>
              <w:top w:w="113" w:type="dxa"/>
              <w:left w:w="113" w:type="dxa"/>
              <w:bottom w:w="113" w:type="dxa"/>
              <w:right w:w="113" w:type="dxa"/>
            </w:tcMar>
          </w:tcPr>
          <w:p w:rsidR="00000000" w:rsidRDefault="007B77B0" w:rsidP="007B77B0">
            <w:pPr>
              <w:pStyle w:val="BodyText"/>
            </w:pPr>
            <w:r>
              <w:t>1.75%</w:t>
            </w:r>
          </w:p>
        </w:tc>
        <w:tc>
          <w:tcPr>
            <w:tcW w:w="895" w:type="pct"/>
            <w:shd w:val="clear" w:color="auto" w:fill="auto"/>
            <w:tcMar>
              <w:top w:w="113" w:type="dxa"/>
              <w:left w:w="113" w:type="dxa"/>
              <w:bottom w:w="113" w:type="dxa"/>
              <w:right w:w="113" w:type="dxa"/>
            </w:tcMar>
          </w:tcPr>
          <w:p w:rsidR="00000000" w:rsidRDefault="007B77B0" w:rsidP="007B77B0">
            <w:pPr>
              <w:pStyle w:val="BodyText"/>
            </w:pPr>
            <w:r>
              <w:t>1.75%</w:t>
            </w:r>
          </w:p>
        </w:tc>
        <w:tc>
          <w:tcPr>
            <w:tcW w:w="926" w:type="pct"/>
            <w:shd w:val="clear" w:color="auto" w:fill="auto"/>
            <w:tcMar>
              <w:top w:w="113" w:type="dxa"/>
              <w:left w:w="113" w:type="dxa"/>
              <w:bottom w:w="113" w:type="dxa"/>
              <w:right w:w="113" w:type="dxa"/>
            </w:tcMar>
          </w:tcPr>
          <w:p w:rsidR="00000000" w:rsidRDefault="007B77B0" w:rsidP="007B77B0">
            <w:pPr>
              <w:pStyle w:val="BodyText"/>
            </w:pPr>
            <w:r>
              <w:t>1.75%</w:t>
            </w:r>
          </w:p>
        </w:tc>
      </w:tr>
      <w:tr w:rsidR="00000000" w:rsidTr="007B77B0">
        <w:tblPrEx>
          <w:tblCellMar>
            <w:top w:w="0" w:type="dxa"/>
            <w:left w:w="0" w:type="dxa"/>
            <w:bottom w:w="0" w:type="dxa"/>
            <w:right w:w="0" w:type="dxa"/>
          </w:tblCellMar>
        </w:tblPrEx>
        <w:trPr>
          <w:trHeight w:val="399"/>
        </w:trPr>
        <w:tc>
          <w:tcPr>
            <w:tcW w:w="1443" w:type="pct"/>
            <w:shd w:val="clear" w:color="auto" w:fill="auto"/>
            <w:tcMar>
              <w:top w:w="113" w:type="dxa"/>
              <w:left w:w="113" w:type="dxa"/>
              <w:bottom w:w="113" w:type="dxa"/>
              <w:right w:w="113" w:type="dxa"/>
            </w:tcMar>
          </w:tcPr>
          <w:p w:rsidR="00000000" w:rsidRDefault="007B77B0" w:rsidP="007B77B0">
            <w:pPr>
              <w:pStyle w:val="BodyText"/>
            </w:pPr>
            <w:r>
              <w:t>Rate above threshold</w:t>
            </w:r>
          </w:p>
        </w:tc>
        <w:tc>
          <w:tcPr>
            <w:tcW w:w="806" w:type="pct"/>
            <w:shd w:val="clear" w:color="auto" w:fill="auto"/>
            <w:tcMar>
              <w:top w:w="113" w:type="dxa"/>
              <w:left w:w="113" w:type="dxa"/>
              <w:bottom w:w="113" w:type="dxa"/>
              <w:right w:w="113" w:type="dxa"/>
            </w:tcMar>
          </w:tcPr>
          <w:p w:rsidR="00000000" w:rsidRDefault="007B77B0" w:rsidP="007B77B0">
            <w:pPr>
              <w:pStyle w:val="BodyText"/>
            </w:pPr>
            <w:r>
              <w:t>3.25%</w:t>
            </w:r>
          </w:p>
        </w:tc>
        <w:tc>
          <w:tcPr>
            <w:tcW w:w="929" w:type="pct"/>
            <w:shd w:val="clear" w:color="auto" w:fill="auto"/>
            <w:tcMar>
              <w:top w:w="113" w:type="dxa"/>
              <w:left w:w="113" w:type="dxa"/>
              <w:bottom w:w="113" w:type="dxa"/>
              <w:right w:w="113" w:type="dxa"/>
            </w:tcMar>
          </w:tcPr>
          <w:p w:rsidR="00000000" w:rsidRDefault="007B77B0" w:rsidP="007B77B0">
            <w:pPr>
              <w:pStyle w:val="BodyText"/>
            </w:pPr>
            <w:r>
              <w:t>3.25%</w:t>
            </w:r>
          </w:p>
        </w:tc>
        <w:tc>
          <w:tcPr>
            <w:tcW w:w="895" w:type="pct"/>
            <w:shd w:val="clear" w:color="auto" w:fill="auto"/>
            <w:tcMar>
              <w:top w:w="113" w:type="dxa"/>
              <w:left w:w="113" w:type="dxa"/>
              <w:bottom w:w="113" w:type="dxa"/>
              <w:right w:w="113" w:type="dxa"/>
            </w:tcMar>
          </w:tcPr>
          <w:p w:rsidR="00000000" w:rsidRDefault="007B77B0" w:rsidP="007B77B0">
            <w:pPr>
              <w:pStyle w:val="BodyText"/>
            </w:pPr>
            <w:r>
              <w:t>3.25%</w:t>
            </w:r>
          </w:p>
        </w:tc>
        <w:tc>
          <w:tcPr>
            <w:tcW w:w="926" w:type="pct"/>
            <w:shd w:val="clear" w:color="auto" w:fill="auto"/>
            <w:tcMar>
              <w:top w:w="113" w:type="dxa"/>
              <w:left w:w="113" w:type="dxa"/>
              <w:bottom w:w="113" w:type="dxa"/>
              <w:right w:w="113" w:type="dxa"/>
            </w:tcMar>
          </w:tcPr>
          <w:p w:rsidR="00000000" w:rsidRDefault="007B77B0" w:rsidP="007B77B0">
            <w:pPr>
              <w:pStyle w:val="BodyText"/>
            </w:pPr>
            <w:r>
              <w:t>3.25%</w:t>
            </w:r>
          </w:p>
        </w:tc>
      </w:tr>
    </w:tbl>
    <w:p w:rsidR="00000000" w:rsidRDefault="007B77B0" w:rsidP="007B77B0">
      <w:pPr>
        <w:pStyle w:val="BodyText"/>
      </w:pPr>
      <w:r>
        <w:t>These rates apply to recipients who are permanently outside Australia or absent from Australia for longer than six weeks.</w:t>
      </w:r>
    </w:p>
    <w:p w:rsidR="00000000" w:rsidRDefault="007B77B0" w:rsidP="007B77B0">
      <w:pPr>
        <w:pStyle w:val="ListNumber"/>
        <w:numPr>
          <w:ilvl w:val="0"/>
          <w:numId w:val="5"/>
        </w:numPr>
      </w:pPr>
      <w:r>
        <w:t>The rate of payment is calculated under both the income and assets tests. The test that results in the lower rate or nil rate is ap</w:t>
      </w:r>
      <w:r>
        <w:t>plied. Some assets are deemed to earn income and there are special rules for other types of income. There is no income or assets test for recipients who are permanently blind.</w:t>
      </w:r>
    </w:p>
    <w:p w:rsidR="00000000" w:rsidRDefault="007B77B0" w:rsidP="007B77B0">
      <w:pPr>
        <w:pStyle w:val="ListNumber"/>
      </w:pPr>
      <w:r>
        <w:t>Some recipients may receive a transitional rate of pension based on the pre 2</w:t>
      </w:r>
      <w:r>
        <w:t>0 September 2009 income test rules and payment rates.</w:t>
      </w:r>
    </w:p>
    <w:p w:rsidR="00000000" w:rsidRDefault="007B77B0" w:rsidP="007B77B0">
      <w:pPr>
        <w:pStyle w:val="ListNumber"/>
      </w:pPr>
      <w:r>
        <w:t>Some recipients may receive a reduced rate of pension based on how long they were an Australian resident.</w:t>
      </w:r>
    </w:p>
    <w:p w:rsidR="00000000" w:rsidRDefault="007B77B0" w:rsidP="007B77B0">
      <w:pPr>
        <w:pStyle w:val="ListNumber"/>
      </w:pPr>
      <w:r>
        <w:t xml:space="preserve">Every two weeks, the Work Bonus disregards up to </w:t>
      </w:r>
      <w:proofErr w:type="gramStart"/>
      <w:r>
        <w:t>A$</w:t>
      </w:r>
      <w:proofErr w:type="gramEnd"/>
      <w:r>
        <w:t>250 of employment income earned by elig</w:t>
      </w:r>
      <w:r>
        <w:t xml:space="preserve">ible pensioners over age pension age unless you receive Parenting Payment Single. If your employment income is less than </w:t>
      </w:r>
      <w:proofErr w:type="gramStart"/>
      <w:r>
        <w:t>A$</w:t>
      </w:r>
      <w:proofErr w:type="gramEnd"/>
      <w:r>
        <w:t xml:space="preserve">250, the unused Work Bonus is banked up to a maximum amount of A$6,500. If you are eligible for a transitional rate, we will compare </w:t>
      </w:r>
      <w:r>
        <w:t>the transitional rate that has no Work Bonus to the new rate which has the Work Bonus. The transitional rate is paid whenever it pays the higher rate.</w:t>
      </w:r>
    </w:p>
    <w:p w:rsidR="00000000" w:rsidRDefault="007B77B0" w:rsidP="007B77B0">
      <w:pPr>
        <w:pStyle w:val="ListNumber"/>
      </w:pPr>
      <w:r>
        <w:t>From 1 January 2017, single and combined couple rates are reduced by A$3.00 per two weeks for every A$</w:t>
      </w:r>
      <w:r>
        <w:t>1,000 of additional assets above the allowable assets limit. The allowable asset limit has also been increased. Certain assets are not included in the assets test.</w:t>
      </w:r>
    </w:p>
    <w:p w:rsidR="00000000" w:rsidRPr="007B77B0" w:rsidRDefault="007B77B0" w:rsidP="007B77B0">
      <w:pPr>
        <w:pStyle w:val="Heading2"/>
      </w:pPr>
      <w:r w:rsidRPr="007B77B0">
        <w:t>Information about your payments</w:t>
      </w:r>
    </w:p>
    <w:p w:rsidR="00000000" w:rsidRDefault="007B77B0" w:rsidP="007B77B0">
      <w:pPr>
        <w:pStyle w:val="BodyText"/>
      </w:pPr>
      <w:r>
        <w:t>You will receive 13 regular four-weekly payments each year.</w:t>
      </w:r>
    </w:p>
    <w:p w:rsidR="00000000" w:rsidRDefault="007B77B0">
      <w:pPr>
        <w:pStyle w:val="NoParagraphStyle"/>
        <w:suppressAutoHyphens/>
        <w:spacing w:after="170"/>
        <w:rPr>
          <w:rFonts w:ascii="PF Centro Sans Pro" w:hAnsi="PF Centro Sans Pro" w:cs="PF Centro Sans Pro"/>
          <w:b/>
          <w:bCs/>
          <w:spacing w:val="-2"/>
          <w:sz w:val="26"/>
          <w:szCs w:val="26"/>
        </w:rPr>
      </w:pPr>
      <w:r>
        <w:rPr>
          <w:rFonts w:ascii="PF Centro Sans Pro" w:hAnsi="PF Centro Sans Pro" w:cs="PF Centro Sans Pro"/>
          <w:b/>
          <w:bCs/>
          <w:spacing w:val="-2"/>
          <w:sz w:val="26"/>
          <w:szCs w:val="26"/>
        </w:rPr>
        <w:t xml:space="preserve">Four-weekly pension payment calendar—December 2017 to May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7"/>
        <w:gridCol w:w="3379"/>
        <w:gridCol w:w="3051"/>
        <w:gridCol w:w="2727"/>
      </w:tblGrid>
      <w:tr w:rsidR="00000000" w:rsidTr="007B77B0">
        <w:tblPrEx>
          <w:tblCellMar>
            <w:top w:w="0" w:type="dxa"/>
            <w:left w:w="0" w:type="dxa"/>
            <w:bottom w:w="0" w:type="dxa"/>
            <w:right w:w="0" w:type="dxa"/>
          </w:tblCellMar>
        </w:tblPrEx>
        <w:trPr>
          <w:trHeight w:val="60"/>
          <w:tblHeader/>
        </w:trPr>
        <w:tc>
          <w:tcPr>
            <w:tcW w:w="1041" w:type="pct"/>
            <w:shd w:val="clear" w:color="auto" w:fill="auto"/>
            <w:tcMar>
              <w:top w:w="113" w:type="dxa"/>
              <w:left w:w="113" w:type="dxa"/>
              <w:bottom w:w="113" w:type="dxa"/>
              <w:right w:w="113" w:type="dxa"/>
            </w:tcMar>
          </w:tcPr>
          <w:p w:rsidR="00000000" w:rsidRDefault="007B77B0" w:rsidP="007B77B0">
            <w:pPr>
              <w:pStyle w:val="BodyText"/>
            </w:pPr>
            <w:r>
              <w:t xml:space="preserve">Your payment will be </w:t>
            </w:r>
            <w:r>
              <w:rPr>
                <w:b/>
                <w:bCs/>
              </w:rPr>
              <w:t xml:space="preserve">issued </w:t>
            </w:r>
            <w:r>
              <w:t>on:</w:t>
            </w:r>
          </w:p>
        </w:tc>
        <w:tc>
          <w:tcPr>
            <w:tcW w:w="1461" w:type="pct"/>
            <w:shd w:val="clear" w:color="auto" w:fill="auto"/>
            <w:tcMar>
              <w:top w:w="113" w:type="dxa"/>
              <w:left w:w="113" w:type="dxa"/>
              <w:bottom w:w="113" w:type="dxa"/>
              <w:right w:w="113" w:type="dxa"/>
            </w:tcMar>
          </w:tcPr>
          <w:p w:rsidR="00000000" w:rsidRDefault="007B77B0" w:rsidP="007B77B0">
            <w:pPr>
              <w:pStyle w:val="BodyText"/>
            </w:pPr>
            <w:r>
              <w:t xml:space="preserve">Direct deposit recipients should </w:t>
            </w:r>
            <w:r>
              <w:rPr>
                <w:b/>
                <w:bCs/>
              </w:rPr>
              <w:t xml:space="preserve">receive </w:t>
            </w:r>
            <w:r>
              <w:t>payment by:</w:t>
            </w:r>
          </w:p>
        </w:tc>
        <w:tc>
          <w:tcPr>
            <w:tcW w:w="1319" w:type="pct"/>
            <w:shd w:val="clear" w:color="auto" w:fill="auto"/>
            <w:tcMar>
              <w:top w:w="113" w:type="dxa"/>
              <w:left w:w="113" w:type="dxa"/>
              <w:bottom w:w="113" w:type="dxa"/>
              <w:right w:w="113" w:type="dxa"/>
            </w:tcMar>
          </w:tcPr>
          <w:p w:rsidR="00000000" w:rsidRDefault="007B77B0" w:rsidP="007B77B0">
            <w:pPr>
              <w:pStyle w:val="BodyText"/>
            </w:pPr>
            <w:r>
              <w:t xml:space="preserve">Cheque recipients should </w:t>
            </w:r>
            <w:r>
              <w:rPr>
                <w:b/>
                <w:bCs/>
              </w:rPr>
              <w:t>receive</w:t>
            </w:r>
            <w:r>
              <w:t xml:space="preserve"> payment by:</w:t>
            </w:r>
          </w:p>
        </w:tc>
        <w:tc>
          <w:tcPr>
            <w:tcW w:w="1179" w:type="pct"/>
            <w:shd w:val="clear" w:color="auto" w:fill="auto"/>
            <w:tcMar>
              <w:top w:w="113" w:type="dxa"/>
              <w:left w:w="113" w:type="dxa"/>
              <w:bottom w:w="113" w:type="dxa"/>
              <w:right w:w="113" w:type="dxa"/>
            </w:tcMar>
          </w:tcPr>
          <w:p w:rsidR="00000000" w:rsidRDefault="007B77B0" w:rsidP="007B77B0">
            <w:pPr>
              <w:pStyle w:val="BodyText"/>
            </w:pPr>
            <w:r>
              <w:t xml:space="preserve">Payment </w:t>
            </w:r>
            <w:r w:rsidRPr="007B77B0">
              <w:rPr>
                <w:b/>
              </w:rPr>
              <w:t xml:space="preserve">covers </w:t>
            </w:r>
            <w:r>
              <w:t>the period:</w:t>
            </w:r>
          </w:p>
        </w:tc>
      </w:tr>
      <w:tr w:rsidR="00000000" w:rsidTr="007B77B0">
        <w:tblPrEx>
          <w:tblCellMar>
            <w:top w:w="0" w:type="dxa"/>
            <w:left w:w="0" w:type="dxa"/>
            <w:bottom w:w="0" w:type="dxa"/>
            <w:right w:w="0" w:type="dxa"/>
          </w:tblCellMar>
        </w:tblPrEx>
        <w:trPr>
          <w:trHeight w:val="60"/>
        </w:trPr>
        <w:tc>
          <w:tcPr>
            <w:tcW w:w="1041" w:type="pct"/>
            <w:shd w:val="clear" w:color="auto" w:fill="auto"/>
            <w:tcMar>
              <w:top w:w="113" w:type="dxa"/>
              <w:left w:w="113" w:type="dxa"/>
              <w:bottom w:w="113" w:type="dxa"/>
              <w:right w:w="113" w:type="dxa"/>
            </w:tcMar>
          </w:tcPr>
          <w:p w:rsidR="00000000" w:rsidRDefault="007B77B0" w:rsidP="007B77B0">
            <w:pPr>
              <w:pStyle w:val="BodyText"/>
            </w:pPr>
            <w:r>
              <w:t>14 December 2017*</w:t>
            </w:r>
          </w:p>
        </w:tc>
        <w:tc>
          <w:tcPr>
            <w:tcW w:w="1461" w:type="pct"/>
            <w:shd w:val="clear" w:color="auto" w:fill="auto"/>
            <w:tcMar>
              <w:top w:w="113" w:type="dxa"/>
              <w:left w:w="113" w:type="dxa"/>
              <w:bottom w:w="113" w:type="dxa"/>
              <w:right w:w="113" w:type="dxa"/>
            </w:tcMar>
          </w:tcPr>
          <w:p w:rsidR="00000000" w:rsidRDefault="007B77B0" w:rsidP="007B77B0">
            <w:pPr>
              <w:pStyle w:val="BodyText"/>
            </w:pPr>
            <w:r>
              <w:t>20 December 2017</w:t>
            </w:r>
          </w:p>
        </w:tc>
        <w:tc>
          <w:tcPr>
            <w:tcW w:w="1319" w:type="pct"/>
            <w:shd w:val="clear" w:color="auto" w:fill="auto"/>
            <w:tcMar>
              <w:top w:w="113" w:type="dxa"/>
              <w:left w:w="113" w:type="dxa"/>
              <w:bottom w:w="113" w:type="dxa"/>
              <w:right w:w="113" w:type="dxa"/>
            </w:tcMar>
          </w:tcPr>
          <w:p w:rsidR="00000000" w:rsidRDefault="007B77B0" w:rsidP="007B77B0">
            <w:pPr>
              <w:pStyle w:val="BodyText"/>
            </w:pPr>
            <w:r>
              <w:t>3 January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23 November to 20 December 2017</w:t>
            </w:r>
          </w:p>
        </w:tc>
      </w:tr>
      <w:tr w:rsidR="00000000" w:rsidTr="007B77B0">
        <w:tblPrEx>
          <w:tblCellMar>
            <w:top w:w="0" w:type="dxa"/>
            <w:left w:w="0" w:type="dxa"/>
            <w:bottom w:w="0" w:type="dxa"/>
            <w:right w:w="0" w:type="dxa"/>
          </w:tblCellMar>
        </w:tblPrEx>
        <w:trPr>
          <w:trHeight w:val="60"/>
        </w:trPr>
        <w:tc>
          <w:tcPr>
            <w:tcW w:w="1041" w:type="pct"/>
            <w:shd w:val="clear" w:color="auto" w:fill="auto"/>
            <w:tcMar>
              <w:top w:w="113" w:type="dxa"/>
              <w:left w:w="113" w:type="dxa"/>
              <w:bottom w:w="113" w:type="dxa"/>
              <w:right w:w="113" w:type="dxa"/>
            </w:tcMar>
          </w:tcPr>
          <w:p w:rsidR="00000000" w:rsidRDefault="007B77B0" w:rsidP="007B77B0">
            <w:pPr>
              <w:pStyle w:val="BodyText"/>
            </w:pPr>
            <w:r>
              <w:t>18 January 2018</w:t>
            </w:r>
          </w:p>
        </w:tc>
        <w:tc>
          <w:tcPr>
            <w:tcW w:w="1461" w:type="pct"/>
            <w:shd w:val="clear" w:color="auto" w:fill="auto"/>
            <w:tcMar>
              <w:top w:w="113" w:type="dxa"/>
              <w:left w:w="113" w:type="dxa"/>
              <w:bottom w:w="113" w:type="dxa"/>
              <w:right w:w="113" w:type="dxa"/>
            </w:tcMar>
          </w:tcPr>
          <w:p w:rsidR="00000000" w:rsidRDefault="007B77B0" w:rsidP="007B77B0">
            <w:pPr>
              <w:pStyle w:val="BodyText"/>
            </w:pPr>
            <w:r>
              <w:t>24 January 2018</w:t>
            </w:r>
          </w:p>
        </w:tc>
        <w:tc>
          <w:tcPr>
            <w:tcW w:w="1319" w:type="pct"/>
            <w:shd w:val="clear" w:color="auto" w:fill="auto"/>
            <w:tcMar>
              <w:top w:w="113" w:type="dxa"/>
              <w:left w:w="113" w:type="dxa"/>
              <w:bottom w:w="113" w:type="dxa"/>
              <w:right w:w="113" w:type="dxa"/>
            </w:tcMar>
          </w:tcPr>
          <w:p w:rsidR="00000000" w:rsidRDefault="007B77B0" w:rsidP="007B77B0">
            <w:pPr>
              <w:pStyle w:val="BodyText"/>
            </w:pPr>
            <w:r>
              <w:t>7 February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21 December 2017 to 17 January 2018</w:t>
            </w:r>
          </w:p>
        </w:tc>
      </w:tr>
      <w:tr w:rsidR="00000000" w:rsidTr="007B77B0">
        <w:tblPrEx>
          <w:tblCellMar>
            <w:top w:w="0" w:type="dxa"/>
            <w:left w:w="0" w:type="dxa"/>
            <w:bottom w:w="0" w:type="dxa"/>
            <w:right w:w="0" w:type="dxa"/>
          </w:tblCellMar>
        </w:tblPrEx>
        <w:trPr>
          <w:trHeight w:val="60"/>
        </w:trPr>
        <w:tc>
          <w:tcPr>
            <w:tcW w:w="1041" w:type="pct"/>
            <w:shd w:val="clear" w:color="auto" w:fill="auto"/>
            <w:tcMar>
              <w:top w:w="113" w:type="dxa"/>
              <w:left w:w="113" w:type="dxa"/>
              <w:bottom w:w="113" w:type="dxa"/>
              <w:right w:w="113" w:type="dxa"/>
            </w:tcMar>
          </w:tcPr>
          <w:p w:rsidR="00000000" w:rsidRDefault="007B77B0" w:rsidP="007B77B0">
            <w:pPr>
              <w:pStyle w:val="BodyText"/>
            </w:pPr>
            <w:r>
              <w:t>15 February 2018</w:t>
            </w:r>
          </w:p>
        </w:tc>
        <w:tc>
          <w:tcPr>
            <w:tcW w:w="1461" w:type="pct"/>
            <w:shd w:val="clear" w:color="auto" w:fill="auto"/>
            <w:tcMar>
              <w:top w:w="113" w:type="dxa"/>
              <w:left w:w="113" w:type="dxa"/>
              <w:bottom w:w="113" w:type="dxa"/>
              <w:right w:w="113" w:type="dxa"/>
            </w:tcMar>
          </w:tcPr>
          <w:p w:rsidR="00000000" w:rsidRDefault="007B77B0" w:rsidP="007B77B0">
            <w:pPr>
              <w:pStyle w:val="BodyText"/>
            </w:pPr>
            <w:r>
              <w:t>21 February 2018</w:t>
            </w:r>
          </w:p>
        </w:tc>
        <w:tc>
          <w:tcPr>
            <w:tcW w:w="1319" w:type="pct"/>
            <w:shd w:val="clear" w:color="auto" w:fill="auto"/>
            <w:tcMar>
              <w:top w:w="113" w:type="dxa"/>
              <w:left w:w="113" w:type="dxa"/>
              <w:bottom w:w="113" w:type="dxa"/>
              <w:right w:w="113" w:type="dxa"/>
            </w:tcMar>
          </w:tcPr>
          <w:p w:rsidR="00000000" w:rsidRDefault="007B77B0" w:rsidP="007B77B0">
            <w:pPr>
              <w:pStyle w:val="BodyText"/>
            </w:pPr>
            <w:r>
              <w:t>7 March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18 January to 14 February 2018</w:t>
            </w:r>
          </w:p>
        </w:tc>
      </w:tr>
      <w:tr w:rsidR="00000000" w:rsidTr="007B77B0">
        <w:tblPrEx>
          <w:tblCellMar>
            <w:top w:w="0" w:type="dxa"/>
            <w:left w:w="0" w:type="dxa"/>
            <w:bottom w:w="0" w:type="dxa"/>
            <w:right w:w="0" w:type="dxa"/>
          </w:tblCellMar>
        </w:tblPrEx>
        <w:trPr>
          <w:trHeight w:val="60"/>
        </w:trPr>
        <w:tc>
          <w:tcPr>
            <w:tcW w:w="1041" w:type="pct"/>
            <w:shd w:val="clear" w:color="auto" w:fill="auto"/>
            <w:tcMar>
              <w:top w:w="113" w:type="dxa"/>
              <w:left w:w="113" w:type="dxa"/>
              <w:bottom w:w="113" w:type="dxa"/>
              <w:right w:w="113" w:type="dxa"/>
            </w:tcMar>
          </w:tcPr>
          <w:p w:rsidR="00000000" w:rsidRDefault="007B77B0" w:rsidP="007B77B0">
            <w:pPr>
              <w:pStyle w:val="BodyText"/>
            </w:pPr>
            <w:r>
              <w:t>15 March 2018</w:t>
            </w:r>
          </w:p>
        </w:tc>
        <w:tc>
          <w:tcPr>
            <w:tcW w:w="1461" w:type="pct"/>
            <w:shd w:val="clear" w:color="auto" w:fill="auto"/>
            <w:tcMar>
              <w:top w:w="113" w:type="dxa"/>
              <w:left w:w="113" w:type="dxa"/>
              <w:bottom w:w="113" w:type="dxa"/>
              <w:right w:w="113" w:type="dxa"/>
            </w:tcMar>
          </w:tcPr>
          <w:p w:rsidR="00000000" w:rsidRDefault="007B77B0" w:rsidP="007B77B0">
            <w:pPr>
              <w:pStyle w:val="BodyText"/>
            </w:pPr>
            <w:r>
              <w:t>21 March 2018</w:t>
            </w:r>
          </w:p>
        </w:tc>
        <w:tc>
          <w:tcPr>
            <w:tcW w:w="1319" w:type="pct"/>
            <w:shd w:val="clear" w:color="auto" w:fill="auto"/>
            <w:tcMar>
              <w:top w:w="113" w:type="dxa"/>
              <w:left w:w="113" w:type="dxa"/>
              <w:bottom w:w="113" w:type="dxa"/>
              <w:right w:w="113" w:type="dxa"/>
            </w:tcMar>
          </w:tcPr>
          <w:p w:rsidR="00000000" w:rsidRDefault="007B77B0" w:rsidP="007B77B0">
            <w:pPr>
              <w:pStyle w:val="BodyText"/>
            </w:pPr>
            <w:r>
              <w:t>4 April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15 February to 14 March 2018</w:t>
            </w:r>
          </w:p>
        </w:tc>
      </w:tr>
      <w:tr w:rsidR="00000000" w:rsidTr="007B77B0">
        <w:tblPrEx>
          <w:tblCellMar>
            <w:top w:w="0" w:type="dxa"/>
            <w:left w:w="0" w:type="dxa"/>
            <w:bottom w:w="0" w:type="dxa"/>
            <w:right w:w="0" w:type="dxa"/>
          </w:tblCellMar>
        </w:tblPrEx>
        <w:trPr>
          <w:trHeight w:val="60"/>
        </w:trPr>
        <w:tc>
          <w:tcPr>
            <w:tcW w:w="1041" w:type="pct"/>
            <w:shd w:val="clear" w:color="auto" w:fill="auto"/>
            <w:tcMar>
              <w:top w:w="113" w:type="dxa"/>
              <w:left w:w="113" w:type="dxa"/>
              <w:bottom w:w="113" w:type="dxa"/>
              <w:right w:w="113" w:type="dxa"/>
            </w:tcMar>
          </w:tcPr>
          <w:p w:rsidR="00000000" w:rsidRDefault="007B77B0" w:rsidP="007B77B0">
            <w:pPr>
              <w:pStyle w:val="BodyText"/>
            </w:pPr>
            <w:r>
              <w:t>12 April 2018</w:t>
            </w:r>
          </w:p>
        </w:tc>
        <w:tc>
          <w:tcPr>
            <w:tcW w:w="1461" w:type="pct"/>
            <w:shd w:val="clear" w:color="auto" w:fill="auto"/>
            <w:tcMar>
              <w:top w:w="113" w:type="dxa"/>
              <w:left w:w="113" w:type="dxa"/>
              <w:bottom w:w="113" w:type="dxa"/>
              <w:right w:w="113" w:type="dxa"/>
            </w:tcMar>
          </w:tcPr>
          <w:p w:rsidR="00000000" w:rsidRDefault="007B77B0" w:rsidP="007B77B0">
            <w:pPr>
              <w:pStyle w:val="BodyText"/>
            </w:pPr>
            <w:r>
              <w:t>18 April 2018</w:t>
            </w:r>
          </w:p>
        </w:tc>
        <w:tc>
          <w:tcPr>
            <w:tcW w:w="1319" w:type="pct"/>
            <w:shd w:val="clear" w:color="auto" w:fill="auto"/>
            <w:tcMar>
              <w:top w:w="113" w:type="dxa"/>
              <w:left w:w="113" w:type="dxa"/>
              <w:bottom w:w="113" w:type="dxa"/>
              <w:right w:w="113" w:type="dxa"/>
            </w:tcMar>
          </w:tcPr>
          <w:p w:rsidR="00000000" w:rsidRDefault="007B77B0" w:rsidP="007B77B0">
            <w:pPr>
              <w:pStyle w:val="BodyText"/>
            </w:pPr>
            <w:r>
              <w:t>4 May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15 March to 11 April 2018</w:t>
            </w:r>
          </w:p>
        </w:tc>
      </w:tr>
      <w:tr w:rsidR="00000000" w:rsidTr="007B77B0">
        <w:tblPrEx>
          <w:tblCellMar>
            <w:top w:w="0" w:type="dxa"/>
            <w:left w:w="0" w:type="dxa"/>
            <w:bottom w:w="0" w:type="dxa"/>
            <w:right w:w="0" w:type="dxa"/>
          </w:tblCellMar>
        </w:tblPrEx>
        <w:trPr>
          <w:trHeight w:val="406"/>
        </w:trPr>
        <w:tc>
          <w:tcPr>
            <w:tcW w:w="1041" w:type="pct"/>
            <w:shd w:val="clear" w:color="auto" w:fill="auto"/>
            <w:tcMar>
              <w:top w:w="113" w:type="dxa"/>
              <w:left w:w="113" w:type="dxa"/>
              <w:bottom w:w="113" w:type="dxa"/>
              <w:right w:w="113" w:type="dxa"/>
            </w:tcMar>
          </w:tcPr>
          <w:p w:rsidR="00000000" w:rsidRDefault="007B77B0" w:rsidP="007B77B0">
            <w:pPr>
              <w:pStyle w:val="BodyText"/>
            </w:pPr>
            <w:r>
              <w:t>10 May 2018</w:t>
            </w:r>
          </w:p>
        </w:tc>
        <w:tc>
          <w:tcPr>
            <w:tcW w:w="1461" w:type="pct"/>
            <w:shd w:val="clear" w:color="auto" w:fill="auto"/>
            <w:tcMar>
              <w:top w:w="113" w:type="dxa"/>
              <w:left w:w="113" w:type="dxa"/>
              <w:bottom w:w="113" w:type="dxa"/>
              <w:right w:w="113" w:type="dxa"/>
            </w:tcMar>
          </w:tcPr>
          <w:p w:rsidR="00000000" w:rsidRDefault="007B77B0" w:rsidP="007B77B0">
            <w:pPr>
              <w:pStyle w:val="BodyText"/>
            </w:pPr>
            <w:r>
              <w:t>16 May 2018</w:t>
            </w:r>
          </w:p>
        </w:tc>
        <w:tc>
          <w:tcPr>
            <w:tcW w:w="1319" w:type="pct"/>
            <w:shd w:val="clear" w:color="auto" w:fill="auto"/>
            <w:tcMar>
              <w:top w:w="113" w:type="dxa"/>
              <w:left w:w="113" w:type="dxa"/>
              <w:bottom w:w="113" w:type="dxa"/>
              <w:right w:w="113" w:type="dxa"/>
            </w:tcMar>
          </w:tcPr>
          <w:p w:rsidR="00000000" w:rsidRDefault="007B77B0" w:rsidP="007B77B0">
            <w:pPr>
              <w:pStyle w:val="BodyText"/>
            </w:pPr>
            <w:r>
              <w:t>30 May 2018</w:t>
            </w:r>
          </w:p>
        </w:tc>
        <w:tc>
          <w:tcPr>
            <w:tcW w:w="1179" w:type="pct"/>
            <w:shd w:val="clear" w:color="auto" w:fill="auto"/>
            <w:tcMar>
              <w:top w:w="113" w:type="dxa"/>
              <w:left w:w="113" w:type="dxa"/>
              <w:bottom w:w="113" w:type="dxa"/>
              <w:right w:w="113" w:type="dxa"/>
            </w:tcMar>
          </w:tcPr>
          <w:p w:rsidR="00000000" w:rsidRDefault="007B77B0" w:rsidP="007B77B0">
            <w:pPr>
              <w:pStyle w:val="BodyText"/>
            </w:pPr>
            <w:r>
              <w:t>12 April to 9 May 2018</w:t>
            </w:r>
          </w:p>
        </w:tc>
      </w:tr>
    </w:tbl>
    <w:p w:rsidR="00000000" w:rsidRDefault="007B77B0" w:rsidP="007B77B0">
      <w:pPr>
        <w:pStyle w:val="BodyText"/>
        <w:rPr>
          <w:lang w:val="en-AU"/>
        </w:rPr>
      </w:pPr>
      <w:r>
        <w:rPr>
          <w:lang w:val="en-AU"/>
        </w:rPr>
        <w:t>*Payment has been brought forward due to an Australian Public holiday.</w:t>
      </w:r>
    </w:p>
    <w:p w:rsidR="00000000" w:rsidRDefault="007B77B0" w:rsidP="007B77B0">
      <w:pPr>
        <w:pStyle w:val="BodyText"/>
        <w:rPr>
          <w:lang w:val="en-AU"/>
        </w:rPr>
      </w:pPr>
      <w:r>
        <w:rPr>
          <w:lang w:val="en-AU"/>
        </w:rPr>
        <w:t xml:space="preserve">Cheques may be delivered later than these dates </w:t>
      </w:r>
      <w:proofErr w:type="spellStart"/>
      <w:r>
        <w:rPr>
          <w:lang w:val="en-AU"/>
        </w:rPr>
        <w:t>dute</w:t>
      </w:r>
      <w:proofErr w:type="spellEnd"/>
      <w:r>
        <w:rPr>
          <w:lang w:val="en-AU"/>
        </w:rPr>
        <w:t xml:space="preserve"> to delays in mail delivery.</w:t>
      </w:r>
    </w:p>
    <w:p w:rsidR="00000000" w:rsidRPr="007B77B0" w:rsidRDefault="007B77B0" w:rsidP="007B77B0">
      <w:pPr>
        <w:pStyle w:val="Heading3"/>
      </w:pPr>
      <w:r w:rsidRPr="007B77B0">
        <w:t>Direct deposit payments</w:t>
      </w:r>
    </w:p>
    <w:p w:rsidR="00000000" w:rsidRDefault="007B77B0" w:rsidP="007B77B0">
      <w:pPr>
        <w:pStyle w:val="BodyText"/>
        <w:rPr>
          <w:lang w:val="en-AU"/>
        </w:rPr>
      </w:pPr>
      <w:r>
        <w:rPr>
          <w:lang w:val="en-AU"/>
        </w:rPr>
        <w:t>In most countries we pay pensions directly into bank accounts. We encourage this method of payment as it is safe, quick and reliable.</w:t>
      </w:r>
    </w:p>
    <w:p w:rsidR="00000000" w:rsidRDefault="007B77B0" w:rsidP="007B77B0">
      <w:pPr>
        <w:pStyle w:val="BodyText"/>
        <w:rPr>
          <w:rFonts w:ascii="PF Centro Slab Pro Medium" w:hAnsi="PF Centro Slab Pro Medium" w:cs="PF Centro Slab Pro Medium"/>
          <w:color w:val="ED174B"/>
          <w:sz w:val="44"/>
          <w:szCs w:val="44"/>
        </w:rPr>
      </w:pPr>
      <w:r>
        <w:t>If you receive yo</w:t>
      </w:r>
      <w:r>
        <w:t>ur payment by direct deposit into your bank account it will be available within two to six days after issue. If your payment hasn’t arrived within 10 days of being issued, check with your local bank before contacting us.</w:t>
      </w:r>
    </w:p>
    <w:p w:rsidR="00000000" w:rsidRPr="007B77B0" w:rsidRDefault="007B77B0" w:rsidP="007B77B0">
      <w:pPr>
        <w:pStyle w:val="Heading2"/>
      </w:pPr>
      <w:r w:rsidRPr="007B77B0">
        <w:t xml:space="preserve">How to contact us </w:t>
      </w:r>
    </w:p>
    <w:p w:rsidR="00000000" w:rsidRDefault="007B77B0" w:rsidP="007B77B0">
      <w:pPr>
        <w:pStyle w:val="BodyText"/>
      </w:pPr>
      <w:r>
        <w:t xml:space="preserve">Go to </w:t>
      </w:r>
      <w:r>
        <w:rPr>
          <w:b/>
          <w:bCs/>
        </w:rPr>
        <w:t xml:space="preserve">humanservices.gov.au </w:t>
      </w:r>
      <w:r>
        <w:t xml:space="preserve">to find out information about your payment as well as our other payments and services. </w:t>
      </w:r>
    </w:p>
    <w:p w:rsidR="00000000" w:rsidRDefault="007B77B0" w:rsidP="007B77B0">
      <w:pPr>
        <w:pStyle w:val="BodyText"/>
      </w:pPr>
      <w:r>
        <w:t xml:space="preserve">Call us Monday to Friday, between 8.00 am and 5.00 pm Australian Eastern Savings Time (AEST). </w:t>
      </w:r>
    </w:p>
    <w:p w:rsidR="00000000" w:rsidRDefault="007B77B0" w:rsidP="007B77B0">
      <w:pPr>
        <w:pStyle w:val="BodyText"/>
      </w:pPr>
      <w:r>
        <w:t xml:space="preserve">Phone calls from the following countries are </w:t>
      </w:r>
      <w:proofErr w:type="spellStart"/>
      <w:r>
        <w:t>Freecal</w:t>
      </w:r>
      <w:r>
        <w:t>l</w:t>
      </w:r>
      <w:proofErr w:type="spellEnd"/>
      <w:r>
        <w:t>™. Dial the number shown without any international or country codes before it.</w:t>
      </w:r>
    </w:p>
    <w:p w:rsidR="00000000" w:rsidRDefault="007B77B0" w:rsidP="007B77B0">
      <w:pPr>
        <w:pStyle w:val="BodyText"/>
      </w:pPr>
      <w:r>
        <w:t>Austria</w:t>
      </w:r>
      <w:r w:rsidRPr="007B77B0">
        <w:rPr>
          <w:b/>
        </w:rPr>
        <w:tab/>
      </w:r>
      <w:proofErr w:type="spellStart"/>
      <w:r w:rsidRPr="007B77B0">
        <w:rPr>
          <w:b/>
        </w:rPr>
        <w:t>Freecall</w:t>
      </w:r>
      <w:proofErr w:type="spellEnd"/>
      <w:r w:rsidRPr="007B77B0">
        <w:rPr>
          <w:b/>
        </w:rPr>
        <w:t>™ 0800 295 165</w:t>
      </w:r>
      <w:r>
        <w:t xml:space="preserve"> </w:t>
      </w:r>
    </w:p>
    <w:p w:rsidR="00000000" w:rsidRDefault="007B77B0" w:rsidP="007B77B0">
      <w:pPr>
        <w:pStyle w:val="BodyText"/>
      </w:pPr>
      <w:r>
        <w:t xml:space="preserve">Canada </w:t>
      </w:r>
      <w:r w:rsidRPr="007B77B0">
        <w:rPr>
          <w:b/>
        </w:rPr>
        <w:tab/>
      </w:r>
      <w:proofErr w:type="spellStart"/>
      <w:r w:rsidRPr="007B77B0">
        <w:rPr>
          <w:b/>
        </w:rPr>
        <w:t>Freecall</w:t>
      </w:r>
      <w:proofErr w:type="spellEnd"/>
      <w:r w:rsidRPr="007B77B0">
        <w:rPr>
          <w:b/>
        </w:rPr>
        <w:t>™ 1888 2557 493</w:t>
      </w:r>
      <w:r>
        <w:t xml:space="preserve"> </w:t>
      </w:r>
    </w:p>
    <w:p w:rsidR="00000000" w:rsidRDefault="007B77B0" w:rsidP="007B77B0">
      <w:pPr>
        <w:pStyle w:val="BodyText"/>
      </w:pPr>
      <w:r>
        <w:t xml:space="preserve">China (North)* </w:t>
      </w:r>
      <w:r w:rsidRPr="007B77B0">
        <w:rPr>
          <w:b/>
        </w:rPr>
        <w:tab/>
      </w:r>
      <w:proofErr w:type="spellStart"/>
      <w:r w:rsidRPr="007B77B0">
        <w:rPr>
          <w:b/>
        </w:rPr>
        <w:t>Freecall</w:t>
      </w:r>
      <w:proofErr w:type="spellEnd"/>
      <w:r w:rsidRPr="007B77B0">
        <w:rPr>
          <w:b/>
        </w:rPr>
        <w:t>™ 10 800 6100 427</w:t>
      </w:r>
      <w:r>
        <w:t xml:space="preserve"> </w:t>
      </w:r>
    </w:p>
    <w:p w:rsidR="00000000" w:rsidRDefault="007B77B0" w:rsidP="007B77B0">
      <w:pPr>
        <w:pStyle w:val="BodyText"/>
      </w:pPr>
      <w:r>
        <w:t xml:space="preserve">China (South)* </w:t>
      </w:r>
      <w:r w:rsidRPr="007B77B0">
        <w:rPr>
          <w:b/>
        </w:rPr>
        <w:tab/>
      </w:r>
      <w:proofErr w:type="spellStart"/>
      <w:r w:rsidRPr="007B77B0">
        <w:rPr>
          <w:b/>
        </w:rPr>
        <w:t>Freecall</w:t>
      </w:r>
      <w:proofErr w:type="spellEnd"/>
      <w:r w:rsidRPr="007B77B0">
        <w:rPr>
          <w:b/>
        </w:rPr>
        <w:t>™ 10 800 2611 309</w:t>
      </w:r>
      <w:r>
        <w:t xml:space="preserve"> </w:t>
      </w:r>
    </w:p>
    <w:p w:rsidR="00000000" w:rsidRDefault="007B77B0" w:rsidP="007B77B0">
      <w:pPr>
        <w:pStyle w:val="BodyText"/>
      </w:pPr>
      <w:r>
        <w:t xml:space="preserve">Denmark </w:t>
      </w:r>
      <w:r w:rsidRPr="007B77B0">
        <w:rPr>
          <w:b/>
        </w:rPr>
        <w:tab/>
      </w:r>
      <w:proofErr w:type="spellStart"/>
      <w:r w:rsidRPr="007B77B0">
        <w:rPr>
          <w:b/>
        </w:rPr>
        <w:t>Freecall</w:t>
      </w:r>
      <w:proofErr w:type="spellEnd"/>
      <w:r w:rsidRPr="007B77B0">
        <w:rPr>
          <w:b/>
        </w:rPr>
        <w:t>™ 8088 3</w:t>
      </w:r>
      <w:r w:rsidRPr="007B77B0">
        <w:rPr>
          <w:b/>
        </w:rPr>
        <w:t>556</w:t>
      </w:r>
      <w:r>
        <w:t xml:space="preserve"> </w:t>
      </w:r>
    </w:p>
    <w:p w:rsidR="00000000" w:rsidRDefault="007B77B0" w:rsidP="007B77B0">
      <w:pPr>
        <w:pStyle w:val="BodyText"/>
      </w:pPr>
      <w:r>
        <w:t xml:space="preserve">Germany </w:t>
      </w:r>
      <w:r w:rsidRPr="007B77B0">
        <w:rPr>
          <w:b/>
        </w:rPr>
        <w:tab/>
      </w:r>
      <w:proofErr w:type="spellStart"/>
      <w:r w:rsidRPr="007B77B0">
        <w:rPr>
          <w:b/>
        </w:rPr>
        <w:t>Freecall</w:t>
      </w:r>
      <w:proofErr w:type="spellEnd"/>
      <w:r w:rsidRPr="007B77B0">
        <w:rPr>
          <w:b/>
        </w:rPr>
        <w:t>™ 0800 180 2482</w:t>
      </w:r>
    </w:p>
    <w:p w:rsidR="00000000" w:rsidRDefault="007B77B0" w:rsidP="007B77B0">
      <w:pPr>
        <w:pStyle w:val="BodyText"/>
      </w:pPr>
      <w:r>
        <w:t xml:space="preserve">Greece </w:t>
      </w:r>
      <w:r w:rsidRPr="007B77B0">
        <w:rPr>
          <w:b/>
        </w:rPr>
        <w:tab/>
      </w:r>
      <w:proofErr w:type="spellStart"/>
      <w:r w:rsidRPr="007B77B0">
        <w:rPr>
          <w:b/>
        </w:rPr>
        <w:t>Freecall</w:t>
      </w:r>
      <w:proofErr w:type="spellEnd"/>
      <w:r w:rsidRPr="007B77B0">
        <w:rPr>
          <w:b/>
        </w:rPr>
        <w:t>™ 0080 0611 26209</w:t>
      </w:r>
    </w:p>
    <w:p w:rsidR="00000000" w:rsidRDefault="007B77B0" w:rsidP="007B77B0">
      <w:pPr>
        <w:pStyle w:val="BodyText"/>
      </w:pPr>
      <w:r>
        <w:t xml:space="preserve">India </w:t>
      </w:r>
      <w:r w:rsidRPr="007B77B0">
        <w:rPr>
          <w:b/>
        </w:rPr>
        <w:tab/>
      </w:r>
      <w:proofErr w:type="spellStart"/>
      <w:r w:rsidRPr="007B77B0">
        <w:rPr>
          <w:b/>
        </w:rPr>
        <w:t>Freecall</w:t>
      </w:r>
      <w:proofErr w:type="spellEnd"/>
      <w:r w:rsidRPr="007B77B0">
        <w:rPr>
          <w:b/>
        </w:rPr>
        <w:t xml:space="preserve">™ 000 800 61 01098 </w:t>
      </w:r>
    </w:p>
    <w:p w:rsidR="00000000" w:rsidRDefault="007B77B0" w:rsidP="007B77B0">
      <w:pPr>
        <w:pStyle w:val="BodyText"/>
      </w:pPr>
      <w:r>
        <w:t xml:space="preserve">Indonesia </w:t>
      </w:r>
      <w:r w:rsidRPr="007B77B0">
        <w:rPr>
          <w:b/>
        </w:rPr>
        <w:tab/>
      </w:r>
      <w:proofErr w:type="spellStart"/>
      <w:r w:rsidRPr="007B77B0">
        <w:rPr>
          <w:b/>
        </w:rPr>
        <w:t>Freecall</w:t>
      </w:r>
      <w:proofErr w:type="spellEnd"/>
      <w:r w:rsidRPr="007B77B0">
        <w:rPr>
          <w:b/>
        </w:rPr>
        <w:t>™ 001 803 61 035</w:t>
      </w:r>
    </w:p>
    <w:p w:rsidR="00000000" w:rsidRDefault="007B77B0" w:rsidP="007B77B0">
      <w:pPr>
        <w:pStyle w:val="BodyText"/>
      </w:pPr>
      <w:r>
        <w:t xml:space="preserve">Italy </w:t>
      </w:r>
      <w:r w:rsidRPr="007B77B0">
        <w:rPr>
          <w:b/>
        </w:rPr>
        <w:tab/>
      </w:r>
      <w:proofErr w:type="spellStart"/>
      <w:r w:rsidRPr="007B77B0">
        <w:rPr>
          <w:b/>
        </w:rPr>
        <w:t>Freecall</w:t>
      </w:r>
      <w:proofErr w:type="spellEnd"/>
      <w:r w:rsidRPr="007B77B0">
        <w:rPr>
          <w:b/>
        </w:rPr>
        <w:t>™ 800 781 977</w:t>
      </w:r>
      <w:r>
        <w:t xml:space="preserve"> </w:t>
      </w:r>
    </w:p>
    <w:p w:rsidR="00000000" w:rsidRDefault="007B77B0" w:rsidP="007B77B0">
      <w:pPr>
        <w:pStyle w:val="BodyText"/>
      </w:pPr>
      <w:r>
        <w:t xml:space="preserve">Korea Republic </w:t>
      </w:r>
      <w:r w:rsidRPr="007B77B0">
        <w:rPr>
          <w:b/>
        </w:rPr>
        <w:tab/>
      </w:r>
      <w:proofErr w:type="spellStart"/>
      <w:r w:rsidRPr="007B77B0">
        <w:rPr>
          <w:b/>
        </w:rPr>
        <w:t>Freecall</w:t>
      </w:r>
      <w:proofErr w:type="spellEnd"/>
      <w:r w:rsidRPr="007B77B0">
        <w:rPr>
          <w:b/>
        </w:rPr>
        <w:t>™ 003 081 32326</w:t>
      </w:r>
    </w:p>
    <w:p w:rsidR="00000000" w:rsidRPr="007B77B0" w:rsidRDefault="007B77B0" w:rsidP="007B77B0">
      <w:pPr>
        <w:pStyle w:val="BodyText"/>
        <w:rPr>
          <w:b/>
        </w:rPr>
      </w:pPr>
      <w:r>
        <w:t xml:space="preserve">Netherlands </w:t>
      </w:r>
      <w:r w:rsidRPr="007B77B0">
        <w:rPr>
          <w:b/>
        </w:rPr>
        <w:tab/>
      </w:r>
      <w:proofErr w:type="spellStart"/>
      <w:r w:rsidRPr="007B77B0">
        <w:rPr>
          <w:b/>
        </w:rPr>
        <w:t>Freecall</w:t>
      </w:r>
      <w:proofErr w:type="spellEnd"/>
      <w:r w:rsidRPr="007B77B0">
        <w:rPr>
          <w:b/>
        </w:rPr>
        <w:t>™ 0800 0224 364</w:t>
      </w:r>
    </w:p>
    <w:p w:rsidR="00000000" w:rsidRDefault="007B77B0" w:rsidP="007B77B0">
      <w:pPr>
        <w:pStyle w:val="BodyText"/>
      </w:pPr>
      <w:r>
        <w:t xml:space="preserve">New Zealand </w:t>
      </w:r>
      <w:r w:rsidRPr="007B77B0">
        <w:rPr>
          <w:b/>
        </w:rPr>
        <w:tab/>
      </w:r>
      <w:proofErr w:type="spellStart"/>
      <w:r w:rsidRPr="007B77B0">
        <w:rPr>
          <w:b/>
        </w:rPr>
        <w:t>Freecall</w:t>
      </w:r>
      <w:proofErr w:type="spellEnd"/>
      <w:r w:rsidRPr="007B77B0">
        <w:rPr>
          <w:b/>
        </w:rPr>
        <w:t>™ 0800 441 248</w:t>
      </w:r>
      <w:r>
        <w:t xml:space="preserve"> </w:t>
      </w:r>
    </w:p>
    <w:p w:rsidR="00000000" w:rsidRDefault="007B77B0" w:rsidP="007B77B0">
      <w:pPr>
        <w:pStyle w:val="BodyText"/>
      </w:pPr>
      <w:r>
        <w:t xml:space="preserve">Philippines </w:t>
      </w:r>
      <w:r w:rsidRPr="007B77B0">
        <w:rPr>
          <w:b/>
        </w:rPr>
        <w:tab/>
      </w:r>
      <w:proofErr w:type="spellStart"/>
      <w:r w:rsidRPr="007B77B0">
        <w:rPr>
          <w:b/>
        </w:rPr>
        <w:t>Freecall</w:t>
      </w:r>
      <w:proofErr w:type="spellEnd"/>
      <w:r w:rsidRPr="007B77B0">
        <w:rPr>
          <w:b/>
        </w:rPr>
        <w:t>™ 1800 1611 0046</w:t>
      </w:r>
      <w:r>
        <w:t xml:space="preserve"> </w:t>
      </w:r>
    </w:p>
    <w:p w:rsidR="00000000" w:rsidRDefault="007B77B0" w:rsidP="007B77B0">
      <w:pPr>
        <w:pStyle w:val="BodyText"/>
      </w:pPr>
      <w:r>
        <w:t xml:space="preserve">Poland </w:t>
      </w:r>
      <w:r w:rsidRPr="007B77B0">
        <w:rPr>
          <w:b/>
        </w:rPr>
        <w:tab/>
      </w:r>
      <w:proofErr w:type="spellStart"/>
      <w:r w:rsidRPr="007B77B0">
        <w:rPr>
          <w:b/>
        </w:rPr>
        <w:t>Freecall</w:t>
      </w:r>
      <w:proofErr w:type="spellEnd"/>
      <w:r w:rsidRPr="007B77B0">
        <w:rPr>
          <w:b/>
        </w:rPr>
        <w:t>™ 00 800 6111 220</w:t>
      </w:r>
    </w:p>
    <w:p w:rsidR="00000000" w:rsidRDefault="007B77B0" w:rsidP="007B77B0">
      <w:pPr>
        <w:pStyle w:val="BodyText"/>
      </w:pPr>
      <w:r>
        <w:t xml:space="preserve">Portugal </w:t>
      </w:r>
      <w:r w:rsidRPr="007B77B0">
        <w:rPr>
          <w:b/>
        </w:rPr>
        <w:tab/>
      </w:r>
      <w:proofErr w:type="spellStart"/>
      <w:r w:rsidRPr="007B77B0">
        <w:rPr>
          <w:b/>
        </w:rPr>
        <w:t>Freecall</w:t>
      </w:r>
      <w:proofErr w:type="spellEnd"/>
      <w:r w:rsidRPr="007B77B0">
        <w:rPr>
          <w:b/>
        </w:rPr>
        <w:t>™ 800 861 122</w:t>
      </w:r>
      <w:r>
        <w:t xml:space="preserve"> </w:t>
      </w:r>
    </w:p>
    <w:p w:rsidR="00000000" w:rsidRDefault="007B77B0" w:rsidP="007B77B0">
      <w:pPr>
        <w:pStyle w:val="BodyText"/>
      </w:pPr>
      <w:r>
        <w:t xml:space="preserve">Singapore </w:t>
      </w:r>
      <w:r w:rsidRPr="007B77B0">
        <w:rPr>
          <w:b/>
        </w:rPr>
        <w:tab/>
      </w:r>
      <w:proofErr w:type="spellStart"/>
      <w:r w:rsidRPr="007B77B0">
        <w:rPr>
          <w:b/>
        </w:rPr>
        <w:t>Freecall</w:t>
      </w:r>
      <w:proofErr w:type="spellEnd"/>
      <w:r w:rsidRPr="007B77B0">
        <w:rPr>
          <w:b/>
        </w:rPr>
        <w:t>™ 800 6167 015</w:t>
      </w:r>
      <w:r>
        <w:t xml:space="preserve"> </w:t>
      </w:r>
    </w:p>
    <w:p w:rsidR="00000000" w:rsidRDefault="007B77B0" w:rsidP="007B77B0">
      <w:pPr>
        <w:pStyle w:val="BodyText"/>
      </w:pPr>
      <w:r>
        <w:t xml:space="preserve">Spain </w:t>
      </w:r>
      <w:r w:rsidRPr="007B77B0">
        <w:rPr>
          <w:b/>
        </w:rPr>
        <w:tab/>
      </w:r>
      <w:proofErr w:type="spellStart"/>
      <w:r w:rsidRPr="007B77B0">
        <w:rPr>
          <w:b/>
        </w:rPr>
        <w:t>Freecall</w:t>
      </w:r>
      <w:proofErr w:type="spellEnd"/>
      <w:r w:rsidRPr="007B77B0">
        <w:rPr>
          <w:b/>
        </w:rPr>
        <w:t>™ 900 951 547</w:t>
      </w:r>
      <w:r>
        <w:t xml:space="preserve"> </w:t>
      </w:r>
    </w:p>
    <w:p w:rsidR="00000000" w:rsidRDefault="007B77B0" w:rsidP="007B77B0">
      <w:pPr>
        <w:pStyle w:val="BodyText"/>
      </w:pPr>
      <w:r>
        <w:t xml:space="preserve">Thailand </w:t>
      </w:r>
      <w:r w:rsidRPr="007B77B0">
        <w:rPr>
          <w:b/>
        </w:rPr>
        <w:tab/>
      </w:r>
      <w:proofErr w:type="spellStart"/>
      <w:r w:rsidRPr="007B77B0">
        <w:rPr>
          <w:b/>
        </w:rPr>
        <w:t>Freecall</w:t>
      </w:r>
      <w:proofErr w:type="spellEnd"/>
      <w:r w:rsidRPr="007B77B0">
        <w:rPr>
          <w:b/>
        </w:rPr>
        <w:t>™ 001 800 611 4136</w:t>
      </w:r>
      <w:r>
        <w:t xml:space="preserve"> </w:t>
      </w:r>
    </w:p>
    <w:p w:rsidR="00000000" w:rsidRDefault="007B77B0" w:rsidP="007B77B0">
      <w:pPr>
        <w:pStyle w:val="BodyText"/>
      </w:pPr>
      <w:r>
        <w:t xml:space="preserve">Turkey </w:t>
      </w:r>
      <w:r w:rsidRPr="007B77B0">
        <w:rPr>
          <w:b/>
        </w:rPr>
        <w:tab/>
      </w:r>
      <w:proofErr w:type="spellStart"/>
      <w:r w:rsidRPr="007B77B0">
        <w:rPr>
          <w:b/>
        </w:rPr>
        <w:t>Fr</w:t>
      </w:r>
      <w:r w:rsidRPr="007B77B0">
        <w:rPr>
          <w:b/>
        </w:rPr>
        <w:t>eecall</w:t>
      </w:r>
      <w:proofErr w:type="spellEnd"/>
      <w:r w:rsidRPr="007B77B0">
        <w:rPr>
          <w:b/>
        </w:rPr>
        <w:t>™ 00 800 6190 5703</w:t>
      </w:r>
      <w:r>
        <w:t xml:space="preserve"> </w:t>
      </w:r>
    </w:p>
    <w:p w:rsidR="00000000" w:rsidRPr="007B77B0" w:rsidRDefault="007B77B0" w:rsidP="007B77B0">
      <w:pPr>
        <w:pStyle w:val="BodyText"/>
        <w:rPr>
          <w:b/>
        </w:rPr>
      </w:pPr>
      <w:r>
        <w:t xml:space="preserve">United Arab Emirates </w:t>
      </w:r>
      <w:r w:rsidRPr="007B77B0">
        <w:rPr>
          <w:b/>
        </w:rPr>
        <w:tab/>
      </w:r>
      <w:proofErr w:type="spellStart"/>
      <w:r w:rsidRPr="007B77B0">
        <w:rPr>
          <w:b/>
        </w:rPr>
        <w:t>Freecall</w:t>
      </w:r>
      <w:proofErr w:type="spellEnd"/>
      <w:r w:rsidRPr="007B77B0">
        <w:rPr>
          <w:b/>
        </w:rPr>
        <w:t>™ 800 061 04319</w:t>
      </w:r>
    </w:p>
    <w:p w:rsidR="00000000" w:rsidRDefault="007B77B0" w:rsidP="007B77B0">
      <w:pPr>
        <w:pStyle w:val="BodyText"/>
      </w:pPr>
      <w:r>
        <w:t xml:space="preserve">United Kingdom </w:t>
      </w:r>
      <w:r w:rsidRPr="007B77B0">
        <w:rPr>
          <w:b/>
        </w:rPr>
        <w:tab/>
      </w:r>
      <w:proofErr w:type="spellStart"/>
      <w:r w:rsidRPr="007B77B0">
        <w:rPr>
          <w:b/>
        </w:rPr>
        <w:t>Freecall</w:t>
      </w:r>
      <w:proofErr w:type="spellEnd"/>
      <w:r w:rsidRPr="007B77B0">
        <w:rPr>
          <w:b/>
        </w:rPr>
        <w:t>™ 0800 169 5865</w:t>
      </w:r>
    </w:p>
    <w:p w:rsidR="00000000" w:rsidRDefault="007B77B0" w:rsidP="007B77B0">
      <w:pPr>
        <w:pStyle w:val="BodyText"/>
      </w:pPr>
      <w:r>
        <w:t xml:space="preserve">USA </w:t>
      </w:r>
      <w:r w:rsidRPr="007B77B0">
        <w:rPr>
          <w:b/>
        </w:rPr>
        <w:tab/>
      </w:r>
      <w:proofErr w:type="spellStart"/>
      <w:r w:rsidRPr="007B77B0">
        <w:rPr>
          <w:b/>
        </w:rPr>
        <w:t>Freecall</w:t>
      </w:r>
      <w:proofErr w:type="spellEnd"/>
      <w:r w:rsidRPr="007B77B0">
        <w:rPr>
          <w:b/>
        </w:rPr>
        <w:t>™ 1866 3433 086</w:t>
      </w:r>
      <w:r>
        <w:t xml:space="preserve"> </w:t>
      </w:r>
    </w:p>
    <w:p w:rsidR="00000000" w:rsidRDefault="007B77B0" w:rsidP="007B77B0">
      <w:pPr>
        <w:pStyle w:val="BodyText"/>
      </w:pPr>
      <w:r>
        <w:t xml:space="preserve">*China (North) includes the provinces of Beijing, Tianjin, Hebei, Shanxi, Inner Mongolia, Heilongjiang, Liaoning, </w:t>
      </w:r>
      <w:r>
        <w:t xml:space="preserve">Jilin, Shandong and Henan. All other provinces are considered as China (South) for this purpose. </w:t>
      </w:r>
    </w:p>
    <w:p w:rsidR="00000000" w:rsidRDefault="007B77B0" w:rsidP="007B77B0">
      <w:pPr>
        <w:pStyle w:val="BodyText"/>
      </w:pPr>
      <w:r>
        <w:t xml:space="preserve">Please include your name, </w:t>
      </w:r>
      <w:proofErr w:type="spellStart"/>
      <w:r>
        <w:t>Centrelink</w:t>
      </w:r>
      <w:proofErr w:type="spellEnd"/>
      <w:r>
        <w:t xml:space="preserve"> Customer Reference Number and your telephone number in your query. </w:t>
      </w:r>
    </w:p>
    <w:p w:rsidR="00000000" w:rsidRDefault="007B77B0" w:rsidP="007B77B0">
      <w:pPr>
        <w:pStyle w:val="BodyText"/>
      </w:pPr>
      <w:r w:rsidRPr="007B77B0">
        <w:rPr>
          <w:b/>
        </w:rPr>
        <w:t>Note</w:t>
      </w:r>
      <w:r>
        <w:t xml:space="preserve">: a </w:t>
      </w:r>
      <w:proofErr w:type="spellStart"/>
      <w:r>
        <w:t>Freecall</w:t>
      </w:r>
      <w:proofErr w:type="spellEnd"/>
      <w:r>
        <w:t>™ may not be available from every loc</w:t>
      </w:r>
      <w:r>
        <w:t>ation within the country and may not be free from mobile or public phones. If using a pay telephone, you’ll need to insert coins or a card as for a local call and this may not be refunded at the end of the call.</w:t>
      </w:r>
    </w:p>
    <w:p w:rsidR="00000000" w:rsidRDefault="007B77B0" w:rsidP="007B77B0">
      <w:pPr>
        <w:pStyle w:val="BodyText"/>
      </w:pPr>
      <w:r>
        <w:t>If you’re in a country that’s not listed, or</w:t>
      </w:r>
      <w:r>
        <w:t xml:space="preserve"> if you’re not able to use the </w:t>
      </w:r>
      <w:proofErr w:type="spellStart"/>
      <w:r>
        <w:t>Freecall</w:t>
      </w:r>
      <w:proofErr w:type="spellEnd"/>
      <w:r>
        <w:t xml:space="preserve">™ number listed above, please contact us on </w:t>
      </w:r>
      <w:r w:rsidRPr="007B77B0">
        <w:rPr>
          <w:b/>
        </w:rPr>
        <w:t>+61 3 6222 3455</w:t>
      </w:r>
      <w:r>
        <w:t>.</w:t>
      </w:r>
    </w:p>
    <w:p w:rsidR="00000000" w:rsidRDefault="007B77B0" w:rsidP="007B77B0">
      <w:pPr>
        <w:pStyle w:val="BodyText"/>
      </w:pPr>
      <w:r>
        <w:t xml:space="preserve">You can fax us on </w:t>
      </w:r>
      <w:r w:rsidRPr="007B77B0">
        <w:rPr>
          <w:b/>
        </w:rPr>
        <w:t>+61 3 6222 2799</w:t>
      </w:r>
      <w:r>
        <w:t xml:space="preserve">, or write to us at </w:t>
      </w:r>
      <w:r w:rsidRPr="007B77B0">
        <w:rPr>
          <w:b/>
        </w:rPr>
        <w:t>PO Box 7809, Canberra BC, ACT 2610, Australia</w:t>
      </w:r>
      <w:r>
        <w:t xml:space="preserve">. </w:t>
      </w:r>
    </w:p>
    <w:p w:rsidR="00000000" w:rsidRDefault="007B77B0" w:rsidP="007B77B0">
      <w:pPr>
        <w:pStyle w:val="BodyText"/>
      </w:pPr>
      <w:r w:rsidRPr="007B77B0">
        <w:rPr>
          <w:b/>
        </w:rPr>
        <w:t>Disclaimer</w:t>
      </w:r>
      <w:r>
        <w:t>: The Commonwealth of Australia has attempted</w:t>
      </w:r>
      <w:r>
        <w:t xml:space="preserve"> to ensure the information in this publication is accurate. However, the Commonwealth does not warrant that the information is accurate or complete nor will it be liable for any loss suffered by any person because they rely on it in any way. You should con</w:t>
      </w:r>
      <w:r>
        <w:t>tact the Australian Government Department of Human Services for full details of any entitlements and services to which you may be eligible or how any pending changes in legislation, programs or services may affect you.</w:t>
      </w:r>
    </w:p>
    <w:p w:rsidR="007B77B0" w:rsidRPr="007B77B0" w:rsidRDefault="007B77B0" w:rsidP="007B77B0">
      <w:pPr>
        <w:pStyle w:val="ProductCode"/>
      </w:pPr>
      <w:r>
        <w:t>INT001.1709</w:t>
      </w:r>
    </w:p>
    <w:sectPr w:rsidR="007B77B0" w:rsidRPr="007B77B0" w:rsidSect="007B77B0">
      <w:pgSz w:w="11906" w:h="16838"/>
      <w:pgMar w:top="284" w:right="284" w:bottom="284" w:left="28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PF Centro Sans Pro">
    <w:panose1 w:val="02000500000000020004"/>
    <w:charset w:val="00"/>
    <w:family w:val="modern"/>
    <w:notTrueType/>
    <w:pitch w:val="variable"/>
    <w:sig w:usb0="E00002BF" w:usb1="5000E0FB" w:usb2="00000000" w:usb3="00000000" w:csb0="0000019F" w:csb1="00000000"/>
  </w:font>
  <w:font w:name="PF Centro Slab Pro Medium">
    <w:panose1 w:val="02000500000000020004"/>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CB47AF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54EA2830"/>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393E57E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B04E052"/>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B0"/>
    <w:rsid w:val="007B7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49182C-4D30-472D-B48D-252B06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7B77B0"/>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7B77B0"/>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7B77B0"/>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7B77B0"/>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7B77B0"/>
    <w:pPr>
      <w:keepNext/>
      <w:spacing w:before="60" w:after="120"/>
      <w:outlineLvl w:val="3"/>
    </w:pPr>
    <w:rPr>
      <w:b/>
      <w:bCs/>
      <w:sz w:val="28"/>
      <w:szCs w:val="28"/>
    </w:rPr>
  </w:style>
  <w:style w:type="paragraph" w:styleId="Heading5">
    <w:name w:val="heading 5"/>
    <w:basedOn w:val="Normal"/>
    <w:next w:val="Normal"/>
    <w:link w:val="Heading5Char"/>
    <w:qFormat/>
    <w:rsid w:val="007B77B0"/>
    <w:pPr>
      <w:spacing w:before="60" w:after="120"/>
      <w:outlineLvl w:val="4"/>
    </w:pPr>
    <w:rPr>
      <w:b/>
      <w:bCs/>
      <w:i/>
      <w:iCs/>
      <w:sz w:val="26"/>
      <w:szCs w:val="26"/>
    </w:rPr>
  </w:style>
  <w:style w:type="paragraph" w:styleId="Heading6">
    <w:name w:val="heading 6"/>
    <w:basedOn w:val="Normal"/>
    <w:next w:val="Normal"/>
    <w:link w:val="Heading6Char"/>
    <w:qFormat/>
    <w:rsid w:val="007B77B0"/>
    <w:pPr>
      <w:spacing w:before="60" w:after="12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oductCode">
    <w:name w:val="Product Code"/>
    <w:basedOn w:val="BodyText"/>
    <w:autoRedefine/>
    <w:qFormat/>
    <w:rsid w:val="007B77B0"/>
    <w:rPr>
      <w:sz w:val="20"/>
      <w:szCs w:val="20"/>
      <w:lang w:val="fr-FR"/>
    </w:rPr>
  </w:style>
  <w:style w:type="character" w:customStyle="1" w:styleId="Heading1Char">
    <w:name w:val="Heading 1 Char"/>
    <w:basedOn w:val="DefaultParagraphFont"/>
    <w:link w:val="Heading1"/>
    <w:rsid w:val="007B77B0"/>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7B77B0"/>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7B77B0"/>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7B77B0"/>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7B77B0"/>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7B77B0"/>
    <w:rPr>
      <w:rFonts w:ascii="Arial" w:eastAsia="Times New Roman" w:hAnsi="Arial" w:cs="Times New Roman"/>
      <w:b/>
      <w:bCs/>
      <w:sz w:val="24"/>
      <w:lang w:val="en-US" w:eastAsia="en-US"/>
    </w:rPr>
  </w:style>
  <w:style w:type="paragraph" w:styleId="BodyText">
    <w:name w:val="Body Text"/>
    <w:basedOn w:val="Normal"/>
    <w:link w:val="BodyTextChar"/>
    <w:qFormat/>
    <w:rsid w:val="007B77B0"/>
    <w:pPr>
      <w:spacing w:before="120" w:after="200"/>
    </w:pPr>
  </w:style>
  <w:style w:type="character" w:customStyle="1" w:styleId="BodyTextChar">
    <w:name w:val="Body Text Char"/>
    <w:basedOn w:val="DefaultParagraphFont"/>
    <w:link w:val="BodyText"/>
    <w:rsid w:val="007B77B0"/>
    <w:rPr>
      <w:rFonts w:ascii="Arial" w:eastAsia="Times New Roman" w:hAnsi="Arial" w:cs="Times New Roman"/>
      <w:sz w:val="24"/>
      <w:szCs w:val="24"/>
      <w:lang w:val="en-US" w:eastAsia="en-US"/>
    </w:rPr>
  </w:style>
  <w:style w:type="paragraph" w:styleId="ListBullet">
    <w:name w:val="List Bullet"/>
    <w:basedOn w:val="Normal"/>
    <w:autoRedefine/>
    <w:qFormat/>
    <w:rsid w:val="007B77B0"/>
    <w:pPr>
      <w:numPr>
        <w:numId w:val="1"/>
      </w:numPr>
      <w:spacing w:after="120"/>
      <w:ind w:left="357" w:hanging="357"/>
    </w:pPr>
  </w:style>
  <w:style w:type="paragraph" w:styleId="ListBullet2">
    <w:name w:val="List Bullet 2"/>
    <w:basedOn w:val="Normal"/>
    <w:autoRedefine/>
    <w:qFormat/>
    <w:rsid w:val="007B77B0"/>
    <w:pPr>
      <w:numPr>
        <w:numId w:val="2"/>
      </w:numPr>
      <w:spacing w:after="120"/>
    </w:pPr>
  </w:style>
  <w:style w:type="paragraph" w:styleId="ListNumber">
    <w:name w:val="List Number"/>
    <w:basedOn w:val="Normal"/>
    <w:qFormat/>
    <w:rsid w:val="007B77B0"/>
    <w:pPr>
      <w:numPr>
        <w:numId w:val="3"/>
      </w:numPr>
      <w:spacing w:after="120"/>
      <w:ind w:left="357" w:hanging="357"/>
    </w:pPr>
  </w:style>
  <w:style w:type="paragraph" w:styleId="ListNumber2">
    <w:name w:val="List Number 2"/>
    <w:basedOn w:val="Normal"/>
    <w:qFormat/>
    <w:rsid w:val="007B77B0"/>
    <w:pPr>
      <w:numPr>
        <w:numId w:val="4"/>
      </w:numPr>
      <w:spacing w:after="120"/>
      <w:ind w:left="714" w:hanging="357"/>
    </w:pPr>
  </w:style>
  <w:style w:type="table" w:styleId="TableGrid">
    <w:name w:val="Table Grid"/>
    <w:basedOn w:val="TableNormal"/>
    <w:rsid w:val="007B77B0"/>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DF29-E753-4BFE-9030-89CDECEB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Issue40</dc:title>
  <dc:subject/>
  <dc:creator>Department of Human Services</dc:creator>
  <cp:keywords>INT001.1709</cp:keywords>
  <dc:description/>
  <cp:lastModifiedBy>Tang, Lok Man</cp:lastModifiedBy>
  <cp:revision>2</cp:revision>
  <dcterms:created xsi:type="dcterms:W3CDTF">2017-10-03T01:37:00Z</dcterms:created>
  <dcterms:modified xsi:type="dcterms:W3CDTF">2017-10-03T01:37:00Z</dcterms:modified>
</cp:coreProperties>
</file>